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50"/>
      </w:tblGrid>
      <w:tr w14:paraId="38DF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auto"/>
            <w:vAlign w:val="center"/>
          </w:tcPr>
          <w:p w14:paraId="7CCDF933">
            <w:pPr>
              <w:pStyle w:val="2"/>
              <w:keepNext w:val="0"/>
              <w:keepLines w:val="0"/>
              <w:widowControl/>
              <w:suppressLineNumbers w:val="0"/>
              <w:spacing w:before="0" w:beforeAutospacing="0" w:after="120" w:afterAutospacing="0" w:line="504" w:lineRule="atLeast"/>
              <w:jc w:val="center"/>
              <w:rPr>
                <w:rFonts w:hint="eastAsia" w:ascii="微软雅黑" w:hAnsi="微软雅黑" w:eastAsia="微软雅黑" w:cs="微软雅黑"/>
                <w:b/>
                <w:bCs/>
                <w:caps w:val="0"/>
                <w:color w:val="0A66A5"/>
                <w:spacing w:val="0"/>
                <w:sz w:val="36"/>
                <w:szCs w:val="36"/>
              </w:rPr>
            </w:pPr>
            <w:r>
              <w:rPr>
                <w:rFonts w:ascii="微软雅黑" w:hAnsi="微软雅黑" w:eastAsia="微软雅黑" w:cs="微软雅黑"/>
                <w:b/>
                <w:bCs/>
                <w:caps w:val="0"/>
                <w:color w:val="0A66A5"/>
                <w:spacing w:val="0"/>
                <w:sz w:val="36"/>
                <w:szCs w:val="36"/>
              </w:rPr>
              <w:br w:type="textWrapping"/>
            </w:r>
            <w:r>
              <w:rPr>
                <w:rFonts w:hint="eastAsia" w:ascii="微软雅黑" w:hAnsi="微软雅黑" w:eastAsia="微软雅黑" w:cs="微软雅黑"/>
                <w:b/>
                <w:bCs/>
                <w:caps w:val="0"/>
                <w:color w:val="0A66A5"/>
                <w:spacing w:val="0"/>
                <w:sz w:val="36"/>
                <w:szCs w:val="36"/>
              </w:rPr>
              <w:t>保定市徐水区市场监督管理局</w:t>
            </w:r>
          </w:p>
          <w:p w14:paraId="5B8E3039">
            <w:pPr>
              <w:pStyle w:val="2"/>
              <w:keepNext w:val="0"/>
              <w:keepLines w:val="0"/>
              <w:widowControl/>
              <w:suppressLineNumbers w:val="0"/>
              <w:spacing w:before="0" w:beforeAutospacing="0" w:after="120" w:afterAutospacing="0" w:line="504" w:lineRule="atLeast"/>
              <w:jc w:val="center"/>
              <w:rPr>
                <w:sz w:val="16"/>
                <w:szCs w:val="16"/>
              </w:rPr>
            </w:pPr>
            <w:bookmarkStart w:id="0" w:name="_GoBack"/>
            <w:bookmarkEnd w:id="0"/>
            <w:r>
              <w:rPr>
                <w:rFonts w:hint="eastAsia" w:ascii="微软雅黑" w:hAnsi="微软雅黑" w:eastAsia="微软雅黑" w:cs="微软雅黑"/>
                <w:b/>
                <w:bCs/>
                <w:caps w:val="0"/>
                <w:color w:val="0A66A5"/>
                <w:spacing w:val="0"/>
                <w:sz w:val="36"/>
                <w:szCs w:val="36"/>
              </w:rPr>
              <w:t>2024年政府信息公开工作年度报告</w:t>
            </w:r>
          </w:p>
          <w:p w14:paraId="05B809A3">
            <w:pPr>
              <w:pStyle w:val="2"/>
              <w:keepNext w:val="0"/>
              <w:keepLines w:val="0"/>
              <w:widowControl/>
              <w:suppressLineNumbers w:val="0"/>
              <w:spacing w:before="0" w:beforeAutospacing="0" w:line="336" w:lineRule="atLeast"/>
              <w:jc w:val="center"/>
              <w:rPr>
                <w:sz w:val="16"/>
                <w:szCs w:val="16"/>
              </w:rPr>
            </w:pPr>
            <w:r>
              <w:rPr>
                <w:rFonts w:hint="eastAsia" w:ascii="微软雅黑" w:hAnsi="微软雅黑" w:eastAsia="微软雅黑" w:cs="微软雅黑"/>
                <w:caps w:val="0"/>
                <w:spacing w:val="0"/>
                <w:sz w:val="16"/>
                <w:szCs w:val="16"/>
              </w:rPr>
              <w:t>　　</w:t>
            </w:r>
          </w:p>
        </w:tc>
      </w:tr>
      <w:tr w14:paraId="7116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auto"/>
            <w:vAlign w:val="center"/>
          </w:tcPr>
          <w:tbl>
            <w:tblPr>
              <w:tblStyle w:val="3"/>
              <w:tblW w:w="1485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50"/>
            </w:tblGrid>
            <w:tr w14:paraId="4313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nil"/>
                    <w:left w:val="nil"/>
                    <w:bottom w:val="nil"/>
                    <w:right w:val="nil"/>
                  </w:tcBorders>
                  <w:shd w:val="clear" w:color="auto" w:fill="auto"/>
                  <w:vAlign w:val="center"/>
                </w:tcPr>
                <w:p w14:paraId="03384BC0">
                  <w:pPr>
                    <w:pStyle w:val="2"/>
                    <w:keepNext w:val="0"/>
                    <w:keepLines w:val="0"/>
                    <w:widowControl/>
                    <w:suppressLineNumbers w:val="0"/>
                    <w:spacing w:before="0" w:beforeAutospacing="0" w:after="150" w:afterAutospacing="0" w:line="630" w:lineRule="atLeast"/>
                    <w:ind w:left="0" w:right="0"/>
                    <w:jc w:val="both"/>
                    <w:rPr>
                      <w:sz w:val="16"/>
                      <w:szCs w:val="16"/>
                    </w:rPr>
                  </w:pPr>
                </w:p>
                <w:p w14:paraId="0A44EB99">
                  <w:pPr>
                    <w:pStyle w:val="2"/>
                    <w:keepNext w:val="0"/>
                    <w:keepLines w:val="0"/>
                    <w:widowControl/>
                    <w:suppressLineNumbers w:val="0"/>
                    <w:spacing w:before="0" w:beforeAutospacing="0" w:after="0" w:afterAutospacing="0" w:line="420" w:lineRule="atLeast"/>
                    <w:ind w:left="0" w:right="0"/>
                    <w:jc w:val="center"/>
                    <w:rPr>
                      <w:sz w:val="16"/>
                      <w:szCs w:val="16"/>
                    </w:rPr>
                  </w:pPr>
                  <w:r>
                    <w:rPr>
                      <w:rFonts w:hint="eastAsia" w:ascii="微软雅黑" w:hAnsi="微软雅黑" w:eastAsia="微软雅黑" w:cs="微软雅黑"/>
                      <w:sz w:val="16"/>
                      <w:szCs w:val="16"/>
                    </w:rPr>
                    <w:t>　　</w:t>
                  </w:r>
                </w:p>
              </w:tc>
            </w:tr>
            <w:tr w14:paraId="517F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vAlign w:val="center"/>
                </w:tcPr>
                <w:p w14:paraId="47E4415D">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2024年1月1日至12月31日。</w:t>
                  </w:r>
                </w:p>
                <w:p w14:paraId="7C082512">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b/>
                      <w:bCs/>
                      <w:sz w:val="16"/>
                      <w:szCs w:val="16"/>
                    </w:rPr>
                    <w:t>一、总体情况</w:t>
                  </w:r>
                </w:p>
                <w:p w14:paraId="036C69CD">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2024年，区市场监督管理局坚持以习近平新时代中国特色社会主义思想为指导，认真贯彻执行党中央、国务院和省委、省政府、市委、市政府、区委、区政府关于政务公开工作决策部署，准确执行《中华人民共和国政府信息公开条例》，以公开促落实，以公开促规范，以公开促服务，不断提升政务公开工作实效，增进人民群众对市场监管工作的满意度。</w:t>
                  </w:r>
                </w:p>
                <w:p w14:paraId="0DF6A01E">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（一）做好政府信息主动公开</w:t>
                  </w:r>
                </w:p>
                <w:p w14:paraId="2EA6858B">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2024年，区市场监管局深化重点领域信息公开，聚焦优化营商环境、食品药品安全等关切社会民生的重点领域，做好权责清单及配套权力运行流程图和办事指南公开。</w:t>
                  </w:r>
                </w:p>
                <w:p w14:paraId="27A134D5">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（二）积极做好依申请公开</w:t>
                  </w:r>
                </w:p>
                <w:p w14:paraId="3DF037D3">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严格按照《中华人民共和国</w:t>
                  </w:r>
                  <w:r>
                    <w:rPr>
                      <w:rFonts w:hint="eastAsia" w:ascii="微软雅黑" w:hAnsi="微软雅黑" w:eastAsia="微软雅黑" w:cs="微软雅黑"/>
                      <w:sz w:val="16"/>
                      <w:szCs w:val="16"/>
                      <w:lang w:val="en-US" w:eastAsia="zh-CN"/>
                    </w:rPr>
                    <w:t>政府</w:t>
                  </w:r>
                  <w:r>
                    <w:rPr>
                      <w:rFonts w:hint="eastAsia" w:ascii="微软雅黑" w:hAnsi="微软雅黑" w:eastAsia="微软雅黑" w:cs="微软雅黑"/>
                      <w:sz w:val="16"/>
                      <w:szCs w:val="16"/>
                    </w:rPr>
                    <w:t>信息公开条例》，畅通当面、传真、信函、电子邮件等多个依申请公开渠道，进一步提升政府信息公开申请办理水平，降低政府信息公开错误率和复议率。</w:t>
                  </w:r>
                </w:p>
                <w:p w14:paraId="592320C0">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（三）加强政府信息管理</w:t>
                  </w:r>
                </w:p>
                <w:p w14:paraId="4582E7CF">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加强政府信息的规范化、标准化、信息化管理，及时更新权责清单和政务公开事项清单。坚持应公开尽公开。动态管理政府信息公开专栏，主动发布市场监管相关政策及政策解读，方便公众查询使用。</w:t>
                  </w:r>
                </w:p>
                <w:p w14:paraId="4DF9993A">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（四）推进政府信息平台建设</w:t>
                  </w:r>
                </w:p>
                <w:p w14:paraId="5583FFCD">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加强政府网站信息公开平台建设，主动公开各类政府信息。充分发挥新媒体平台作用，加强日常管理和信息发布，“保定市徐水区市场监督管理局”微信公众号共发布信息750条，粉丝量3133。</w:t>
                  </w:r>
                </w:p>
                <w:p w14:paraId="4746E7CC">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（五）强化监督保障</w:t>
                  </w:r>
                </w:p>
                <w:p w14:paraId="0210E97A">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积极发挥区市场监管局政务公开领导小组和办公室作用，统筹协调推进政务公开工作。加强监督检查，确保各项任务落实到位。开展政务公开培训，强化政务公开工作队伍能力建设，提升基层政务公开工作标准化规范化水平。</w:t>
                  </w:r>
                </w:p>
                <w:p w14:paraId="13A629C5">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b/>
                      <w:bCs/>
                      <w:sz w:val="16"/>
                      <w:szCs w:val="16"/>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3A6D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F22241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第二十条第（一）项</w:t>
                        </w:r>
                      </w:p>
                    </w:tc>
                  </w:tr>
                  <w:tr w14:paraId="5062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F237F1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F0D25A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本年制发件数</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5487B0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本年废止件数</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AC5599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现行有效件数</w:t>
                        </w:r>
                      </w:p>
                    </w:tc>
                  </w:tr>
                  <w:tr w14:paraId="39A0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05D1024">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D2CDAD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15029A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D40FD3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2ACD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4B6562">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9AB179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BDD6B5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689B6B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1D97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733927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第二十条第（五）项</w:t>
                        </w:r>
                      </w:p>
                    </w:tc>
                  </w:tr>
                  <w:tr w14:paraId="11E2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B68A78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B65B19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14:paraId="394D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940C89E">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F9A4BA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6213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1FAE81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第二十条第（六）项</w:t>
                        </w:r>
                      </w:p>
                    </w:tc>
                  </w:tr>
                  <w:tr w14:paraId="30A3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460610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AEA7D3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本年处理决定数量</w:t>
                        </w:r>
                      </w:p>
                    </w:tc>
                  </w:tr>
                  <w:tr w14:paraId="6ECD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A86B00">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46F6D6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150</w:t>
                        </w:r>
                      </w:p>
                    </w:tc>
                  </w:tr>
                  <w:tr w14:paraId="3F1C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9FAEB10">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F4455A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20</w:t>
                        </w:r>
                      </w:p>
                    </w:tc>
                  </w:tr>
                  <w:tr w14:paraId="7147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3E614C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第二十条第（八）项</w:t>
                        </w:r>
                      </w:p>
                    </w:tc>
                  </w:tr>
                  <w:tr w14:paraId="3205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1E02D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CAE35A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本年收费金额（单位：万元）</w:t>
                        </w:r>
                      </w:p>
                    </w:tc>
                  </w:tr>
                  <w:tr w14:paraId="4F6D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238C51A">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F5FCFF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bl>
                <w:p w14:paraId="4BF476F0">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b/>
                      <w:bCs/>
                      <w:sz w:val="16"/>
                      <w:szCs w:val="16"/>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0CA5D5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14:paraId="413E8047">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62E7B4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申请人情况</w:t>
                        </w:r>
                      </w:p>
                    </w:tc>
                  </w:tr>
                  <w:tr w14:paraId="2D41EC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14:paraId="19A96080">
                        <w:pPr>
                          <w:rPr>
                            <w:rFonts w:hint="eastAsia" w:ascii="微软雅黑" w:hAnsi="微软雅黑" w:eastAsia="微软雅黑" w:cs="微软雅黑"/>
                            <w:sz w:val="15"/>
                            <w:szCs w:val="15"/>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2537A2B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自然人</w:t>
                        </w:r>
                      </w:p>
                    </w:tc>
                    <w:tc>
                      <w:tcPr>
                        <w:tcW w:w="3440" w:type="dxa"/>
                        <w:gridSpan w:val="5"/>
                        <w:tcBorders>
                          <w:top w:val="nil"/>
                          <w:left w:val="nil"/>
                          <w:bottom w:val="single" w:color="auto" w:sz="8" w:space="0"/>
                          <w:right w:val="single" w:color="auto" w:sz="8" w:space="0"/>
                        </w:tcBorders>
                        <w:shd w:val="clear" w:color="auto" w:fill="auto"/>
                        <w:tcMar>
                          <w:left w:w="57" w:type="dxa"/>
                          <w:right w:w="57" w:type="dxa"/>
                        </w:tcMar>
                        <w:vAlign w:val="center"/>
                      </w:tcPr>
                      <w:p w14:paraId="4F403E2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法人或其他组织</w:t>
                        </w:r>
                      </w:p>
                    </w:tc>
                    <w:tc>
                      <w:tcPr>
                        <w:tcW w:w="688"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10D8904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r>
                  <w:tr w14:paraId="36E4FD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14:paraId="053840BA">
                        <w:pPr>
                          <w:rPr>
                            <w:rFonts w:hint="eastAsia" w:ascii="微软雅黑" w:hAnsi="微软雅黑" w:eastAsia="微软雅黑" w:cs="微软雅黑"/>
                            <w:sz w:val="15"/>
                            <w:szCs w:val="15"/>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4108CA6">
                        <w:pPr>
                          <w:rPr>
                            <w:rFonts w:hint="eastAsia" w:ascii="微软雅黑" w:hAnsi="微软雅黑" w:eastAsia="微软雅黑" w:cs="微软雅黑"/>
                            <w:sz w:val="15"/>
                            <w:szCs w:val="15"/>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2EC12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商业</w:t>
                        </w:r>
                      </w:p>
                      <w:p w14:paraId="20F04ED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02A79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科研</w:t>
                        </w:r>
                      </w:p>
                      <w:p w14:paraId="54F8E8C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机构</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6D97B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社会公益组织</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12A40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法律服务机构</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1CFEA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p>
                    </w:tc>
                    <w:tc>
                      <w:tcPr>
                        <w:tcW w:w="688"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F2AFDEF">
                        <w:pPr>
                          <w:rPr>
                            <w:rFonts w:hint="eastAsia" w:ascii="微软雅黑" w:hAnsi="微软雅黑" w:eastAsia="微软雅黑" w:cs="微软雅黑"/>
                            <w:sz w:val="15"/>
                            <w:szCs w:val="15"/>
                          </w:rPr>
                        </w:pPr>
                      </w:p>
                    </w:tc>
                  </w:tr>
                  <w:tr w14:paraId="574CAC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02F6795">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07204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107EA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F1D08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9873C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3C5EA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13EA8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05DF9B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1FC01D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2F874C8">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30B3C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E2220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C4973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411A4D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DDCF7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89937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204ED3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44973B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57FC581">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三、本年度办理结果0</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2A602468">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792A5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23F1A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45BEB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6EE8B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B576D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E15C8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FF2EC4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76AF85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003239D3">
                        <w:pPr>
                          <w:rPr>
                            <w:rFonts w:hint="eastAsia" w:ascii="微软雅黑" w:hAnsi="微软雅黑" w:eastAsia="微软雅黑" w:cs="微软雅黑"/>
                            <w:sz w:val="15"/>
                            <w:szCs w:val="15"/>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60481D8">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3D6FD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76213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36A6D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20F34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6828F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C6BB7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90411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32E9C3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506A62D">
                        <w:pPr>
                          <w:rPr>
                            <w:rFonts w:hint="eastAsia" w:ascii="微软雅黑" w:hAnsi="微软雅黑" w:eastAsia="微软雅黑" w:cs="微软雅黑"/>
                            <w:sz w:val="15"/>
                            <w:szCs w:val="15"/>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5D60EC97">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65664438">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1CDAE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881FD8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D09451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D93BC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C70CA5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E85E02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5E3DC6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3B7603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0C8798CF">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7E979538">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17761C89">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701FE9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6A59D6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7A4A19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AF527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CBC009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637B1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7E4AD3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682D2B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4587712D">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ACEF3E6">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49BE926">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8A34CB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660D10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EADB83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1573C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CC37F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AEA3A3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54CDE4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069BB6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B0BEBBD">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6A613A3B">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80F64F6">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608AF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514705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8FF1A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DF45D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8FF5DA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29919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BE4CC0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16A83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5047F2F">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3B5768E1">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D5A117C">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F3924C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466367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5278BF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691645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E08C9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F54B17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FD6AAA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1D0AD1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10558AB">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3C222C3D">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1CC3386">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C2FB8E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A31107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BEFDC6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D93798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8F2ECA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7EA655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361E1D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647DF8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31AEB277">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1793F777">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B9D68D2">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3363DD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36B246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5846AE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6A5505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8E4657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63C8CB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63813F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721F69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B3F998A">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889544A">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4F6556F5">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CE468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E674A1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23B12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0F1CF4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9CBF67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9A1D59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A63E8C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49FEA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2D51B9D2">
                        <w:pPr>
                          <w:rPr>
                            <w:rFonts w:hint="eastAsia" w:ascii="微软雅黑" w:hAnsi="微软雅黑" w:eastAsia="微软雅黑" w:cs="微软雅黑"/>
                            <w:sz w:val="15"/>
                            <w:szCs w:val="15"/>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793E40DC">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2A4DA24">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9A9658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EB1550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98F3A4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0334FA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4CC7AE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D839D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1B6236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2C7577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C1580CE">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0A265FFC">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CA3B529">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7BF800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A1D07E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0ED14C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39F57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9059AF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EC26E4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54C590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5A6C9F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00E70D66">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737C8195">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349D150">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C68D6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F62923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8A75EA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6AC91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28CDF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25BF1A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93CBF9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413398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27CA0352">
                        <w:pPr>
                          <w:rPr>
                            <w:rFonts w:hint="eastAsia" w:ascii="微软雅黑" w:hAnsi="微软雅黑" w:eastAsia="微软雅黑" w:cs="微软雅黑"/>
                            <w:sz w:val="15"/>
                            <w:szCs w:val="15"/>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0ADB7389">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3983F391">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7CA997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249691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600D4F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83015C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0B929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7CCF19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F8F638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45D17F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3C455748">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04AF009D">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0BCB8BC">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FD2A94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E7DB15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517C3D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4E10B3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D8AB8C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AB61AB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336255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443E8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58ED691">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54B439B">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2E4D5FC3">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F3A73D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7F2E2F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E263C7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701AF2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76CBD6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9D3CDD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F32D9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2AF7E9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BDB9DB9">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5BDFE04B">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14:paraId="5D41F013">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1CE3D1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529ACC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15704D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A06CF3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BEA743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4DA28F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40691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7A35B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41F172E6">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B5583BC">
                        <w:pPr>
                          <w:rPr>
                            <w:rFonts w:hint="eastAsia" w:ascii="微软雅黑" w:hAnsi="微软雅黑" w:eastAsia="微软雅黑" w:cs="微软雅黑"/>
                            <w:sz w:val="15"/>
                            <w:szCs w:val="15"/>
                          </w:rPr>
                        </w:pPr>
                      </w:p>
                    </w:tc>
                    <w:tc>
                      <w:tcPr>
                        <w:tcW w:w="3220" w:type="dxa"/>
                        <w:tcBorders>
                          <w:top w:val="nil"/>
                          <w:left w:val="nil"/>
                          <w:bottom w:val="inset" w:color="auto" w:sz="8" w:space="0"/>
                          <w:right w:val="single" w:color="auto" w:sz="8" w:space="0"/>
                        </w:tcBorders>
                        <w:shd w:val="clear" w:color="auto" w:fill="auto"/>
                        <w:tcMar>
                          <w:left w:w="57" w:type="dxa"/>
                          <w:right w:w="57" w:type="dxa"/>
                        </w:tcMar>
                        <w:vAlign w:val="center"/>
                      </w:tcPr>
                      <w:p w14:paraId="304C21F1">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53916F2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5373DF7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5DBB689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3F8038B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7B2A343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1429556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1C77197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1E491C0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64A8298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3AEDA4B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5A67258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6ED41CF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14:paraId="3BD94A4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752AC11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19DAAC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64F4CECF">
                        <w:pPr>
                          <w:rPr>
                            <w:rFonts w:hint="eastAsia" w:ascii="微软雅黑" w:hAnsi="微软雅黑" w:eastAsia="微软雅黑" w:cs="微软雅黑"/>
                            <w:sz w:val="15"/>
                            <w:szCs w:val="15"/>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08927112">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7E45973E">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A588B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19954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1CD0B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B32E1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73210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E4C5A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F205E26">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4F88507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2395FE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0B4878FA">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554F2CF3">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124764E1">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7C726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CF9819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9D3BA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D4CA6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80002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4C678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923868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 </w:t>
                        </w:r>
                      </w:p>
                      <w:p w14:paraId="1033C72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6025F7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C1494B7">
                        <w:pPr>
                          <w:rPr>
                            <w:rFonts w:hint="eastAsia" w:ascii="微软雅黑" w:hAnsi="微软雅黑" w:eastAsia="微软雅黑" w:cs="微软雅黑"/>
                            <w:sz w:val="15"/>
                            <w:szCs w:val="15"/>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651570D7">
                        <w:pPr>
                          <w:rPr>
                            <w:rFonts w:hint="eastAsia" w:ascii="微软雅黑" w:hAnsi="微软雅黑" w:eastAsia="微软雅黑" w:cs="微软雅黑"/>
                            <w:sz w:val="15"/>
                            <w:szCs w:val="15"/>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5E63CE81">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2E7A6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E3DC37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DD71F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26E85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97DDF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D1E877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E7AEDA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66502A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2AAB7631">
                        <w:pPr>
                          <w:rPr>
                            <w:rFonts w:hint="eastAsia" w:ascii="微软雅黑" w:hAnsi="微软雅黑" w:eastAsia="微软雅黑" w:cs="微软雅黑"/>
                            <w:sz w:val="15"/>
                            <w:szCs w:val="15"/>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197E8C9">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2CF8B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92F0A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B3817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AC7FB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20574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E0DD4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53551A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r>
                  <w:tr w14:paraId="2CF66F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A66A131">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939657">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ED0C47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5626C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BED03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958D3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09B1A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E6AC56A">
                        <w:pPr>
                          <w:keepNext w:val="0"/>
                          <w:keepLines w:val="0"/>
                          <w:widowControl/>
                          <w:suppressLineNumbers w:val="0"/>
                          <w:spacing w:before="0" w:beforeAutospacing="0" w:after="0" w:afterAutospacing="0" w:line="560" w:lineRule="atLeast"/>
                          <w:ind w:left="0" w:right="0" w:firstLine="240"/>
                          <w:jc w:val="left"/>
                          <w:rPr>
                            <w:sz w:val="16"/>
                            <w:szCs w:val="16"/>
                          </w:rPr>
                        </w:pPr>
                        <w:r>
                          <w:rPr>
                            <w:rFonts w:hint="eastAsia" w:ascii="微软雅黑" w:hAnsi="微软雅黑" w:eastAsia="微软雅黑" w:cs="微软雅黑"/>
                            <w:kern w:val="0"/>
                            <w:sz w:val="16"/>
                            <w:szCs w:val="16"/>
                            <w:lang w:val="en-US" w:eastAsia="zh-CN" w:bidi="ar"/>
                          </w:rPr>
                          <w:t>0</w:t>
                        </w:r>
                      </w:p>
                    </w:tc>
                  </w:tr>
                </w:tbl>
                <w:p w14:paraId="52F8C022">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b/>
                      <w:bCs/>
                      <w:sz w:val="16"/>
                      <w:szCs w:val="16"/>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47E55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E32D4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行政复议</w:t>
                        </w:r>
                      </w:p>
                    </w:tc>
                    <w:tc>
                      <w:tcPr>
                        <w:tcW w:w="486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466B3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行政诉讼</w:t>
                        </w:r>
                      </w:p>
                    </w:tc>
                  </w:tr>
                  <w:tr w14:paraId="7887F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65323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结果维持</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DC36FF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1471A2F">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2EE704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55A474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c>
                      <w:tcPr>
                        <w:tcW w:w="324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035B7F69">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未经复议直接起诉</w:t>
                        </w:r>
                      </w:p>
                    </w:tc>
                    <w:tc>
                      <w:tcPr>
                        <w:tcW w:w="325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7BBD9E8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复议后起诉</w:t>
                        </w:r>
                      </w:p>
                    </w:tc>
                  </w:tr>
                  <w:tr w14:paraId="3E274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D4420B">
                        <w:pPr>
                          <w:rPr>
                            <w:rFonts w:hint="eastAsia" w:ascii="微软雅黑" w:hAnsi="微软雅黑" w:eastAsia="微软雅黑" w:cs="微软雅黑"/>
                            <w:sz w:val="15"/>
                            <w:szCs w:val="15"/>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ECB91BD">
                        <w:pPr>
                          <w:rPr>
                            <w:rFonts w:hint="eastAsia" w:ascii="微软雅黑" w:hAnsi="微软雅黑" w:eastAsia="微软雅黑" w:cs="微软雅黑"/>
                            <w:sz w:val="15"/>
                            <w:szCs w:val="15"/>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F8ABA96">
                        <w:pPr>
                          <w:rPr>
                            <w:rFonts w:hint="eastAsia" w:ascii="微软雅黑" w:hAnsi="微软雅黑" w:eastAsia="微软雅黑" w:cs="微软雅黑"/>
                            <w:sz w:val="15"/>
                            <w:szCs w:val="15"/>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3BCAFD4">
                        <w:pPr>
                          <w:rPr>
                            <w:rFonts w:hint="eastAsia" w:ascii="微软雅黑" w:hAnsi="微软雅黑" w:eastAsia="微软雅黑" w:cs="微软雅黑"/>
                            <w:sz w:val="15"/>
                            <w:szCs w:val="15"/>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EDEAA8D">
                        <w:pPr>
                          <w:rPr>
                            <w:rFonts w:hint="eastAsia" w:ascii="微软雅黑" w:hAnsi="微软雅黑" w:eastAsia="微软雅黑" w:cs="微软雅黑"/>
                            <w:sz w:val="15"/>
                            <w:szCs w:val="15"/>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16D24BB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0288A7B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6C3E69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4C20E7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4E72D73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F7DDBCD">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维持</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4F715C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结果</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纠正</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71803ED2">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其他</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结果</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84A9DF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尚未</w:t>
                        </w:r>
                        <w:r>
                          <w:rPr>
                            <w:rFonts w:hint="eastAsia" w:ascii="微软雅黑" w:hAnsi="微软雅黑" w:eastAsia="微软雅黑" w:cs="微软雅黑"/>
                            <w:kern w:val="0"/>
                            <w:sz w:val="16"/>
                            <w:szCs w:val="16"/>
                            <w:lang w:val="en-US" w:eastAsia="zh-CN" w:bidi="ar"/>
                          </w:rPr>
                          <w:br w:type="textWrapping"/>
                        </w:r>
                        <w:r>
                          <w:rPr>
                            <w:rFonts w:hint="eastAsia" w:ascii="微软雅黑" w:hAnsi="微软雅黑" w:eastAsia="微软雅黑" w:cs="微软雅黑"/>
                            <w:kern w:val="0"/>
                            <w:sz w:val="16"/>
                            <w:szCs w:val="16"/>
                            <w:lang w:val="en-US" w:eastAsia="zh-CN" w:bidi="ar"/>
                          </w:rPr>
                          <w:t>审结</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BC9589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总计</w:t>
                        </w:r>
                      </w:p>
                    </w:tc>
                  </w:tr>
                  <w:tr w14:paraId="4C44E8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28DE5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6ECF19A">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7A99696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66EC320">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D7D810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CC52A84">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DDB141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447FA13">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510A54D1">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6B52EE5">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1C1CCCEE">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79C69B5B">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72051F3C">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3182B748">
                        <w:pPr>
                          <w:keepNext w:val="0"/>
                          <w:keepLines w:val="0"/>
                          <w:widowControl/>
                          <w:suppressLineNumbers w:val="0"/>
                          <w:spacing w:before="0" w:beforeAutospacing="0" w:after="0" w:afterAutospacing="0" w:line="560" w:lineRule="atLeast"/>
                          <w:ind w:left="0" w:right="0"/>
                          <w:jc w:val="center"/>
                          <w:rPr>
                            <w:sz w:val="16"/>
                            <w:szCs w:val="16"/>
                          </w:rPr>
                        </w:pPr>
                        <w:r>
                          <w:rPr>
                            <w:rFonts w:hint="eastAsia" w:ascii="微软雅黑" w:hAnsi="微软雅黑" w:eastAsia="微软雅黑" w:cs="微软雅黑"/>
                            <w:kern w:val="0"/>
                            <w:sz w:val="16"/>
                            <w:szCs w:val="16"/>
                            <w:lang w:val="en-US" w:eastAsia="zh-CN" w:bidi="ar"/>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3DCFEC5B">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0</w:t>
                        </w:r>
                      </w:p>
                    </w:tc>
                  </w:tr>
                </w:tbl>
                <w:p w14:paraId="22F3954A">
                  <w:pPr>
                    <w:keepNext w:val="0"/>
                    <w:keepLines w:val="0"/>
                    <w:widowControl/>
                    <w:suppressLineNumbers w:val="0"/>
                    <w:spacing w:before="0" w:beforeAutospacing="0" w:after="0" w:afterAutospacing="0" w:line="560" w:lineRule="atLeast"/>
                    <w:ind w:left="0" w:right="0"/>
                    <w:jc w:val="left"/>
                    <w:rPr>
                      <w:sz w:val="16"/>
                      <w:szCs w:val="16"/>
                    </w:rPr>
                  </w:pPr>
                  <w:r>
                    <w:rPr>
                      <w:rFonts w:hint="eastAsia" w:ascii="微软雅黑" w:hAnsi="微软雅黑" w:eastAsia="微软雅黑" w:cs="微软雅黑"/>
                      <w:kern w:val="0"/>
                      <w:sz w:val="16"/>
                      <w:szCs w:val="16"/>
                      <w:lang w:val="en-US" w:eastAsia="zh-CN" w:bidi="ar"/>
                    </w:rPr>
                    <w:t> </w:t>
                  </w:r>
                </w:p>
                <w:p w14:paraId="59431015">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b/>
                      <w:bCs/>
                      <w:sz w:val="16"/>
                      <w:szCs w:val="16"/>
                    </w:rPr>
                    <w:t>五、存在的主要问题及改进情况</w:t>
                  </w:r>
                </w:p>
                <w:p w14:paraId="0ECCD007">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2024年我局政务公开工作虽然取得了一定成绩，但与省委、省政府、市委、市政府、区委、区政府的要求和人民群众期待还有一定差距，政策宣传解读的形式还不够丰富，政府信息公开的深度和广度还需进一步增强，与公众的互动服务还需进一步完善，政务公开工作标准化规范化水平还需进一步提升。</w:t>
                  </w:r>
                </w:p>
                <w:p w14:paraId="31F6E77E">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sz w:val="16"/>
                      <w:szCs w:val="16"/>
                    </w:rPr>
                    <w:t>2024年，我局将继续坚持以人民为中心的工作理念，深化政府信息主动公开，积极回应社会关切。加大政策宣传和解读，推动市场主体和社会公众更好地了解政策，用好政策。推进政务公开平台建设，加强政务网站和政务新媒体协调联动。加强组织保障和统筹协调，不断提升政务公开工作水平。</w:t>
                  </w:r>
                </w:p>
                <w:p w14:paraId="07C504F9">
                  <w:pPr>
                    <w:pStyle w:val="2"/>
                    <w:keepNext w:val="0"/>
                    <w:keepLines w:val="0"/>
                    <w:widowControl/>
                    <w:suppressLineNumbers w:val="0"/>
                    <w:spacing w:before="0" w:beforeAutospacing="0" w:after="0" w:afterAutospacing="0" w:line="560" w:lineRule="atLeast"/>
                    <w:ind w:left="0" w:right="0" w:firstLine="420"/>
                    <w:jc w:val="both"/>
                    <w:rPr>
                      <w:sz w:val="16"/>
                      <w:szCs w:val="16"/>
                    </w:rPr>
                  </w:pPr>
                  <w:r>
                    <w:rPr>
                      <w:rFonts w:hint="eastAsia" w:ascii="微软雅黑" w:hAnsi="微软雅黑" w:eastAsia="微软雅黑" w:cs="微软雅黑"/>
                      <w:b/>
                      <w:bCs/>
                      <w:sz w:val="16"/>
                      <w:szCs w:val="16"/>
                    </w:rPr>
                    <w:t>六、其他需要报告的事项</w:t>
                  </w:r>
                </w:p>
                <w:p w14:paraId="61A30E7B">
                  <w:pPr>
                    <w:keepNext w:val="0"/>
                    <w:keepLines w:val="0"/>
                    <w:widowControl/>
                    <w:suppressLineNumbers w:val="0"/>
                    <w:spacing w:before="0" w:beforeAutospacing="0" w:after="0" w:afterAutospacing="0" w:line="420" w:lineRule="atLeast"/>
                    <w:ind w:left="0" w:right="0" w:firstLine="420"/>
                    <w:jc w:val="left"/>
                    <w:rPr>
                      <w:sz w:val="16"/>
                      <w:szCs w:val="16"/>
                    </w:rPr>
                  </w:pPr>
                  <w:r>
                    <w:rPr>
                      <w:rFonts w:hint="eastAsia" w:ascii="微软雅黑" w:hAnsi="微软雅黑" w:eastAsia="微软雅黑" w:cs="微软雅黑"/>
                      <w:kern w:val="0"/>
                      <w:sz w:val="16"/>
                      <w:szCs w:val="16"/>
                      <w:lang w:val="en-US" w:eastAsia="zh-CN" w:bidi="ar"/>
                    </w:rPr>
                    <w:t>认真贯彻执行国务院办公厅《政府信息公开信息处理费管理办法》和《关于政府信息公开处理费管理有关事项的通知》。2024年未收取信息处理费。</w:t>
                  </w:r>
                </w:p>
              </w:tc>
            </w:tr>
          </w:tbl>
          <w:p w14:paraId="0093318A">
            <w:pPr>
              <w:spacing w:before="0" w:beforeAutospacing="0" w:after="0" w:afterAutospacing="0" w:line="420" w:lineRule="atLeast"/>
              <w:ind w:left="0" w:right="0" w:firstLine="420"/>
              <w:rPr>
                <w:rFonts w:hint="eastAsia" w:ascii="微软雅黑" w:hAnsi="微软雅黑" w:eastAsia="微软雅黑" w:cs="微软雅黑"/>
                <w:caps w:val="0"/>
                <w:spacing w:val="0"/>
                <w:sz w:val="18"/>
                <w:szCs w:val="18"/>
              </w:rPr>
            </w:pPr>
          </w:p>
        </w:tc>
      </w:tr>
    </w:tbl>
    <w:p w14:paraId="280F29C2"/>
    <w:sectPr>
      <w:pgSz w:w="16838" w:h="11906" w:orient="landscape"/>
      <w:pgMar w:top="1803" w:right="193" w:bottom="1803" w:left="19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NDI1OWIzNjI3YzFhMGU5OWYxZWZhNTgzYzYwNjkifQ=="/>
  </w:docVars>
  <w:rsids>
    <w:rsidRoot w:val="00000000"/>
    <w:rsid w:val="1FE039E6"/>
    <w:rsid w:val="5B302153"/>
    <w:rsid w:val="74A6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2216</Words>
  <Characters>2281</Characters>
  <Lines>0</Lines>
  <Paragraphs>0</Paragraphs>
  <TotalTime>14</TotalTime>
  <ScaleCrop>false</ScaleCrop>
  <LinksUpToDate>false</LinksUpToDate>
  <CharactersWithSpaces>2299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2025-01-15T06:23:00Z</dcterms:created>
  <dc:creator>Administrator</dc:creator>
  <cp:lastModifiedBy>米薇</cp:lastModifiedBy>
  <dcterms:modified xsi:type="dcterms:W3CDTF">2025-01-16T03:19:32Z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01B029ABD08443F7AD369B03C12252AC_12</vt:lpwstr>
  </property>
  <property fmtid="{D5CDD505-2E9C-101B-9397-08002B2CF9AE}" pid="4" name="KSOTemplateDocerSaveRecord">
    <vt:lpwstr>eyJoZGlkIjoiOTk5YmUxNTgzM2YwZmFjYTJmZjM3MzExMTM2NTgzMTAiLCJ1c2VySWQiOiIyODYzNTcwNDcifQ==</vt:lpwstr>
  </property>
</Properties>
</file>