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A6" w:rsidRDefault="003E7FA6" w:rsidP="003E7FA6">
      <w:pPr>
        <w:widowControl/>
        <w:shd w:val="clear" w:color="auto" w:fill="FFFFFF"/>
        <w:spacing w:line="560" w:lineRule="exact"/>
        <w:jc w:val="center"/>
        <w:outlineLvl w:val="1"/>
        <w:rPr>
          <w:rFonts w:ascii="方正小标宋简体" w:eastAsia="方正小标宋简体" w:hAnsi="微软雅黑" w:cs="宋体" w:hint="eastAsia"/>
          <w:b/>
          <w:bCs/>
          <w:color w:val="333333"/>
          <w:kern w:val="0"/>
          <w:sz w:val="44"/>
          <w:szCs w:val="44"/>
        </w:rPr>
      </w:pPr>
      <w:r w:rsidRPr="003E7FA6">
        <w:rPr>
          <w:rFonts w:ascii="方正小标宋简体" w:eastAsia="方正小标宋简体" w:hAnsi="微软雅黑" w:cs="宋体" w:hint="eastAsia"/>
          <w:b/>
          <w:bCs/>
          <w:color w:val="333333"/>
          <w:kern w:val="0"/>
          <w:sz w:val="44"/>
          <w:szCs w:val="44"/>
        </w:rPr>
        <w:t>关于进一步提高科技型中小企业研发费用税前加计扣除比例的公告</w:t>
      </w:r>
    </w:p>
    <w:p w:rsidR="003E7FA6" w:rsidRPr="003E7FA6" w:rsidRDefault="003E7FA6" w:rsidP="003E7FA6">
      <w:pPr>
        <w:widowControl/>
        <w:shd w:val="clear" w:color="auto" w:fill="FFFFFF"/>
        <w:spacing w:line="560" w:lineRule="exact"/>
        <w:jc w:val="center"/>
        <w:outlineLvl w:val="1"/>
        <w:rPr>
          <w:rFonts w:ascii="方正小标宋简体" w:eastAsia="方正小标宋简体" w:hAnsi="微软雅黑" w:cs="宋体" w:hint="eastAsia"/>
          <w:b/>
          <w:bCs/>
          <w:color w:val="333333"/>
          <w:kern w:val="0"/>
          <w:sz w:val="44"/>
          <w:szCs w:val="44"/>
        </w:rPr>
      </w:pPr>
    </w:p>
    <w:p w:rsidR="003E7FA6" w:rsidRPr="003E7FA6" w:rsidRDefault="003E7FA6" w:rsidP="003E7FA6">
      <w:pPr>
        <w:widowControl/>
        <w:shd w:val="clear" w:color="auto" w:fill="FFFFFF"/>
        <w:spacing w:line="560" w:lineRule="exact"/>
        <w:jc w:val="center"/>
        <w:rPr>
          <w:rFonts w:ascii="仿宋_GB2312" w:eastAsia="仿宋_GB2312" w:hAnsi="宋体" w:cs="宋体" w:hint="eastAsia"/>
          <w:color w:val="333333"/>
          <w:kern w:val="0"/>
          <w:sz w:val="32"/>
          <w:szCs w:val="32"/>
        </w:rPr>
      </w:pPr>
      <w:r w:rsidRPr="003E7FA6">
        <w:rPr>
          <w:rFonts w:ascii="仿宋_GB2312" w:eastAsia="仿宋_GB2312" w:hAnsi="宋体" w:cs="宋体" w:hint="eastAsia"/>
          <w:b/>
          <w:bCs/>
          <w:color w:val="333333"/>
          <w:kern w:val="0"/>
          <w:sz w:val="32"/>
          <w:szCs w:val="32"/>
        </w:rPr>
        <w:t>财政部</w:t>
      </w:r>
      <w:r w:rsidRPr="003E7FA6">
        <w:rPr>
          <w:rFonts w:ascii="宋体" w:eastAsia="仿宋_GB2312" w:hAnsi="宋体" w:cs="宋体" w:hint="eastAsia"/>
          <w:b/>
          <w:bCs/>
          <w:color w:val="333333"/>
          <w:kern w:val="0"/>
          <w:sz w:val="32"/>
          <w:szCs w:val="32"/>
        </w:rPr>
        <w:t> </w:t>
      </w:r>
      <w:r w:rsidRPr="003E7FA6">
        <w:rPr>
          <w:rFonts w:ascii="仿宋_GB2312" w:eastAsia="仿宋_GB2312" w:hAnsi="宋体" w:cs="宋体" w:hint="eastAsia"/>
          <w:b/>
          <w:bCs/>
          <w:color w:val="333333"/>
          <w:kern w:val="0"/>
          <w:sz w:val="32"/>
          <w:szCs w:val="32"/>
        </w:rPr>
        <w:t xml:space="preserve"> 税务总局</w:t>
      </w:r>
      <w:r w:rsidRPr="003E7FA6">
        <w:rPr>
          <w:rFonts w:ascii="宋体" w:eastAsia="仿宋_GB2312" w:hAnsi="宋体" w:cs="宋体" w:hint="eastAsia"/>
          <w:b/>
          <w:bCs/>
          <w:color w:val="333333"/>
          <w:kern w:val="0"/>
          <w:sz w:val="32"/>
          <w:szCs w:val="32"/>
        </w:rPr>
        <w:t> </w:t>
      </w:r>
      <w:r w:rsidRPr="003E7FA6">
        <w:rPr>
          <w:rFonts w:ascii="仿宋_GB2312" w:eastAsia="仿宋_GB2312" w:hAnsi="宋体" w:cs="宋体" w:hint="eastAsia"/>
          <w:b/>
          <w:bCs/>
          <w:color w:val="333333"/>
          <w:kern w:val="0"/>
          <w:sz w:val="32"/>
          <w:szCs w:val="32"/>
        </w:rPr>
        <w:t xml:space="preserve"> 科技部公告2022年第16号</w:t>
      </w:r>
    </w:p>
    <w:p w:rsidR="003E7FA6" w:rsidRDefault="003E7FA6" w:rsidP="003E7FA6">
      <w:pPr>
        <w:widowControl/>
        <w:shd w:val="clear" w:color="auto" w:fill="FFFFFF"/>
        <w:spacing w:line="560" w:lineRule="exact"/>
        <w:ind w:firstLineChars="200" w:firstLine="640"/>
        <w:jc w:val="left"/>
        <w:rPr>
          <w:rFonts w:ascii="仿宋_GB2312" w:eastAsia="仿宋_GB2312" w:hAnsi="宋体" w:cs="宋体" w:hint="eastAsia"/>
          <w:color w:val="333333"/>
          <w:kern w:val="0"/>
          <w:sz w:val="32"/>
          <w:szCs w:val="32"/>
        </w:rPr>
      </w:pPr>
    </w:p>
    <w:p w:rsidR="003E7FA6" w:rsidRPr="003E7FA6" w:rsidRDefault="003E7FA6" w:rsidP="003E7FA6">
      <w:pPr>
        <w:widowControl/>
        <w:shd w:val="clear" w:color="auto" w:fill="FFFFFF"/>
        <w:spacing w:line="560" w:lineRule="exact"/>
        <w:ind w:firstLineChars="200" w:firstLine="640"/>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为进一步支持科技创新，鼓励科技型中小企业加大研发投入，现就提高科技型中小企业研究开发费用（以下简称研发费用）税前加计扣除比例有关问题公告如下：</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 xml:space="preserve"> </w:t>
      </w:r>
    </w:p>
    <w:p w:rsidR="003E7FA6" w:rsidRPr="003E7FA6" w:rsidRDefault="003E7FA6" w:rsidP="003E7FA6">
      <w:pPr>
        <w:widowControl/>
        <w:shd w:val="clear" w:color="auto" w:fill="FFFFFF"/>
        <w:spacing w:line="560" w:lineRule="exact"/>
        <w:ind w:firstLineChars="200" w:firstLine="640"/>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 xml:space="preserve">　　二、科技型中小企业条件和管理办法按照《科技部</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财政部</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国家税务总局关于印发&lt;科技型中小企业评价办法&gt;的通知》（国科发政〔2017〕115号）执行。</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 xml:space="preserve">　　三、科技型中小企业享受研发费用税前加计扣除政策的其他政策口径和管理要求，按照《财政部</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国家税务总局</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科技部关于完善研究开发费用税前加计扣除政策的通知》（财税〔2015〕119号）、《财政部</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税务总局</w:t>
      </w:r>
      <w:r w:rsidRPr="003E7FA6">
        <w:rPr>
          <w:rFonts w:ascii="宋体" w:eastAsia="仿宋_GB2312" w:hAnsi="宋体" w:cs="宋体" w:hint="eastAsia"/>
          <w:color w:val="333333"/>
          <w:kern w:val="0"/>
          <w:sz w:val="32"/>
          <w:szCs w:val="32"/>
        </w:rPr>
        <w:t> </w:t>
      </w:r>
      <w:r w:rsidRPr="003E7FA6">
        <w:rPr>
          <w:rFonts w:ascii="仿宋_GB2312" w:eastAsia="仿宋_GB2312" w:hAnsi="宋体" w:cs="宋体" w:hint="eastAsia"/>
          <w:color w:val="333333"/>
          <w:kern w:val="0"/>
          <w:sz w:val="32"/>
          <w:szCs w:val="32"/>
        </w:rPr>
        <w:t>科技部关于企业委托境外研究开发费用税前加计扣除有关政策问题的通知》（财税〔2018〕64号）等文件相关规定执行。</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 xml:space="preserve">　　四、本公告自2022年1月1日起执行。</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 xml:space="preserve">　　</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jc w:val="left"/>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lastRenderedPageBreak/>
        <w:t xml:space="preserve">　　</w:t>
      </w:r>
      <w:r w:rsidRPr="003E7FA6">
        <w:rPr>
          <w:rFonts w:ascii="宋体" w:eastAsia="仿宋_GB2312" w:hAnsi="宋体" w:cs="宋体" w:hint="eastAsia"/>
          <w:color w:val="333333"/>
          <w:kern w:val="0"/>
          <w:sz w:val="32"/>
          <w:szCs w:val="32"/>
        </w:rPr>
        <w:t>  </w:t>
      </w:r>
    </w:p>
    <w:p w:rsidR="003E7FA6" w:rsidRPr="003E7FA6" w:rsidRDefault="003E7FA6" w:rsidP="003E7FA6">
      <w:pPr>
        <w:widowControl/>
        <w:shd w:val="clear" w:color="auto" w:fill="FFFFFF"/>
        <w:spacing w:line="560" w:lineRule="exact"/>
        <w:ind w:right="640"/>
        <w:jc w:val="center"/>
        <w:rPr>
          <w:rFonts w:ascii="仿宋_GB2312" w:eastAsia="仿宋_GB2312" w:hAnsi="宋体" w:cs="宋体" w:hint="eastAsia"/>
          <w:color w:val="333333"/>
          <w:kern w:val="0"/>
          <w:sz w:val="32"/>
          <w:szCs w:val="32"/>
        </w:rPr>
      </w:pPr>
      <w:r w:rsidRPr="003E7FA6">
        <w:rPr>
          <w:rFonts w:ascii="仿宋_GB2312" w:eastAsia="仿宋_GB2312" w:hAnsi="宋体" w:cs="宋体" w:hint="eastAsia"/>
          <w:color w:val="333333"/>
          <w:kern w:val="0"/>
          <w:sz w:val="32"/>
          <w:szCs w:val="32"/>
        </w:rPr>
        <w:t>财政部</w:t>
      </w:r>
      <w:r>
        <w:rPr>
          <w:rFonts w:ascii="宋体" w:eastAsia="仿宋_GB2312" w:hAnsi="宋体" w:cs="宋体" w:hint="eastAsia"/>
          <w:color w:val="333333"/>
          <w:kern w:val="0"/>
          <w:sz w:val="32"/>
          <w:szCs w:val="32"/>
        </w:rPr>
        <w:t xml:space="preserve">        </w:t>
      </w:r>
      <w:r w:rsidRPr="003E7FA6">
        <w:rPr>
          <w:rFonts w:ascii="仿宋_GB2312" w:eastAsia="仿宋_GB2312" w:hAnsi="宋体" w:cs="宋体" w:hint="eastAsia"/>
          <w:color w:val="333333"/>
          <w:kern w:val="0"/>
          <w:sz w:val="32"/>
          <w:szCs w:val="32"/>
        </w:rPr>
        <w:t>税务总局</w:t>
      </w:r>
      <w:r>
        <w:rPr>
          <w:rFonts w:ascii="宋体" w:eastAsia="仿宋_GB2312" w:hAnsi="宋体" w:cs="宋体" w:hint="eastAsia"/>
          <w:color w:val="333333"/>
          <w:kern w:val="0"/>
          <w:sz w:val="32"/>
          <w:szCs w:val="32"/>
        </w:rPr>
        <w:t xml:space="preserve">        </w:t>
      </w:r>
      <w:r w:rsidRPr="003E7FA6">
        <w:rPr>
          <w:rFonts w:ascii="仿宋_GB2312" w:eastAsia="仿宋_GB2312" w:hAnsi="宋体" w:cs="宋体" w:hint="eastAsia"/>
          <w:color w:val="333333"/>
          <w:kern w:val="0"/>
          <w:sz w:val="32"/>
          <w:szCs w:val="32"/>
        </w:rPr>
        <w:t>科技部</w:t>
      </w:r>
    </w:p>
    <w:p w:rsidR="00C10F4C" w:rsidRPr="003E7FA6" w:rsidRDefault="003E7FA6" w:rsidP="003E7FA6">
      <w:pPr>
        <w:widowControl/>
        <w:shd w:val="clear" w:color="auto" w:fill="FFFFFF"/>
        <w:spacing w:line="560" w:lineRule="exact"/>
        <w:ind w:right="640"/>
        <w:jc w:val="center"/>
        <w:rPr>
          <w:rFonts w:ascii="仿宋_GB2312" w:eastAsia="仿宋_GB2312" w:hint="eastAsia"/>
          <w:sz w:val="32"/>
          <w:szCs w:val="32"/>
        </w:rPr>
      </w:pPr>
      <w:r>
        <w:rPr>
          <w:rFonts w:ascii="仿宋_GB2312" w:eastAsia="仿宋_GB2312" w:hAnsi="宋体" w:cs="宋体" w:hint="eastAsia"/>
          <w:color w:val="333333"/>
          <w:kern w:val="0"/>
          <w:sz w:val="32"/>
          <w:szCs w:val="32"/>
        </w:rPr>
        <w:t xml:space="preserve">                               </w:t>
      </w:r>
      <w:r w:rsidRPr="003E7FA6">
        <w:rPr>
          <w:rFonts w:ascii="仿宋_GB2312" w:eastAsia="仿宋_GB2312" w:hAnsi="宋体" w:cs="宋体" w:hint="eastAsia"/>
          <w:color w:val="333333"/>
          <w:kern w:val="0"/>
          <w:sz w:val="32"/>
          <w:szCs w:val="32"/>
        </w:rPr>
        <w:t>2022年3月23日</w:t>
      </w:r>
    </w:p>
    <w:sectPr w:rsidR="00C10F4C" w:rsidRPr="003E7FA6" w:rsidSect="00C10F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E6" w:rsidRDefault="00C962E6" w:rsidP="003E7FA6">
      <w:r>
        <w:separator/>
      </w:r>
    </w:p>
  </w:endnote>
  <w:endnote w:type="continuationSeparator" w:id="0">
    <w:p w:rsidR="00C962E6" w:rsidRDefault="00C962E6" w:rsidP="003E7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E6" w:rsidRDefault="00C962E6" w:rsidP="003E7FA6">
      <w:r>
        <w:separator/>
      </w:r>
    </w:p>
  </w:footnote>
  <w:footnote w:type="continuationSeparator" w:id="0">
    <w:p w:rsidR="00C962E6" w:rsidRDefault="00C962E6" w:rsidP="003E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A6"/>
    <w:rsid w:val="003E7FA6"/>
    <w:rsid w:val="00C10F4C"/>
    <w:rsid w:val="00C96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F4C"/>
    <w:pPr>
      <w:widowControl w:val="0"/>
      <w:jc w:val="both"/>
    </w:pPr>
  </w:style>
  <w:style w:type="paragraph" w:styleId="2">
    <w:name w:val="heading 2"/>
    <w:basedOn w:val="a"/>
    <w:link w:val="2Char"/>
    <w:uiPriority w:val="9"/>
    <w:qFormat/>
    <w:rsid w:val="003E7F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FA6"/>
    <w:rPr>
      <w:sz w:val="18"/>
      <w:szCs w:val="18"/>
    </w:rPr>
  </w:style>
  <w:style w:type="paragraph" w:styleId="a4">
    <w:name w:val="footer"/>
    <w:basedOn w:val="a"/>
    <w:link w:val="Char0"/>
    <w:uiPriority w:val="99"/>
    <w:semiHidden/>
    <w:unhideWhenUsed/>
    <w:rsid w:val="003E7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FA6"/>
    <w:rPr>
      <w:sz w:val="18"/>
      <w:szCs w:val="18"/>
    </w:rPr>
  </w:style>
  <w:style w:type="character" w:customStyle="1" w:styleId="2Char">
    <w:name w:val="标题 2 Char"/>
    <w:basedOn w:val="a0"/>
    <w:link w:val="2"/>
    <w:uiPriority w:val="9"/>
    <w:rsid w:val="003E7FA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83870013">
      <w:bodyDiv w:val="1"/>
      <w:marLeft w:val="0"/>
      <w:marRight w:val="0"/>
      <w:marTop w:val="0"/>
      <w:marBottom w:val="0"/>
      <w:divBdr>
        <w:top w:val="none" w:sz="0" w:space="0" w:color="auto"/>
        <w:left w:val="none" w:sz="0" w:space="0" w:color="auto"/>
        <w:bottom w:val="none" w:sz="0" w:space="0" w:color="auto"/>
        <w:right w:val="none" w:sz="0" w:space="0" w:color="auto"/>
      </w:divBdr>
      <w:divsChild>
        <w:div w:id="208499092">
          <w:marLeft w:val="0"/>
          <w:marRight w:val="0"/>
          <w:marTop w:val="0"/>
          <w:marBottom w:val="0"/>
          <w:divBdr>
            <w:top w:val="none" w:sz="0" w:space="0" w:color="auto"/>
            <w:left w:val="none" w:sz="0" w:space="0" w:color="auto"/>
            <w:bottom w:val="none" w:sz="0" w:space="0" w:color="auto"/>
            <w:right w:val="none" w:sz="0" w:space="0" w:color="auto"/>
          </w:divBdr>
          <w:divsChild>
            <w:div w:id="3870685">
              <w:marLeft w:val="0"/>
              <w:marRight w:val="0"/>
              <w:marTop w:val="0"/>
              <w:marBottom w:val="0"/>
              <w:divBdr>
                <w:top w:val="none" w:sz="0" w:space="0" w:color="auto"/>
                <w:left w:val="none" w:sz="0" w:space="0" w:color="auto"/>
                <w:bottom w:val="none" w:sz="0" w:space="0" w:color="auto"/>
                <w:right w:val="none" w:sz="0" w:space="0" w:color="auto"/>
              </w:divBdr>
              <w:divsChild>
                <w:div w:id="529880230">
                  <w:marLeft w:val="0"/>
                  <w:marRight w:val="0"/>
                  <w:marTop w:val="0"/>
                  <w:marBottom w:val="0"/>
                  <w:divBdr>
                    <w:top w:val="none" w:sz="0" w:space="0" w:color="auto"/>
                    <w:left w:val="none" w:sz="0" w:space="0" w:color="auto"/>
                    <w:bottom w:val="none" w:sz="0" w:space="0" w:color="auto"/>
                    <w:right w:val="none" w:sz="0" w:space="0" w:color="auto"/>
                  </w:divBdr>
                  <w:divsChild>
                    <w:div w:id="943147794">
                      <w:marLeft w:val="0"/>
                      <w:marRight w:val="0"/>
                      <w:marTop w:val="0"/>
                      <w:marBottom w:val="0"/>
                      <w:divBdr>
                        <w:top w:val="none" w:sz="0" w:space="0" w:color="auto"/>
                        <w:left w:val="none" w:sz="0" w:space="0" w:color="auto"/>
                        <w:bottom w:val="none" w:sz="0" w:space="0" w:color="auto"/>
                        <w:right w:val="none" w:sz="0" w:space="0" w:color="auto"/>
                      </w:divBdr>
                      <w:divsChild>
                        <w:div w:id="1994212562">
                          <w:marLeft w:val="0"/>
                          <w:marRight w:val="0"/>
                          <w:marTop w:val="0"/>
                          <w:marBottom w:val="0"/>
                          <w:divBdr>
                            <w:top w:val="none" w:sz="0" w:space="0" w:color="auto"/>
                            <w:left w:val="none" w:sz="0" w:space="0" w:color="auto"/>
                            <w:bottom w:val="none" w:sz="0" w:space="0" w:color="auto"/>
                            <w:right w:val="none" w:sz="0" w:space="0" w:color="auto"/>
                          </w:divBdr>
                          <w:divsChild>
                            <w:div w:id="19439508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2022-04-02T03:21:00Z</dcterms:created>
  <dcterms:modified xsi:type="dcterms:W3CDTF">2022-04-02T03:23:00Z</dcterms:modified>
</cp:coreProperties>
</file>