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0" w:beforeAutospacing="0" w:after="0" w:afterAutospacing="0" w:line="675" w:lineRule="atLeast"/>
        <w:ind w:left="0" w:right="0"/>
        <w:jc w:val="center"/>
        <w:rPr>
          <w:rFonts w:hint="eastAsia" w:cs="宋体"/>
          <w:b/>
          <w:color w:val="333333"/>
          <w:sz w:val="32"/>
          <w:szCs w:val="32"/>
          <w:shd w:val="clear" w:fill="FFFFFF"/>
          <w:lang w:val="en-US" w:eastAsia="zh-CN"/>
        </w:rPr>
      </w:pPr>
      <w:r>
        <w:rPr>
          <w:rFonts w:hint="eastAsia" w:cs="宋体"/>
          <w:b/>
          <w:color w:val="333333"/>
          <w:sz w:val="32"/>
          <w:szCs w:val="32"/>
          <w:shd w:val="clear" w:fill="FFFFFF"/>
          <w:lang w:val="en-US" w:eastAsia="zh-CN"/>
        </w:rPr>
        <w:t xml:space="preserve"> </w:t>
      </w:r>
    </w:p>
    <w:p>
      <w:pPr>
        <w:pStyle w:val="2"/>
        <w:keepNext w:val="0"/>
        <w:keepLines w:val="0"/>
        <w:widowControl/>
        <w:suppressLineNumbers w:val="0"/>
        <w:pBdr>
          <w:bottom w:val="none" w:color="auto" w:sz="0" w:space="0"/>
        </w:pBdr>
        <w:spacing w:before="0" w:beforeAutospacing="0" w:after="0" w:afterAutospacing="0" w:line="675" w:lineRule="atLeast"/>
        <w:ind w:left="0" w:right="0"/>
        <w:jc w:val="center"/>
        <w:rPr>
          <w:rFonts w:hint="eastAsia" w:ascii="宋体" w:hAnsi="宋体" w:eastAsia="宋体" w:cs="宋体"/>
          <w:b/>
          <w:sz w:val="44"/>
          <w:szCs w:val="44"/>
        </w:rPr>
      </w:pPr>
      <w:r>
        <w:rPr>
          <w:rFonts w:hint="eastAsia" w:ascii="宋体" w:hAnsi="宋体" w:eastAsia="宋体" w:cs="宋体"/>
          <w:b/>
          <w:color w:val="333333"/>
          <w:sz w:val="44"/>
          <w:szCs w:val="44"/>
          <w:shd w:val="clear" w:fill="FFFFFF"/>
        </w:rPr>
        <w:t>关于支持新型冠状病毒感染的肺炎疫情防控有关税收政策的公告</w:t>
      </w:r>
    </w:p>
    <w:p>
      <w:pPr>
        <w:pStyle w:val="3"/>
        <w:keepNext w:val="0"/>
        <w:keepLines w:val="0"/>
        <w:widowControl/>
        <w:suppressLineNumbers w:val="0"/>
        <w:spacing w:before="0" w:beforeAutospacing="0" w:after="210" w:afterAutospacing="0" w:line="27" w:lineRule="atLeast"/>
        <w:ind w:left="0" w:right="0"/>
        <w:jc w:val="center"/>
        <w:rPr>
          <w:rFonts w:hint="eastAsia" w:ascii="宋体" w:hAnsi="宋体" w:eastAsia="宋体" w:cs="宋体"/>
          <w:b w:val="0"/>
          <w:bCs/>
          <w:sz w:val="32"/>
          <w:szCs w:val="32"/>
        </w:rPr>
      </w:pPr>
      <w:r>
        <w:rPr>
          <w:rStyle w:val="6"/>
          <w:rFonts w:hint="eastAsia" w:ascii="宋体" w:hAnsi="宋体" w:eastAsia="宋体" w:cs="宋体"/>
          <w:b w:val="0"/>
          <w:bCs/>
          <w:color w:val="333333"/>
          <w:sz w:val="32"/>
          <w:szCs w:val="32"/>
          <w:shd w:val="clear" w:fill="FFFFFF"/>
        </w:rPr>
        <w:t>财政部 税务总局公告2020年第8号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 w:lineRule="atLeast"/>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为进一步做好新型冠状病毒感染的肺炎疫情防控工作，</w:t>
      </w:r>
      <w:bookmarkStart w:id="0" w:name="_GoBack"/>
      <w:bookmarkEnd w:id="0"/>
      <w:r>
        <w:rPr>
          <w:rFonts w:hint="eastAsia" w:ascii="宋体" w:hAnsi="宋体" w:eastAsia="宋体" w:cs="宋体"/>
          <w:color w:val="333333"/>
          <w:sz w:val="32"/>
          <w:szCs w:val="32"/>
          <w:shd w:val="clear" w:fill="FFFFFF"/>
        </w:rPr>
        <w:t>支持相关企业发展，现就有关税收政策公告如下：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 w:lineRule="atLeast"/>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一、对疫情防控重点保障物资生产企业为扩大产能新购置的相关设备，允许一次性计入当期成本费用在企业所得税税前扣除。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 w:lineRule="atLeast"/>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二、疫情防控重点保障物资生产企业可以按月向主管税务机关申请全额退还增值税增量留抵税额。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 w:lineRule="atLeast"/>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本公告所称增量留抵税额，是指与2019年12月底相比新增加的期末留抵税额。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 w:lineRule="atLeast"/>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本公告第一条、第二条所称疫情防控重点保障物资生产企业名单，由省级及以上发展改革部门、工业和信息化部门确定。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 w:lineRule="atLeast"/>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三、对纳税人运输疫情防控重点保障物资取得的收入，免征增值税。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 w:lineRule="atLeast"/>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疫情防控重点保障物资的具体范围，由国家发展改革委、工业和信息化部确定。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 w:lineRule="atLeast"/>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四、受疫情影响较大的困难行业企业2020年度发生的亏损，最长结转年限由5年延长至8年。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 w:lineRule="atLeast"/>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 w:lineRule="atLeast"/>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五、对纳税人提供公共交通运输服务、生活服务，以及为居民提供必需生活物资快递收派服务取得的收入，免征增值税。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 w:lineRule="atLeast"/>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公共交通运输服务的具体范围，按照《营业税改征增值税试点有关事项的规定》（财税〔2016〕36号印发）执行。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 w:lineRule="atLeast"/>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生活服务、快递收派服务的具体范围，按照《销售服务、无形资产、不动产注释》（财税〔2016〕36号印发）执行。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 w:lineRule="atLeast"/>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六、本公告自2020年1月1日起实施，截止日期视疫情情况另行公告。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 w:lineRule="atLeast"/>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 w:lineRule="atLeast"/>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w:t>
      </w:r>
      <w:r>
        <w:rPr>
          <w:rFonts w:hint="eastAsia" w:ascii="宋体" w:hAnsi="宋体" w:eastAsia="宋体" w:cs="宋体"/>
          <w:color w:val="333333"/>
          <w:sz w:val="32"/>
          <w:szCs w:val="32"/>
          <w:shd w:val="clear" w:fill="FFFFFF"/>
          <w:lang w:val="en-US" w:eastAsia="zh-CN"/>
        </w:rPr>
        <w:t xml:space="preserve">                     </w:t>
      </w:r>
      <w:r>
        <w:rPr>
          <w:rFonts w:hint="eastAsia" w:ascii="宋体" w:hAnsi="宋体" w:eastAsia="宋体" w:cs="宋体"/>
          <w:color w:val="333333"/>
          <w:sz w:val="32"/>
          <w:szCs w:val="32"/>
          <w:shd w:val="clear" w:fill="FFFFFF"/>
        </w:rPr>
        <w:t>　财政部  税务总局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 w:lineRule="atLeast"/>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color w:val="333333"/>
          <w:sz w:val="32"/>
          <w:szCs w:val="32"/>
          <w:shd w:val="clear" w:fill="FFFFFF"/>
        </w:rPr>
        <w:t>　</w:t>
      </w:r>
      <w:r>
        <w:rPr>
          <w:rFonts w:hint="eastAsia" w:ascii="宋体" w:hAnsi="宋体" w:eastAsia="宋体" w:cs="宋体"/>
          <w:color w:val="333333"/>
          <w:sz w:val="32"/>
          <w:szCs w:val="32"/>
          <w:shd w:val="clear" w:fill="FFFFFF"/>
          <w:lang w:val="en-US" w:eastAsia="zh-CN"/>
        </w:rPr>
        <w:t xml:space="preserve">                      </w:t>
      </w:r>
      <w:r>
        <w:rPr>
          <w:rFonts w:hint="eastAsia" w:ascii="宋体" w:hAnsi="宋体" w:eastAsia="宋体" w:cs="宋体"/>
          <w:color w:val="333333"/>
          <w:sz w:val="32"/>
          <w:szCs w:val="32"/>
          <w:shd w:val="clear" w:fill="FFFFFF"/>
        </w:rPr>
        <w:t>　2020年2月6日</w:t>
      </w: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B373C"/>
    <w:rsid w:val="20DC5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lenovo</cp:lastModifiedBy>
  <cp:lastPrinted>2020-02-22T06:30:31Z</cp:lastPrinted>
  <dcterms:modified xsi:type="dcterms:W3CDTF">2020-02-22T06:30:36Z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