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649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eastAsia="en-US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保定市徐水区发展和改革局</w:t>
      </w:r>
    </w:p>
    <w:p w14:paraId="6ED6B3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lang w:eastAsia="en-US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lang w:eastAsia="en-US"/>
        </w:rPr>
        <w:t>关于《</w:t>
      </w:r>
      <w:r>
        <w:rPr>
          <w:rFonts w:hint="eastAsia" w:ascii="方正小标宋_GBK" w:hAnsi="方正小标宋_GBK" w:eastAsia="方正小标宋_GBK" w:cs="方正小标宋_GBK"/>
          <w:color w:val="000000"/>
          <w:w w:val="100"/>
          <w:sz w:val="44"/>
          <w:szCs w:val="44"/>
          <w:highlight w:val="none"/>
        </w:rPr>
        <w:t>保定市徐水区推进服务业扩能提质实施方案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lang w:eastAsia="en-US"/>
        </w:rPr>
        <w:t>》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lang w:eastAsia="zh-CN"/>
        </w:rPr>
        <w:t>公开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lang w:eastAsia="en-US"/>
        </w:rPr>
        <w:t>征求公平竞争审查意见的公告</w:t>
      </w:r>
    </w:p>
    <w:p w14:paraId="38BE38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en-US"/>
        </w:rPr>
      </w:pPr>
    </w:p>
    <w:p w14:paraId="1B798A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en-US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en-US"/>
        </w:rPr>
        <w:t>根据《公平竞争审查条例》（国务院令第783号）和《公平竞争审查条例实施办法》（国家市场监督管理总局令第99号）有关规定，现公开征求《保定市徐水区推进服务业扩能提质实施方案》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公平竞争审查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en-US"/>
        </w:rPr>
        <w:t>意见。如认为本政策措施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存在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en-US"/>
        </w:rPr>
        <w:t>违反《反垄断法》《公平竞争审查条例》《公平竞争审查条例实施办法》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en-US"/>
        </w:rPr>
        <w:t>有关规定，含有排除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en-US"/>
        </w:rPr>
        <w:t>限制市场竞争的内容，请于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en-US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en-US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en-US"/>
        </w:rPr>
        <w:t>日前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反馈至区发改局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315室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en-US"/>
        </w:rPr>
        <w:t>。</w:t>
      </w:r>
    </w:p>
    <w:p w14:paraId="4B1FE5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en-US"/>
        </w:rPr>
        <w:t>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en-US"/>
        </w:rPr>
        <w:t>系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en-US"/>
        </w:rPr>
        <w:t>人: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刘晓虹</w:t>
      </w:r>
    </w:p>
    <w:p w14:paraId="1F15AA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en-US"/>
        </w:rPr>
        <w:t>联系电话: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8685094</w:t>
      </w:r>
    </w:p>
    <w:p w14:paraId="5B05F9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en-US"/>
        </w:rPr>
        <w:t>邮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en-US"/>
        </w:rPr>
        <w:t>箱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fgjghg8685094@163.com</w:t>
      </w:r>
    </w:p>
    <w:p w14:paraId="6BA3F482">
      <w:pPr>
        <w:pStyle w:val="2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bookmarkStart w:id="0" w:name="_GoBack"/>
      <w:bookmarkEnd w:id="0"/>
    </w:p>
    <w:p w14:paraId="5B15A46A">
      <w:pP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04FA6959">
      <w:pPr>
        <w:pStyle w:val="2"/>
        <w:wordWrap w:val="0"/>
        <w:jc w:val="right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 xml:space="preserve">保定市徐水区发展和改革局  </w:t>
      </w:r>
    </w:p>
    <w:p w14:paraId="55C9F43C">
      <w:pPr>
        <w:wordWrap w:val="0"/>
        <w:jc w:val="right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 xml:space="preserve">2026年9月28日        </w:t>
      </w:r>
    </w:p>
    <w:p w14:paraId="44AE06EA">
      <w:pP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br w:type="page"/>
      </w:r>
    </w:p>
    <w:p w14:paraId="7D949E2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w w:val="100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000000"/>
          <w:w w:val="100"/>
          <w:sz w:val="44"/>
          <w:szCs w:val="44"/>
          <w:highlight w:val="none"/>
        </w:rPr>
        <w:t>保定市徐水区推进服务业扩能提质实施方案</w:t>
      </w:r>
    </w:p>
    <w:p w14:paraId="09C4D77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8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24"/>
          <w:szCs w:val="24"/>
          <w:highlight w:val="none"/>
        </w:rPr>
      </w:pPr>
    </w:p>
    <w:p w14:paraId="105ECC6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  <w:t>为贯彻落实《国务院关于推进服务业扩能提质的意见》（国发〔2026〕7号）、《河北省推进服务业扩能提质实施方案》（冀政办字〔2026〕36号）、《保定市推进服务业扩能提质实施方案》精神，推动我区服务业向更高能级、更优品质、更强竞争力跃升，力争到2030年全区服务业总规模突破160亿元，结合徐水区实际制定本实施方案。</w:t>
      </w:r>
    </w:p>
    <w:p w14:paraId="47F4799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000000"/>
          <w:w w:val="100"/>
          <w:sz w:val="32"/>
          <w:szCs w:val="32"/>
          <w:highlight w:val="none"/>
        </w:rPr>
        <w:t>一、重点任务</w:t>
      </w:r>
    </w:p>
    <w:p w14:paraId="0A65BD6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  <w:t>（一）强化科技服务支撑作用</w:t>
      </w:r>
    </w:p>
    <w:p w14:paraId="3ECDD96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w w:val="100"/>
          <w:sz w:val="32"/>
          <w:szCs w:val="32"/>
          <w:highlight w:val="none"/>
        </w:rPr>
        <w:t>1.研发设计。</w:t>
      </w: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  <w:t>大力培育专业化研发设计服务业态，引导重点企业搭建内部研发设计载体，鼓励企业剥离研发设计环节、组建独立服务机构，面向行业提供产品迭代、工艺优化、结构设计、样品试制等专业化配套服务。积极对接京津雄安高端工业设计、工程研发资源，引进优质设计团队与技术服务机构，补齐本土高端研发设计短板。完善工业设计中心梯度培育机制，争创各级工业设计中心，推动工业设计向高端综合设计、数智化设计转型。到2030年，国家级工业设计中心累计达到1家、省级工业设计中心达到6家、市级工业设计中心达到2家。到2030年，省级以上科创平台达到10家。（责任单位：区科工局、区发改局）</w:t>
      </w:r>
    </w:p>
    <w:p w14:paraId="0BDC5CD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w w:val="100"/>
          <w:sz w:val="32"/>
          <w:szCs w:val="32"/>
          <w:highlight w:val="none"/>
        </w:rPr>
        <w:t>2.科技成果转化。</w:t>
      </w: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  <w:t>常态化搭建校企对接平台，推动辖区企业与高校院所建立长期务实合作关系，促进实验室科研成果、先进技术在辖区落地转化、中试熟化，破解企业技术升级难题，培育科技成果转移转化专业化服务。聚焦汽车、电力装备、新材料等领域布局建设概念验证中心、中试验证平台。力争到2030年，中试验证平台达到1家。（责任单位：区科工局）</w:t>
      </w:r>
    </w:p>
    <w:p w14:paraId="5F64E0E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w w:val="100"/>
          <w:sz w:val="32"/>
          <w:szCs w:val="32"/>
          <w:highlight w:val="none"/>
        </w:rPr>
        <w:t>3.知识产权。</w:t>
      </w: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  <w:t>发展高价值专利培育、涉外知识产权维权服务。高标准建设高新技术开发区知识产权公共服务机构，完善配套政策，引进高水平服务机构入驻，搭建知识产权服务平台，围绕重点产业、园区、企业开展专利转化对接、强企提升、金融服务、商标惠企、新兴领域知识产权保护。逐步完善知识产权公共服务体系建设。到2030年，全区高价值发明专利万人拥有量达到4.15件，知识产权公共服务机构入驻达到2家，国家知识产权示范企业达到2家。（责任单位：区市场监管局）</w:t>
      </w:r>
    </w:p>
    <w:p w14:paraId="6F34DCF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w w:val="100"/>
          <w:sz w:val="32"/>
          <w:szCs w:val="32"/>
          <w:highlight w:val="none"/>
        </w:rPr>
        <w:t>4.检验检测认证。</w:t>
      </w: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  <w:t>鼓励现有本土检测机构做精做实基础检测业务，拓展面向中小企业的普惠性检测服务。主动对接京津及省市优质检验检测认证资源，积极搭建供需对接桥梁，推动域外高水平检测认证机构与区内产业开展业务合作，补齐高端检验检测服务短板，更好满足主导产业产品研发、质量提升、合规认证的现实需求。（责任单位：区市场监管局）</w:t>
      </w:r>
    </w:p>
    <w:p w14:paraId="19AFE07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  <w:t>（二）提升现代物流竞争效能</w:t>
      </w:r>
    </w:p>
    <w:p w14:paraId="67EB786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w w:val="100"/>
          <w:sz w:val="32"/>
          <w:szCs w:val="32"/>
          <w:highlight w:val="none"/>
        </w:rPr>
        <w:t>1.货物运输。</w:t>
      </w: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  <w:t>大力发展多式联运，推广“一单制”“一箱制”物流服务模式，推动大宗货物运输“公转铁”，持续优化运输结构。加快物流绿色转型，推广新能源货运车辆，支持货运枢纽场站绿色化升级改造。到2030年，累计淘汰老旧货车450辆，新增营运新能源货车60辆。（贵任单位：区交通分局）</w:t>
      </w:r>
    </w:p>
    <w:p w14:paraId="3AF0875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w w:val="100"/>
          <w:sz w:val="32"/>
          <w:szCs w:val="32"/>
          <w:highlight w:val="none"/>
        </w:rPr>
        <w:t>2.快递物流。</w:t>
      </w: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  <w:t>深化县域快递物流中心和农村寄递物流体系建设，补齐农村地区快递基础设施短板，提升末端投递服务能力，畅通工业品下乡、农产品进城双向流通渠道。到2030年，乡镇快递网点覆盖率达到100％，行政村物流服务通达率达到90％。（责任单位：区交通分局）。</w:t>
      </w:r>
    </w:p>
    <w:p w14:paraId="591071B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  <w:t>（三）推动软件和信息服务创新</w:t>
      </w:r>
    </w:p>
    <w:p w14:paraId="21C4666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w w:val="100"/>
          <w:sz w:val="32"/>
          <w:szCs w:val="32"/>
          <w:highlight w:val="none"/>
        </w:rPr>
        <w:t>1.软件和信息服务。</w:t>
      </w: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  <w:t>加强企业培育，围绕汽车零部件、高端装备制造主导产业，重点培育工业控制系统、生产管理、供应链管理等轻量化工业软件应用服务，为企业数字化改造提供本土化、适配性强的软件技术支撑。积极引进软件开发、系统集成、信息化运维、网络安全等优质服务资源，承接区域信息化外包业务，稳步拓展政企信息化建设、智慧场景搭建、设备运维保障等服务场景。支持企业申报河北省软件创新产品。到2030年，培育省级软件创新产品1个。（责任单位：区科工局）</w:t>
      </w:r>
    </w:p>
    <w:p w14:paraId="3482783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w w:val="100"/>
          <w:sz w:val="32"/>
          <w:szCs w:val="32"/>
          <w:highlight w:val="none"/>
        </w:rPr>
        <w:t>2.数据服务。</w:t>
      </w: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  <w:t>积极推进百度云计算（徐水城区）中心项目建设，夯实数据产业发展底座。有序拓展数据采集、加工处理、算力租赁等数据服务供给。立足我区汽车装备制造主导产业优势，引导制造企业挖掘生产、供应链等数据价值，推动数据服务深度嵌入工业研发、生产管控、运维服务全流程，赋能智能工厂、数字化车间建设。到2030年，全区智算规模达到1万P。（责任单位：区发改局）</w:t>
      </w:r>
    </w:p>
    <w:p w14:paraId="14EB552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  <w:t>（四）增强金融专业服务能力</w:t>
      </w:r>
    </w:p>
    <w:p w14:paraId="4177639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w w:val="100"/>
          <w:sz w:val="32"/>
          <w:szCs w:val="32"/>
          <w:highlight w:val="none"/>
        </w:rPr>
        <w:t>1.普惠金融。</w:t>
      </w: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  <w:t>完善小微企业融资担保和征信服务体系，扩大首贷、续贷、信用贷覆盖面。建立中小微企业融资需求库，定期组织银企对接，持续压降综合融资成本。推动金融服务站点向乡镇、行政村延伸，优化农村数字移动支付、小额信贷服务。到2030年，实现普惠型小微企业贷款余额超88亿元。（责任单位：区政府办、金融监管支局）</w:t>
      </w:r>
    </w:p>
    <w:p w14:paraId="79D77C6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w w:val="100"/>
          <w:sz w:val="32"/>
          <w:szCs w:val="32"/>
          <w:highlight w:val="none"/>
        </w:rPr>
        <w:t>2.产业金融。</w:t>
      </w: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  <w:t>持续深化区域金融服务供给，鼓励金融机构开展存货、订单、仓单等动产和权利质押融资。聚焦区内企业技改升级、数字化改造、节能降碳等重点领域，积极向上争取信贷额度，加大中长期信贷投放力度。主动对接市级金融创新产品，推广科创贷、知识产权质押贷、专精特新贷，探索发展碳质押等绿色金融配套服务。立足我区汽车零部件、装备制造等主导产业特点，鼓励金融机构定制差异化产业金融服务方案，优化信贷审批流程，推动金融资源精准直达实体经济，助力产业提质增效。到2030年，制造业贷款余额超60亿元。（责任单位：区政府办、金融监管分局）</w:t>
      </w:r>
    </w:p>
    <w:p w14:paraId="54C9B12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  <w:t>（五）培育壮大节能环保服务</w:t>
      </w:r>
    </w:p>
    <w:p w14:paraId="20BD1CE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w w:val="100"/>
          <w:sz w:val="32"/>
          <w:szCs w:val="32"/>
          <w:highlight w:val="none"/>
        </w:rPr>
        <w:t>1.节能降碳。</w:t>
      </w: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  <w:t>推进智能网联新能源汽车及装备制造等重点行业能效诊断服务，探索开展公共机构能源消费托管服务。发展碳认证、碳咨询、碳核算、碳交易、碳金融等新兴服务业，引导服务机构积极参与节能新产品、新装备、新技术推广。支持企业对标标杆水平和先进水平，实施节能降碳改造和用能设备更新，引导鼓励企业建设零碳工厂。扎实推进经济开发区建设省级零碳园区，完善园区用能和碳排放管理机制，深入推进企业能效碳效诊断评估，提升园区能碳管理能力。到2030年，开发区建成零碳园区，创建1家零碳工厂，完成重点行业共5家企业能效诊断服务。（责任单位：区发改局、区科工局、区机关服务中心、区生态环境分局、开发区管委会）</w:t>
      </w:r>
    </w:p>
    <w:p w14:paraId="6FEB4E3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w w:val="100"/>
          <w:sz w:val="32"/>
          <w:szCs w:val="32"/>
          <w:highlight w:val="none"/>
        </w:rPr>
        <w:t>2.环境治理。</w:t>
      </w: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  <w:t>培育壮大环境治理与节能环保第三方服务，挖掘辖区内从事环境运维、污染治理、再生资源回收等领域市场主体，扶持中小环保服务企业提质发展，积极引进域外专业环保服务机构落地开展业务，推广园区环境托管、污染第三方治理等模式，面向辖区制造业企业提供节能诊断、清洁生产、环境监测、环评咨询等专业服务，发展污染治理，农业绿色高产技术服务、农业废弃物处理利用、节水评估、环境监测等服务。到2030年，培育壮大本土节能环保服务业市场主体，补齐区域环境治理专业服务短板，补齐区域环境治理专业服务短板。（责任单位：区生态环境分局、区农业农村局）</w:t>
      </w:r>
    </w:p>
    <w:p w14:paraId="7761426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  <w:t>（六）做强做优商务服务</w:t>
      </w:r>
    </w:p>
    <w:p w14:paraId="27589F1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w w:val="100"/>
          <w:sz w:val="32"/>
          <w:szCs w:val="32"/>
          <w:highlight w:val="none"/>
        </w:rPr>
        <w:t>1.人力资源服务。</w:t>
      </w: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  <w:t>通过政策引导、资源扶持和优化服务等举措，大力培育人力资源市场主体，全面激发行业创新创业活力，行业规模不断扩大，综合实力稳步提升。充分对接京津人才资源，鼓励人力资源机构开展劳务外包、劳务派遣、岗位推介、技能培训等业务，精准匹配企业用工缺口，保障重点企业用工需求。依托职业培训资源，面向产业工人开展订单式、定向化技能提升培训，培育适配产业发展的技能人才队伍。到2030年，全区人力资源服务机构达到90家。（责任单位：区人社局）</w:t>
      </w:r>
    </w:p>
    <w:p w14:paraId="13FE8DA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w w:val="100"/>
          <w:sz w:val="32"/>
          <w:szCs w:val="32"/>
          <w:highlight w:val="none"/>
        </w:rPr>
        <w:t>2.法律、咨询、会展等。</w:t>
      </w: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  <w:t>积极发展培育律师服务、财会审计、管理咨询等专业服务，紧扣辖区制造业企业经营治理、项目实施、风险防控等现实需求，引导本地法律服务机构拓展企业商事纠纷处置、知识产权法务等业务。同步培育和引进优质管理咨询、财税审计机构，为企业战略谋划、技术改造提升提供专业化智力支撑。因地制宜发展产业会展，聚焦汽车零部件、装备制造、特色农产品等优势领域，盘活现有场馆资源，常态化举办供需对接、产品展销等中小型特色会展活动，持续放大“会展+产业+消费”联动赋能效应，串联生产、流通、消费各环节，有效带动上下游全链条消费扩容提质。到2030年，力争举办各类展会活动5场次以上。（责任单位：区司法局、区财政局、区商务局）</w:t>
      </w:r>
    </w:p>
    <w:p w14:paraId="73DA76C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  <w:t>（七）优化提升居民服务</w:t>
      </w:r>
    </w:p>
    <w:p w14:paraId="649A087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w w:val="100"/>
          <w:sz w:val="32"/>
          <w:szCs w:val="32"/>
          <w:highlight w:val="none"/>
        </w:rPr>
        <w:t>1.社区服务。</w:t>
      </w: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  <w:t>开展“一刻钟便民生活服务月”活动，推动消费品以旧换新、老字号产品、特色餐饮、家政服务等优质资源下沉社区。在优先配齐便利店、超市、菜市场、早餐店等基本保障类业态的基础上，积极发展运动健身、老年康护、幼儿托管等品质提升类业态。同时，大力推广“一店多能”和数字化应用，持续提升生活圈服务能级与智慧化水平。到2030年，全区累计建成一刻钟便民生活圈8个，实现主城区全覆盖。（责任单位：区商务局）</w:t>
      </w:r>
    </w:p>
    <w:p w14:paraId="62CA0B3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w w:val="100"/>
          <w:sz w:val="32"/>
          <w:szCs w:val="32"/>
          <w:highlight w:val="none"/>
        </w:rPr>
        <w:t>2.家政服务。</w:t>
      </w: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  <w:t>紧扣京津冀协同发展战略，以深化跨区域劳务协作、擦亮家政服务品牌为工作主线，扎实开展家政服务职业技能培训，建强专业化家政人才队伍。积极推荐五星级河北福嫂。全面归集辖区家政企业岗位需求，细化岗位要求、薪酬标准等信息，搭建家政行业供需对接载体，推动家政从业人员与用工企业精准匹配。到2030年，培训家政类人才1000 人次，举办各类招聘会不少于5场。（责任单位：区人社局、区妇联）</w:t>
      </w:r>
    </w:p>
    <w:p w14:paraId="5FECE9D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  <w:t>（八）扩大养老托育普惠供给</w:t>
      </w:r>
    </w:p>
    <w:p w14:paraId="12FA55F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w w:val="100"/>
          <w:sz w:val="32"/>
          <w:szCs w:val="32"/>
          <w:highlight w:val="none"/>
        </w:rPr>
        <w:t>1.养老服务。</w:t>
      </w: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  <w:t>健全政府购买养老服务机制，引导社会力量参与养老服务业发展。积极培育连锁化普惠养老机构，深化医养结合机构提质扩容。支持乡镇建设区域养老服务中心，发展农村互助幸福点等养老服务设施，推广“农村互助养老”模式。到2030年，全市养老机构护理型床位占比达85％以上，乡镇区域养老服务中心覆盖率达到85％以上。（责任单位：区民政局）</w:t>
      </w:r>
    </w:p>
    <w:p w14:paraId="1589EC7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w w:val="100"/>
          <w:sz w:val="32"/>
          <w:szCs w:val="32"/>
          <w:highlight w:val="none"/>
        </w:rPr>
        <w:t>2.托育托幼。</w:t>
      </w: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  <w:t>根据全市统一安排部署推进普惠托育服务发展，统筹推进普惠托育与托幼一体化。推动托育服务标准化管理、规范化服务，科学制定年度普惠托位建设目标，实现普惠托位数逐年增加。（责任单位：区卫健局）</w:t>
      </w:r>
    </w:p>
    <w:p w14:paraId="39D5846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  <w:t>（九）建设高品质健康服务体系</w:t>
      </w:r>
    </w:p>
    <w:p w14:paraId="66222F4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w w:val="100"/>
          <w:sz w:val="32"/>
          <w:szCs w:val="32"/>
          <w:highlight w:val="none"/>
        </w:rPr>
        <w:t>1.医疗卫生。</w:t>
      </w: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  <w:t>支持国家区域医疗中心高效运营，重点专科诊疗水平对标京津同级医院标准。深化中医药传承创新发展，继续提高乡镇卫生院“国医堂”建设及服务能力。深化与京津三甲医疗机构合作，畅通京津专家下沉坐诊、指导手术、专家讲座渠道。到2030年，乡镇卫生院达到服务能力标准的比例保持在97％以上。（责任单位：区卫健局）</w:t>
      </w:r>
    </w:p>
    <w:p w14:paraId="2340B67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w w:val="100"/>
          <w:sz w:val="32"/>
          <w:szCs w:val="32"/>
          <w:highlight w:val="none"/>
        </w:rPr>
        <w:t>2.预防保健。</w:t>
      </w: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  <w:t>做好传染病防控医防协同医防融合，做实家庭医生签约、慢病随访、康复护理等服务。深化医养结合机构标准化建设，完善全生命周期健康服务网络。到2030年，全区医养结合机构达到2家。（责任单位：区卫健局）</w:t>
      </w:r>
    </w:p>
    <w:p w14:paraId="5AA97C2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  <w:t>（十）促进文旅体服务融合发展</w:t>
      </w:r>
    </w:p>
    <w:p w14:paraId="4B5902A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w w:val="100"/>
          <w:sz w:val="32"/>
          <w:szCs w:val="32"/>
          <w:highlight w:val="none"/>
        </w:rPr>
        <w:t>1.文化和旅游。</w:t>
      </w: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  <w:t>依托刘伶醉、神农、瀑河度假区及兴芮温泉度假区等重点资源，打造文旅融合新业态、新产品、新场景。利用好交通优势、区位优势，深入推进文农工体旅融合，着力打造非遗文创、露营休闲、农业体验、工业研学、温泉康养等新产品新场景。围绕传统白酒酿造技艺、都市农业特色资源禀赋，组建好刘伶醉研学课堂和神农园研学课堂，推进A级景区业态升级焕新，推进产业提质升级，进一步提升京、津、雄、保等地游客招徕能力。到2030年，全区旅游接待人次和旅游总花费达逐年递增5%，旅游接待人次和旅游总花费争取进入全市平原县区第一方阵。（责任单位：区文广旅局）</w:t>
      </w:r>
    </w:p>
    <w:p w14:paraId="088824F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w w:val="100"/>
          <w:sz w:val="32"/>
          <w:szCs w:val="32"/>
          <w:highlight w:val="none"/>
        </w:rPr>
        <w:t>2.体育健身。</w:t>
      </w: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  <w:t>积极依托长城集团、兴芮科技有限公司、609体育拓展有限公司、刘伶田园滑雪小镇、神农生态园、瀑河生态休闲度假区等体育产业相关企业，持续办好长城“智慧工厂”马拉松、全国排舞、武术套路、散打、排球联赛、柔力球锦标赛、青少年U系列国家级赛事，提升徐水体育品牌。培育房车露营、山地运动、水上运动等新业态。完善城乡公共体育设施供给。到2030年，全年举办各级各类体育赛事活动150场，经常参加体育锻炼人数比例达到49％。（责任单位：区体育局）</w:t>
      </w:r>
    </w:p>
    <w:p w14:paraId="4C834DC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  <w:t>（十一）提质扩容批零住餐服务</w:t>
      </w:r>
    </w:p>
    <w:p w14:paraId="1BF1803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w w:val="100"/>
          <w:sz w:val="32"/>
          <w:szCs w:val="32"/>
          <w:highlight w:val="none"/>
        </w:rPr>
        <w:t>1.批发零售。</w:t>
      </w: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  <w:t>以长城大街、永兴路等区域商业聚集区为基础，推动双隆商厦、惠友购物广场、尚峰文商旅综合体提质升级，引导业态向高端零售、首店经济、品牌旗舰、大型体验店、亲子娱乐、文化休闲优化，提升环境设计与服务品质，打造服务全区并辐射周边的现代化综合性消费核心。到2030年，全区批发和零售业增加值达到13.5亿元。（责任单位：区商务局）</w:t>
      </w:r>
    </w:p>
    <w:p w14:paraId="22B5323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w w:val="100"/>
          <w:sz w:val="32"/>
          <w:szCs w:val="32"/>
          <w:highlight w:val="none"/>
        </w:rPr>
        <w:t>2.住宿餐饮。</w:t>
      </w: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  <w:t>支持漕河驴肉、刘伶醉等徐水本土特色美食及老字号标准化、连锁化、品牌化发展，深挖本土饮食文化内涵，培育区域特色餐饮品牌矩阵。推动美食与文旅、赛事深度融合。统筹开展特色美食展销、线上直播惠民、本土爆款培育等活动，支持本土餐饮食品品牌拓展电商渠道，持续深化跨界融合，全力激活区域餐饮消费市场。鼓励引进专业酒店管理团队，严格执行国家及行业服务标准。推进住宿业连锁化发展，支持通过连锁经营、集团化、特许经营、品牌授权等方式扩张规模，培育本土精品酒店及特色民宿品牌，结合徐水酒文化、乡村生态特色发展主题住宿新业态。到2030年，全区住宿和餐饮业增加值达到3.8亿元。（责任单位：区商务局）</w:t>
      </w:r>
    </w:p>
    <w:p w14:paraId="7E4F063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w w:val="10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000000"/>
          <w:w w:val="100"/>
          <w:sz w:val="32"/>
          <w:szCs w:val="32"/>
          <w:highlight w:val="none"/>
        </w:rPr>
        <w:t>二、转型路径</w:t>
      </w:r>
    </w:p>
    <w:p w14:paraId="062D04D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  <w:t>（一）产服融合牵引</w:t>
      </w:r>
    </w:p>
    <w:p w14:paraId="0202D10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  <w:t>依托汽车零部件、装备制造等主导产业集群，以制造业需求牵引生产性服务业发展，推动研发设计、检验检测、商务咨询、节能环保、物流供应链等服务嵌入制造全链条，从单纯产品供给向“产品+服务”一体化模式转型，实现制造业与服务业双向赋能、协同增值，破解生产性服务业层次不高、与产业联动不足的短板。</w:t>
      </w:r>
    </w:p>
    <w:p w14:paraId="37DB050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  <w:t>（二）数字技术赋能</w:t>
      </w:r>
    </w:p>
    <w:p w14:paraId="49C98FF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  <w:t>以百度云计算算力资源为底座，推动数字技术全面渗透服务业各领域。一方面改造提升商贸、文旅、人力资源、健康养老等传统服务业，加快线下场景数字化改造；另一方面培育算力服务、数据治理、工业大模型应用等新兴数字服务业态，依靠数字化手段重塑服务流程、创新服务模式，破解传统服务业效率偏低、新业态培育不足问题。</w:t>
      </w:r>
    </w:p>
    <w:p w14:paraId="1A9CE9E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  <w:t>（三）区域协同借势</w:t>
      </w:r>
    </w:p>
    <w:p w14:paraId="7907F80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  <w:t>抢抓京津、雄安新区创新资源外溢机遇，主动承接高端科技服务、商务服务、人才服务等资源外溢，重在资源共享。针对我区高端检测、高端智库、科创转化平台不足等短板，重点走“异地高端资源+本地落地场景”协同路径，搭建供需对接平台，引进外部优质服务资源服务辖区企业，补齐高端服务供给缺口。</w:t>
      </w:r>
    </w:p>
    <w:p w14:paraId="7E8834B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  <w:t>（四）内需场景拉动</w:t>
      </w:r>
    </w:p>
    <w:p w14:paraId="274284F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  <w:t>紧扣消费升级趋势，依托商圈、特色街区、高速服务区、乡村文旅载体，持续打造多元消费新场景，以场景集聚人气、带动业态，推动传统商贸、文旅从单一买卖、观光模式，向体验式、沉浸式、节庆式消费转型，持续释放内需潜力。</w:t>
      </w:r>
    </w:p>
    <w:p w14:paraId="3EE40CE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  <w:t>（五）普惠民生导向</w:t>
      </w:r>
    </w:p>
    <w:p w14:paraId="7966E0A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  <w:t>围绕群众急难愁盼，推动养老、托育、医疗健康等生活服务从“有”向“优”转变，优化社区嵌入式服务布局，扩大普惠型服务供给，兼顾公益性与市场化，补齐民生服务短板，实现服务业发展成果普惠共享。</w:t>
      </w:r>
    </w:p>
    <w:p w14:paraId="0884111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w w:val="10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000000"/>
          <w:w w:val="100"/>
          <w:sz w:val="32"/>
          <w:szCs w:val="32"/>
          <w:highlight w:val="none"/>
        </w:rPr>
        <w:t>三、保障措施</w:t>
      </w:r>
    </w:p>
    <w:p w14:paraId="5873138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  <w:t>（一）强化要素支撑保障</w:t>
      </w:r>
    </w:p>
    <w:p w14:paraId="2ADC35E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  <w:t>加强用地保障，在国土空间规划中统筹安排涉及服务业发展相关用地，鼓励企业“上楼入园”集约发展，支持存量房产、闲置土地改造利用。加强资金保障，积极争取中央预算内投资、地方政府专项债等政策性资金投向冷链物流、医疗健康、养老托育基础设施，引导金融机构设立服务业专属信贷额度，落实贴息、担保支持政策。加强人才保障，引进服务业领域高层次人才，推动职业院校优化专业设置，深化产教融合，培养本土化专业技能人才。</w:t>
      </w:r>
    </w:p>
    <w:p w14:paraId="602846D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  <w:t>（二）实施企业梯度培育</w:t>
      </w:r>
    </w:p>
    <w:p w14:paraId="6E9157D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  <w:t>建立龙头企业培育库，吸引服务业领军企业在我区设立地区总部、研发中心、结算中心等功能性机构。在电子商务、文化创意、养老托育等特色领域支持小微企业走“专精特新”发展之路。推动符合条件的企业升规入统，壮大服务业市场主体规模。</w:t>
      </w:r>
    </w:p>
    <w:p w14:paraId="01E51CE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  <w:t>（三）持续优化营商环境</w:t>
      </w:r>
    </w:p>
    <w:p w14:paraId="657FD79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  <w:t>深化服务业领域改革，破除行业壁垒、市场壁垒，落实惠企政策。健全企业诉求快速响应机制，推进“高效办成一件事”改革，简化办事流程，提升服务效率，构建健康可持续的服务业发展生态。加强质量监管，创新监管方式，推进大数据智慧监管，规范市场秩序，营造公平竟争的市场环境。</w:t>
      </w:r>
    </w:p>
    <w:p w14:paraId="54490FB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w w:val="100"/>
          <w:sz w:val="32"/>
          <w:szCs w:val="32"/>
          <w:highlight w:val="none"/>
        </w:rPr>
        <w:t>（四）激发消费需求活力</w:t>
      </w:r>
    </w:p>
    <w:p w14:paraId="56288A8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</w:rPr>
        <w:t>完善消费者权益保护机制，规范服务经营行为，整治霸王条款、虚假宣传、强买强卖、价格欺诈、以次充好等乱象，维护消费者权益，营造放心消费的市场环境，提升消费意愿。发展首发经济、夜间经济等消费新业态新场景，打造商旅文体健融合消费集聚区，支持优质消费资源与知名IP跨界联名，释放服务消费潜力。</w:t>
      </w:r>
    </w:p>
    <w:p w14:paraId="2637F4A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jc w:val="both"/>
        <w:textAlignment w:val="auto"/>
        <w:rPr>
          <w:rFonts w:hint="default" w:ascii="仿宋_GB2312" w:hAnsi="仿宋_GB2312" w:eastAsia="仿宋_GB2312" w:cs="仿宋_GB2312"/>
          <w:color w:val="000000"/>
          <w:w w:val="100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5E98AE5-2A3F-4D75-860E-B1C7EE7FB72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9841A4B2-9A17-45C6-953A-C86B29CCCC6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8FD0AAA7-571E-4E71-973B-8B7410EC9274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B65526C7-BEAA-4C28-9EBD-9627619A3BA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571987">
    <w:pPr>
      <w:wordWrap w:val="0"/>
      <w:autoSpaceDE w:val="0"/>
      <w:autoSpaceDN w:val="0"/>
      <w:spacing w:before="0" w:after="0" w:line="363" w:lineRule="exact"/>
      <w:ind w:firstLine="0"/>
      <w:jc w:val="center"/>
      <w:rPr>
        <w:sz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C54C55"/>
    <w:rsid w:val="028C6D01"/>
    <w:rsid w:val="031B6725"/>
    <w:rsid w:val="0B580DCB"/>
    <w:rsid w:val="0BCC1C2F"/>
    <w:rsid w:val="0DD605C9"/>
    <w:rsid w:val="11CA08F1"/>
    <w:rsid w:val="14CB49A4"/>
    <w:rsid w:val="17B941EF"/>
    <w:rsid w:val="1EE61B31"/>
    <w:rsid w:val="213E66BD"/>
    <w:rsid w:val="253633F2"/>
    <w:rsid w:val="27F515EB"/>
    <w:rsid w:val="32E21BB2"/>
    <w:rsid w:val="362172B8"/>
    <w:rsid w:val="3C937BAE"/>
    <w:rsid w:val="3EA91107"/>
    <w:rsid w:val="3EC145F3"/>
    <w:rsid w:val="3FBB5442"/>
    <w:rsid w:val="40361EDC"/>
    <w:rsid w:val="41B9196F"/>
    <w:rsid w:val="42E14376"/>
    <w:rsid w:val="444A6B52"/>
    <w:rsid w:val="456F0BAF"/>
    <w:rsid w:val="4AC54C55"/>
    <w:rsid w:val="4D033DD5"/>
    <w:rsid w:val="5A061007"/>
    <w:rsid w:val="606D7F00"/>
    <w:rsid w:val="65D36209"/>
    <w:rsid w:val="70AC32A6"/>
    <w:rsid w:val="751E37DE"/>
    <w:rsid w:val="788C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itle"/>
    <w:basedOn w:val="1"/>
    <w:qFormat/>
    <w:uiPriority w:val="10"/>
    <w:pPr>
      <w:spacing w:line="1013" w:lineRule="exact"/>
      <w:ind w:left="220"/>
    </w:pPr>
    <w:rPr>
      <w:sz w:val="81"/>
      <w:szCs w:val="81"/>
    </w:rPr>
  </w:style>
  <w:style w:type="paragraph" w:styleId="8">
    <w:name w:val="List Paragraph"/>
    <w:basedOn w:val="1"/>
    <w:qFormat/>
    <w:uiPriority w:val="1"/>
    <w:pPr>
      <w:ind w:left="122" w:hanging="467"/>
    </w:pPr>
  </w:style>
  <w:style w:type="paragraph" w:customStyle="1" w:styleId="9">
    <w:name w:val="Table Paragraph"/>
    <w:basedOn w:val="1"/>
    <w:qFormat/>
    <w:uiPriority w:val="1"/>
  </w:style>
  <w:style w:type="table" w:customStyle="1" w:styleId="10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6596</Words>
  <Characters>6784</Characters>
  <Lines>0</Lines>
  <Paragraphs>0</Paragraphs>
  <TotalTime>3</TotalTime>
  <ScaleCrop>false</ScaleCrop>
  <LinksUpToDate>false</LinksUpToDate>
  <CharactersWithSpaces>6801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2026-09-16T08:02:00Z</dcterms:created>
  <dc:creator>WPS_1725673948</dc:creator>
  <cp:lastModifiedBy>李旺</cp:lastModifiedBy>
  <cp:lastPrinted>2026-10-22T01:53:00Z</cp:lastPrinted>
  <dcterms:modified xsi:type="dcterms:W3CDTF">2026-10-27T10:10:34Z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KSOTemplateDocerSaveRecord">
    <vt:lpwstr>eyJoZGlkIjoiODAzZDYzYThkMmM4ODQ4ZTM3ODQyNmE2MDUzMTc3YzUiLCJ1c2VySWQiOiIxODU3NDAyOTE2In0=</vt:lpwstr>
  </property>
  <property fmtid="{D5CDD505-2E9C-101B-9397-08002B2CF9AE}" pid="4" name="ICV">
    <vt:lpwstr>E72559DD5EF1432B99C7E11D4F78E813_12</vt:lpwstr>
  </property>
</Properties>
</file>