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361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14:textFill>
            <w14:solidFill>
              <w14:schemeClr w14:val="tx1"/>
            </w14:solidFill>
          </w14:textFill>
        </w:rPr>
      </w:pPr>
      <w:bookmarkStart w:id="0" w:name="_GoBack"/>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val="en-US" w:eastAsia="zh-CN"/>
          <w14:textFill>
            <w14:solidFill>
              <w14:schemeClr w14:val="tx1"/>
            </w14:solidFill>
          </w14:textFill>
        </w:rPr>
        <w:t>应急管理</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14:textFill>
            <w14:solidFill>
              <w14:schemeClr w14:val="tx1"/>
            </w14:solidFill>
          </w14:textFill>
        </w:rPr>
        <w:t>局</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val="en-US" w:eastAsia="zh-CN"/>
          <w14:textFill>
            <w14:solidFill>
              <w14:schemeClr w14:val="tx1"/>
            </w14:solidFill>
          </w14:textFill>
        </w:rPr>
        <w:t>关于</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14:textFill>
            <w14:solidFill>
              <w14:schemeClr w14:val="tx1"/>
            </w14:solidFill>
          </w14:textFill>
        </w:rPr>
        <w:t>2024年度</w:t>
      </w:r>
    </w:p>
    <w:p w14:paraId="6014D7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shd w:val="clear" w:fill="FFFFFF"/>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14:textFill>
            <w14:solidFill>
              <w14:schemeClr w14:val="tx1"/>
            </w14:solidFill>
          </w14:textFill>
        </w:rPr>
        <w:t>法治</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val="en-US" w:eastAsia="zh-CN"/>
          <w14:textFill>
            <w14:solidFill>
              <w14:schemeClr w14:val="tx1"/>
            </w14:solidFill>
          </w14:textFill>
        </w:rPr>
        <w:t>政府</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14:textFill>
            <w14:solidFill>
              <w14:schemeClr w14:val="tx1"/>
            </w14:solidFill>
          </w14:textFill>
        </w:rPr>
        <w:t>建设</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val="en-US" w:eastAsia="zh-CN"/>
          <w14:textFill>
            <w14:solidFill>
              <w14:schemeClr w14:val="tx1"/>
            </w14:solidFill>
          </w14:textFill>
        </w:rPr>
        <w:t>情况的</w:t>
      </w:r>
      <w:r>
        <w:rPr>
          <w:rFonts w:hint="eastAsia" w:ascii="方正小标宋简体" w:hAnsi="方正小标宋简体" w:eastAsia="方正小标宋简体" w:cs="方正小标宋简体"/>
          <w:i w:val="0"/>
          <w:iCs w:val="0"/>
          <w:caps w:val="0"/>
          <w:color w:val="000000" w:themeColor="text1"/>
          <w:spacing w:val="0"/>
          <w:sz w:val="44"/>
          <w:szCs w:val="44"/>
          <w:shd w:val="clear" w:fill="FFFFFF"/>
          <w:lang w:eastAsia="zh-CN"/>
          <w14:textFill>
            <w14:solidFill>
              <w14:schemeClr w14:val="tx1"/>
            </w14:solidFill>
          </w14:textFill>
        </w:rPr>
        <w:t>报告</w:t>
      </w:r>
    </w:p>
    <w:bookmarkEnd w:id="0"/>
    <w:p w14:paraId="08DEB08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p>
    <w:p w14:paraId="445E80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2024年，我局以习近平新时代中国特色社会主义思想为指导，深学笃用习近平法治思想，全面贯彻党的二十大精神及中央全面依法治国工作会议精神，全面落实习近平总书记关于安全生产的重要指示批示精神，持续在法治轨道上推进政府治理体系和治理能力现代化，巩固拓展2023年法治政府建设成效，全面提升法治政府建设质效，为推动我区“十四五”时期经济社会高质量发展提供有力法治保障。现将相关工作情况报告如下：</w:t>
      </w:r>
    </w:p>
    <w:p w14:paraId="3249FA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黑体" w:hAnsi="黑体" w:eastAsia="黑体" w:cs="黑体"/>
          <w:i w:val="0"/>
          <w:iCs w:val="0"/>
          <w:caps w:val="0"/>
          <w:color w:val="000000" w:themeColor="text1"/>
          <w:spacing w:val="0"/>
          <w:sz w:val="32"/>
          <w:szCs w:val="32"/>
          <w14:textFill>
            <w14:solidFill>
              <w14:schemeClr w14:val="tx1"/>
            </w14:solidFill>
          </w14:textFill>
        </w:rPr>
      </w:pPr>
      <w:r>
        <w:rPr>
          <w:rFonts w:hint="eastAsia" w:ascii="黑体" w:hAnsi="黑体" w:eastAsia="黑体" w:cs="黑体"/>
          <w:i w:val="0"/>
          <w:iCs w:val="0"/>
          <w:caps w:val="0"/>
          <w:color w:val="000000" w:themeColor="text1"/>
          <w:spacing w:val="0"/>
          <w:sz w:val="32"/>
          <w:szCs w:val="32"/>
          <w14:textFill>
            <w14:solidFill>
              <w14:schemeClr w14:val="tx1"/>
            </w14:solidFill>
          </w14:textFill>
        </w:rPr>
        <w:t>一、法治政府建设工作的主要举措和取得的成效</w:t>
      </w:r>
    </w:p>
    <w:p w14:paraId="0E5B242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楷体" w:hAnsi="楷体" w:eastAsia="楷体" w:cs="楷体"/>
          <w:b/>
          <w:bCs/>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（一）持续深化习近平法治思想学习，筑牢法治建设思想根基</w:t>
      </w:r>
    </w:p>
    <w:p w14:paraId="41E5BE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我局持续围绕习近平总书记全面依法治国新理念新思想新战略和中央全面依法治国委员会会议精神，牢固树立“四个意识”、坚定“四个自信”、坚决做到“两个维护”。坚持把学习贯彻习近平法治思想与应急管理、安全生产、减灾救灾、森林防灭火、防汛抗旱等核心工作深度融合，充分发挥法治在应急管理领域的引领和规范作用。各党小组依托党史学习教育常态化长效化机制，将习近平法治思想和全面依法治国委员会会议精神融入日常学习教育，聚焦法治建设痛点、堵点、难点问题，着力解决人民群众急难愁盼的法治领域突出问题，持续推动“我为群众办实事”走深走实。持续强化全局职工法治理论学习，组织全局领导干部及职工通过应急管理部网络学院常态化开展网络法治学习，实现法治学习全覆盖。</w:t>
      </w:r>
    </w:p>
    <w:p w14:paraId="6FA2CA2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（二）深化“放管服”改革迭代，持续优化营商环境</w:t>
      </w:r>
    </w:p>
    <w:p w14:paraId="2465C6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1.压实窗口管理责任，规范服务标准。我局持续高度重视行政审批工作，严格坚持“一个窗口对外”“一站式服务”工作模式，将所有行政审批事项全部纳入行政服务中心办理，严格落实“四统一”要求，即统一告知、统一发放所有申请表格、统一受理、统一初审，不断提升窗口服务规范化水平。</w:t>
      </w:r>
    </w:p>
    <w:p w14:paraId="537976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2.优化审批流程，精简办事材料。按照“减时限、减环节、减要件”工作要求，持续优化涉及我局的危险化学品许可申办条件，巩固精简申报材料成效。严格按区政府工作要求，及时更新政务服务指南，清晰列明办事流程与标准，切实避免群众重复跑腿。</w:t>
      </w:r>
    </w:p>
    <w:p w14:paraId="1EF650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楷体" w:hAnsi="楷体" w:eastAsia="楷体" w:cs="楷体"/>
          <w:b/>
          <w:bCs/>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fill="FFFFFF"/>
          <w:lang w:eastAsia="zh-CN"/>
          <w14:textFill>
            <w14:solidFill>
              <w14:schemeClr w14:val="tx1"/>
            </w14:solidFill>
          </w14:textFill>
        </w:rPr>
        <w:t>三</w:t>
      </w: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）坚守执法为民导向，深入推进公正文明规范执法</w:t>
      </w:r>
    </w:p>
    <w:p w14:paraId="229648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b w:val="0"/>
          <w:bCs w:val="0"/>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b w:val="0"/>
          <w:bCs w:val="0"/>
          <w:i w:val="0"/>
          <w:iCs w:val="0"/>
          <w:caps w:val="0"/>
          <w:color w:val="000000" w:themeColor="text1"/>
          <w:spacing w:val="0"/>
          <w:sz w:val="32"/>
          <w:szCs w:val="32"/>
          <w:shd w:val="clear" w:fill="FFFFFF"/>
          <w14:textFill>
            <w14:solidFill>
              <w14:schemeClr w14:val="tx1"/>
            </w14:solidFill>
          </w14:textFill>
        </w:rPr>
        <w:t>1.严格落实行政执法</w:t>
      </w:r>
      <w:r>
        <w:rPr>
          <w:rFonts w:hint="eastAsia" w:ascii="仿宋_GB2312" w:hAnsi="仿宋_GB2312" w:eastAsia="仿宋_GB2312" w:cs="仿宋_GB2312"/>
          <w:b w:val="0"/>
          <w:bCs w:val="0"/>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themeColor="text1"/>
          <w:spacing w:val="0"/>
          <w:sz w:val="32"/>
          <w:szCs w:val="32"/>
          <w:shd w:val="clear" w:fill="FFFFFF"/>
          <w14:textFill>
            <w14:solidFill>
              <w14:schemeClr w14:val="tx1"/>
            </w14:solidFill>
          </w14:textFill>
        </w:rPr>
        <w:t>三项制度</w:t>
      </w:r>
      <w:r>
        <w:rPr>
          <w:rFonts w:hint="eastAsia" w:ascii="仿宋_GB2312" w:hAnsi="仿宋_GB2312" w:eastAsia="仿宋_GB2312" w:cs="仿宋_GB2312"/>
          <w:b w:val="0"/>
          <w:bCs w:val="0"/>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themeColor="text1"/>
          <w:spacing w:val="0"/>
          <w:sz w:val="32"/>
          <w:szCs w:val="32"/>
          <w:shd w:val="clear" w:fill="FFFFFF"/>
          <w14:textFill>
            <w14:solidFill>
              <w14:schemeClr w14:val="tx1"/>
            </w14:solidFill>
          </w14:textFill>
        </w:rPr>
        <w:t>。</w:t>
      </w:r>
    </w:p>
    <w:p w14:paraId="2D1572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一是持续规范执法信息公开。通过政府网站、执法监督系统等载体，依法及时将职责范围内的执法事项与信息向行政管理相对人及社会公众公开，主动接受社会各界和广大群众监督，以群众知晓度、满意度检验“三项制度”执行成效。目前，行政许可和行政处罚等信息已实现常态化公开，全程接受社会监督。二是严格执行执法全过程记录制度。各执法科室配齐执法记录仪，严格落实执法全程录像要求；明确执法人员通过文字、音像记录等方式，对执法程序、调取证据等执法全流程进行完整记录；持续统一执法文书制作规范和要求，固化执法流程标准。三是严格执行法制审核制度。持续完善法制审核工作机制，对全局安全生产行政执法一般程序案卷开展法制审核，确保每个案卷做到主体适格、事实清楚、证据充分、适用法律正确、裁量适当、程序合法、法律文书规范齐备。</w:t>
      </w:r>
    </w:p>
    <w:p w14:paraId="03C2BF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2.严格执行“双随机、一公开”制度。持续规范执法人员执法行为，强化执法监督，将执法工作情况纳入年度目标考核，严禁乱执法、随意执法行为，不断提高执法规范化水平，严防执法扰企。</w:t>
      </w:r>
    </w:p>
    <w:p w14:paraId="3C02D3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fill="FFFFFF"/>
          <w:lang w:eastAsia="zh-CN"/>
          <w14:textFill>
            <w14:solidFill>
              <w14:schemeClr w14:val="tx1"/>
            </w14:solidFill>
          </w14:textFill>
        </w:rPr>
        <w:t>四</w:t>
      </w: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）加强法治建设宣传学习，增强法治意识</w:t>
      </w:r>
    </w:p>
    <w:p w14:paraId="5508A2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一是常态化开展法治学习教育。结合党史学习教育常态化要求，持续深学笃用习近平法治思想，强化《中华人民共和国宪法》《中华人民共和国民法典》《安全生产法》等法律法规学习，不断提升干部职工政治素质和业务水平。二是持续强化执法队伍能力建设。开展全区应急系统执法人员业务培训、安全生产监管人员执法复训，组织应急干部职工参加全国安全监管执法人员网上专题培训、基层应急管理典型案例网上专题培训，持续提升应急管理执法人员依法行政的能力和水平。三是深入开展安全宣传进基层活动。以“人人讲安全、个个会应急</w:t>
      </w:r>
      <w:r>
        <w:rPr>
          <w:rFonts w:hint="eastAsia" w:ascii="仿宋_GB2312" w:hAnsi="仿宋_GB2312" w:eastAsia="仿宋_GB2312" w:cs="仿宋_GB2312"/>
          <w:i w:val="0"/>
          <w:iCs w:val="0"/>
          <w:caps w:val="0"/>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畅通生命通道</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”为主题开展安全生产月集中宣传，共设置展板</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100余</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块，发放宣传资料</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1200</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余册，接受群众咨询</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200</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余人次，持续营造人人关注、全民参与的浓厚氛围，提升社会公众安全意识，弘扬安全文化。</w:t>
      </w:r>
    </w:p>
    <w:p w14:paraId="57C494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t>二、坚持党对法治政府建设的领导，压实法治建设工作责任</w:t>
      </w:r>
    </w:p>
    <w:p w14:paraId="06C139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局党委严格落实法治建设主体责任，党委书记作为法治建设工作第一责任人，认真统筹谋划全年法治建设工作，切实做到“重要工作亲自布置、重大问题亲自过问、重要环节亲自协调、重要案件亲自督办”。领导班子成员严格落实“一岗双责”，把法治工作与业务工作同布置、同检查、同推进，确保法治建设各项任务落地见效。</w:t>
      </w:r>
    </w:p>
    <w:p w14:paraId="3E75E9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t>三、存在问题及原因</w:t>
      </w:r>
    </w:p>
    <w:p w14:paraId="1A038E3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我局法治政府建设工作持续推进、成效不断巩固，但对照高标准严要求仍存在一些问题和不足。主要表现在：一是普法精准性和实效性仍需提升。我区安全生产形势复杂，安全生产工作面临较多难题，部分企业及社会公众的法治意识仍较为薄弱，普法宣传的针对性有待加强。二是案卷规范化水平仍有提升空间。经过持续执法培训和规范整改，安全生产行政处罚案卷质量稳步提升，但仍然存在少量执法文书不规范、自由裁量权运用不够精准、执法文书编号不统一、立卷归档不够规范等问题。</w:t>
      </w:r>
    </w:p>
    <w:p w14:paraId="4B73AA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i w:val="0"/>
          <w:iCs w:val="0"/>
          <w:caps w:val="0"/>
          <w:color w:val="000000" w:themeColor="text1"/>
          <w:spacing w:val="0"/>
          <w:sz w:val="32"/>
          <w:szCs w:val="32"/>
          <w14:textFill>
            <w14:solidFill>
              <w14:schemeClr w14:val="tx1"/>
            </w14:solidFill>
          </w14:textFill>
        </w:rPr>
      </w:pPr>
      <w:r>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t>四、202</w:t>
      </w:r>
      <w:r>
        <w:rPr>
          <w:rFonts w:hint="eastAsia" w:ascii="黑体" w:hAnsi="黑体" w:eastAsia="黑体" w:cs="黑体"/>
          <w:i w:val="0"/>
          <w:iCs w:val="0"/>
          <w:caps w:val="0"/>
          <w:color w:val="000000" w:themeColor="text1"/>
          <w:spacing w:val="0"/>
          <w:sz w:val="32"/>
          <w:szCs w:val="32"/>
          <w:shd w:val="clear" w:fill="FFFFFF"/>
          <w:lang w:val="en-US" w:eastAsia="zh-CN"/>
          <w14:textFill>
            <w14:solidFill>
              <w14:schemeClr w14:val="tx1"/>
            </w14:solidFill>
          </w14:textFill>
        </w:rPr>
        <w:t>5</w:t>
      </w:r>
      <w:r>
        <w:rPr>
          <w:rFonts w:hint="eastAsia" w:ascii="黑体" w:hAnsi="黑体" w:eastAsia="黑体" w:cs="黑体"/>
          <w:i w:val="0"/>
          <w:iCs w:val="0"/>
          <w:caps w:val="0"/>
          <w:color w:val="000000" w:themeColor="text1"/>
          <w:spacing w:val="0"/>
          <w:sz w:val="32"/>
          <w:szCs w:val="32"/>
          <w:shd w:val="clear" w:fill="FFFFFF"/>
          <w14:textFill>
            <w14:solidFill>
              <w14:schemeClr w14:val="tx1"/>
            </w14:solidFill>
          </w14:textFill>
        </w:rPr>
        <w:t>年工作安排</w:t>
      </w:r>
    </w:p>
    <w:p w14:paraId="61C99E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下一步，我局将继续以习近平法治思想为引领，真抓实干、补齐短板，确保法治建设各项工作落地落实，重点抓好以下五方面工作：一是坚持严管重罚总基调，持续推进执法清零，严格落实检查诊断、行政处罚、整改复查“三部曲”闭环执法机制；二是严格实施行政执法</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三项制度</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落实联合惩戒及红黑名单报送公示制度；三是全面推行“互联网+执法”模式，严格执行一般程序案件法制审核制度；四是组织开展全区执法人员系统培训，对执法流程、案卷整理归档、《中华人民共和国行政处罚法》《中华人民共和国安全生产法》等内容开展专题学习；五是依托各乡镇街道（园区）、其他负有安全生产监督管理职责的部门、各类媒体等，大力宣传安全生产法律法规，营造严管重罚的浓厚氛围，筑牢安全生产法治防线。</w:t>
      </w:r>
    </w:p>
    <w:p w14:paraId="30F622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p>
    <w:p w14:paraId="06FC77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p>
    <w:p w14:paraId="0A7476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p>
    <w:p w14:paraId="7144BA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42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p>
    <w:p w14:paraId="5703C0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3840" w:firstLineChars="12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保定市徐水区应急管理局</w:t>
      </w:r>
    </w:p>
    <w:p w14:paraId="7107AB93">
      <w:pPr>
        <w:shd w:val="clear"/>
        <w:ind w:firstLine="4160" w:firstLineChars="1300"/>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2024年12月27日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7E58C3"/>
    <w:rsid w:val="1CE1195C"/>
    <w:rsid w:val="22FE79A5"/>
    <w:rsid w:val="2D626C6C"/>
    <w:rsid w:val="36674C12"/>
    <w:rsid w:val="3CA21308"/>
    <w:rsid w:val="4EBB35EE"/>
    <w:rsid w:val="537E58C3"/>
    <w:rsid w:val="555F62BF"/>
    <w:rsid w:val="703A0C7B"/>
    <w:rsid w:val="73F96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2401</Words>
  <Characters>2429</Characters>
  <Lines>0</Lines>
  <Paragraphs>0</Paragraphs>
  <TotalTime>4</TotalTime>
  <ScaleCrop>false</ScaleCrop>
  <LinksUpToDate>false</LinksUpToDate>
  <CharactersWithSpaces>2429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2026-09-20T01:03:00Z</dcterms:created>
  <dc:creator>-.-</dc:creator>
  <cp:lastModifiedBy>-.-</cp:lastModifiedBy>
  <dcterms:modified xsi:type="dcterms:W3CDTF">2026-10-27T02:04:20Z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78A1FB10F097418FA67C079F61CF76E8_11</vt:lpwstr>
  </property>
  <property fmtid="{D5CDD505-2E9C-101B-9397-08002B2CF9AE}" pid="4" name="KSOTemplateDocerSaveRecord">
    <vt:lpwstr>eyJoZGlkIjoiNzc1ZTgwYmY3MjczZWQ1YjQ5YTJmMjYyNjc3MWQ1NTciLCJ1c2VySWQiOiI3NzYwODQ5NTUifQ==</vt:lpwstr>
  </property>
</Properties>
</file>