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Bdr/>
        <w:spacing w:line="360" w:lineRule="auto"/>
        <w:ind/>
        <w:jc w:val="center"/>
        <w:rPr>
          <w:rFonts w:hint="eastAsia" w:ascii="宋体" w:hAnsi="宋体" w:eastAsia="宋体"/>
          <w:b/>
          <w:sz w:val="44"/>
          <w:szCs w:val="44"/>
          <w:lang w:val="en-US" w:eastAsia="zh-CN"/>
        </w:rPr>
      </w:pPr>
      <w:r>
        <w:rPr>
          <w:rFonts w:hint="eastAsia" w:ascii="宋体" w:hAnsi="宋体" w:eastAsia="宋体"/>
          <w:b/>
          <w:sz w:val="44"/>
          <w:szCs w:val="44"/>
        </w:rPr>
        <w:t xml:space="preserve">保定市徐水区</w:t>
      </w:r>
      <w:r>
        <w:rPr>
          <w:rFonts w:hint="eastAsia" w:ascii="宋体" w:hAnsi="宋体" w:eastAsia="宋体"/>
          <w:b/>
          <w:sz w:val="44"/>
          <w:szCs w:val="44"/>
          <w:lang w:val="en-US" w:eastAsia="zh-CN"/>
        </w:rPr>
        <w:t xml:space="preserve">卫生健康局</w:t>
      </w:r>
      <w:r>
        <w:rPr>
          <w:rFonts w:hint="eastAsia" w:ascii="宋体" w:hAnsi="宋体" w:eastAsia="宋体"/>
          <w:b/>
          <w:sz w:val="44"/>
          <w:szCs w:val="44"/>
          <w:lang w:val="en-US" w:eastAsia="zh-CN"/>
        </w:rPr>
      </w:r>
    </w:p>
    <w:p>
      <w:pPr>
        <w:pBdr/>
        <w:spacing w:line="360" w:lineRule="auto"/>
        <w:ind/>
        <w:jc w:val="center"/>
        <w:rPr>
          <w:rFonts w:ascii="宋体" w:hAnsi="宋体" w:eastAsia="宋体"/>
          <w:b/>
          <w:sz w:val="44"/>
          <w:szCs w:val="44"/>
        </w:rPr>
      </w:pPr>
      <w:r>
        <w:rPr>
          <w:rFonts w:ascii="宋体" w:hAnsi="宋体" w:eastAsia="宋体"/>
          <w:b/>
          <w:sz w:val="44"/>
          <w:szCs w:val="44"/>
        </w:rPr>
        <w:t xml:space="preserve">202</w:t>
      </w:r>
      <w:r>
        <w:rPr>
          <w:rFonts w:hint="eastAsia" w:ascii="宋体" w:hAnsi="宋体" w:eastAsia="宋体"/>
          <w:b/>
          <w:sz w:val="44"/>
          <w:szCs w:val="44"/>
          <w:lang w:val="en-US" w:eastAsia="zh-CN"/>
        </w:rPr>
        <w:t xml:space="preserve">1</w:t>
      </w:r>
      <w:r>
        <w:rPr>
          <w:rFonts w:ascii="宋体" w:hAnsi="宋体" w:eastAsia="宋体"/>
          <w:b/>
          <w:sz w:val="44"/>
          <w:szCs w:val="44"/>
        </w:rPr>
        <w:t xml:space="preserve">年</w:t>
      </w:r>
      <w:r>
        <w:rPr>
          <w:rFonts w:hint="eastAsia" w:ascii="宋体" w:hAnsi="宋体" w:eastAsia="宋体"/>
          <w:b/>
          <w:sz w:val="44"/>
          <w:szCs w:val="44"/>
          <w:lang w:val="en-US" w:eastAsia="zh-CN"/>
        </w:rPr>
        <w:t xml:space="preserve">事业单位</w:t>
      </w:r>
      <w:r>
        <w:rPr>
          <w:rFonts w:ascii="宋体" w:hAnsi="宋体" w:eastAsia="宋体"/>
          <w:b/>
          <w:sz w:val="44"/>
          <w:szCs w:val="44"/>
        </w:rPr>
        <w:t xml:space="preserve">预算公开说明</w:t>
      </w:r>
      <w:r>
        <w:rPr>
          <w:rFonts w:ascii="宋体" w:hAnsi="宋体" w:eastAsia="宋体"/>
          <w:b/>
          <w:sz w:val="44"/>
          <w:szCs w:val="44"/>
        </w:rPr>
      </w:r>
    </w:p>
    <w:p>
      <w:pPr>
        <w:pBdr/>
        <w:tabs>
          <w:tab w:val="left" w:leader="none" w:pos="5274"/>
        </w:tabs>
        <w:spacing w:line="360" w:lineRule="auto"/>
        <w:ind w:firstLine="640"/>
        <w:rPr>
          <w:rFonts w:ascii="仿宋" w:hAnsi="仿宋" w:eastAsia="仿宋"/>
          <w:sz w:val="32"/>
          <w:szCs w:val="32"/>
        </w:rPr>
      </w:pPr>
      <w:r>
        <w:rPr>
          <w:rFonts w:ascii="仿宋" w:hAnsi="仿宋" w:eastAsia="仿宋"/>
          <w:sz w:val="32"/>
          <w:szCs w:val="32"/>
        </w:rPr>
        <w:tab/>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按照《</w:t>
      </w:r>
      <w:r>
        <w:rPr>
          <w:rFonts w:hint="eastAsia" w:ascii="仿宋" w:hAnsi="仿宋" w:eastAsia="仿宋"/>
          <w:sz w:val="32"/>
          <w:szCs w:val="32"/>
        </w:rPr>
        <w:t xml:space="preserve">中华人民共和国预算法</w:t>
      </w:r>
      <w:r>
        <w:rPr>
          <w:rFonts w:hint="eastAsia" w:ascii="仿宋" w:hAnsi="仿宋" w:eastAsia="仿宋"/>
          <w:sz w:val="32"/>
          <w:szCs w:val="32"/>
        </w:rPr>
        <w:t xml:space="preserve">》、《地方预决算公开操作规程》等文件规定，现将我</w:t>
      </w:r>
      <w:r>
        <w:rPr>
          <w:rFonts w:hint="eastAsia" w:ascii="仿宋" w:hAnsi="仿宋" w:eastAsia="仿宋"/>
          <w:sz w:val="32"/>
          <w:szCs w:val="32"/>
          <w:lang w:val="en-US" w:eastAsia="zh-CN"/>
        </w:rPr>
        <w:t xml:space="preserve">单位</w:t>
      </w:r>
      <w:r>
        <w:rPr>
          <w:rFonts w:hint="eastAsia" w:ascii="仿宋" w:hAnsi="仿宋" w:eastAsia="仿宋"/>
          <w:sz w:val="32"/>
          <w:szCs w:val="32"/>
        </w:rPr>
        <w:t xml:space="preserve">预算信息公开如下：</w:t>
      </w:r>
      <w:r>
        <w:rPr>
          <w:rFonts w:ascii="仿宋" w:hAnsi="仿宋" w:eastAsia="仿宋"/>
          <w:sz w:val="32"/>
          <w:szCs w:val="32"/>
        </w:rPr>
      </w:r>
    </w:p>
    <w:p>
      <w:pPr>
        <w:pBdr/>
        <w:spacing/>
        <w:ind/>
        <w:jc w:val="center"/>
        <w:outlineLvl w:val="0"/>
        <w:rPr>
          <w:rFonts w:ascii="方正小标宋_GBK" w:eastAsia="方正小标宋_GBK"/>
          <w:sz w:val="44"/>
        </w:rPr>
      </w:pPr>
      <w:r>
        <w:rPr>
          <w:rFonts w:hint="eastAsia" w:ascii="方正小标宋_GBK" w:eastAsia="方正小标宋_GBK"/>
          <w:sz w:val="44"/>
        </w:rPr>
        <w:t xml:space="preserve">第一部分</w:t>
      </w:r>
      <w:r>
        <w:rPr>
          <w:rFonts w:ascii="方正小标宋_GBK" w:eastAsia="方正小标宋_GBK"/>
          <w:sz w:val="44"/>
        </w:rPr>
        <w:t xml:space="preserve">:</w:t>
      </w:r>
      <w:r>
        <w:rPr>
          <w:rFonts w:hint="eastAsia" w:ascii="方正小标宋_GBK" w:eastAsia="方正小标宋_GBK"/>
          <w:sz w:val="44"/>
          <w:lang w:val="en-US" w:eastAsia="zh-CN"/>
        </w:rPr>
        <w:t xml:space="preserve">单位</w:t>
      </w:r>
      <w:r>
        <w:rPr>
          <w:rFonts w:ascii="方正小标宋_GBK" w:eastAsia="方正小标宋_GBK"/>
          <w:sz w:val="44"/>
        </w:rPr>
        <w:t xml:space="preserve">职责及机构设置情况</w:t>
      </w:r>
      <w:r>
        <w:rPr>
          <w:rFonts w:ascii="方正小标宋_GBK" w:eastAsia="方正小标宋_GBK"/>
          <w:sz w:val="44"/>
        </w:rPr>
      </w:r>
    </w:p>
    <w:p>
      <w:pPr>
        <w:pBdr/>
        <w:spacing w:line="360" w:lineRule="auto"/>
        <w:ind w:firstLine="643"/>
        <w:rPr>
          <w:rFonts w:ascii="仿宋" w:hAnsi="仿宋" w:eastAsia="仿宋"/>
          <w:b/>
          <w:sz w:val="32"/>
          <w:szCs w:val="32"/>
        </w:rPr>
      </w:pPr>
      <w:r>
        <w:rPr>
          <w:rFonts w:hint="eastAsia" w:ascii="仿宋" w:hAnsi="仿宋" w:eastAsia="仿宋"/>
          <w:b/>
          <w:sz w:val="32"/>
          <w:szCs w:val="32"/>
        </w:rPr>
        <w:t xml:space="preserve">一、</w:t>
      </w:r>
      <w:r>
        <w:rPr>
          <w:rFonts w:hint="eastAsia" w:ascii="仿宋" w:hAnsi="仿宋" w:eastAsia="仿宋"/>
          <w:b/>
          <w:sz w:val="32"/>
          <w:szCs w:val="32"/>
          <w:lang w:val="en-US" w:eastAsia="zh-CN"/>
        </w:rPr>
        <w:t xml:space="preserve">单位</w:t>
      </w:r>
      <w:r>
        <w:rPr>
          <w:rFonts w:hint="eastAsia" w:ascii="仿宋" w:hAnsi="仿宋" w:eastAsia="仿宋"/>
          <w:b/>
          <w:sz w:val="32"/>
          <w:szCs w:val="32"/>
        </w:rPr>
        <w:t xml:space="preserve">职责</w:t>
      </w:r>
      <w:r>
        <w:rPr>
          <w:rFonts w:ascii="仿宋" w:hAnsi="仿宋" w:eastAsia="仿宋"/>
          <w:b/>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根据《保定市徐水区卫生健康局职能配置、内设机构和人员编制规定》，</w:t>
      </w:r>
      <w:r>
        <w:rPr>
          <w:rFonts w:ascii="仿宋" w:hAnsi="仿宋" w:eastAsia="仿宋"/>
          <w:sz w:val="32"/>
          <w:szCs w:val="32"/>
        </w:rPr>
        <w:t xml:space="preserve"> 保定市徐水区卫生健康局的主要职责是：</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保定市徐水区卫生健康局贯彻落实党中央、省委、市委和区委关于卫生健康工作的方针政策和决策部署，在履行职责过程中坚持和加强党对卫生健康工作的集中统一领导。主要职责是：</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一）贯彻执行卫生健康事业发展地方性法规、政府规章，拟订全区卫生健康规划，并按有关标准和技术规范组织实施。统筹规划卫生健康资源配置，指导区域卫生健康规划编制和实施工作。实施推进卫生健康基本公共服务均等化、普惠化、便捷化及公共资源向基层延伸的政策和措施。</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二）协调推进全区深化医药卫生体制改革工作，研究提出全区深化医药卫生体制改革的建议。组织深化公立医院综合改革，推进管办分离，健全现代医院管理制度，实施推动卫生健康公共服务提供主体多元化、提供方式多样化的政策措施，提出医疗服务和药品价格政策的建议。</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三）制定并组织实施全区疾病预防控制规划、落实国家免疫规划以及危害人民健康公共卫生问题的干预措施。负责卫生应急工作，组织指导突发公共卫生事件的预防控制和各类突发公共事件的医疗卫生救援。公布突发公共卫生事件应急处置信息。</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（四）协调落实全区应对人口老龄化政策措施，负责推进老年健康服务体系建设和医养结合工作。</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（五）组织实施国家、省基本药物政策和基本药物制度，开展药品使用监测、临床综合评价和短缺药品预警，提出全区基本药物价格政策的建议。组织开展食品安全风险监测，依法公布食品安全地方标准。</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六）负责职责范围内的职业卫生、放射卫生、环境卫生、学校卫生、公共场所卫生、饮用水卫生等公共卫生的监督管理，负责传染病防治监督，健全卫生健康综合监督体系。牵头《烟草控制框架公约》履约工作。</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七）贯彻落实医疗机构、医疗服务行业管理办法并监督落实，建立医疗服务评价和监督管理体系。监督执行卫生健康专业技术人员资格标准。贯彻并组织实施医疗服务规范、标准和卫生健康专业技术人员执业规则、服务规范。</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（八）负责计划生育管理和服务工作，开展人口监测预警，提出人口与家庭发展相关政策建议。</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（九）指导全区卫生健康工作，指导基层医疗卫生、妇幼健康服务体系和全科医生队伍建设。推进卫生健康科技创新发展。</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（十）负责医疗保健工作，负责重要会议与重大活动的医疗卫生保障工作。</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（十一）根据国家、省、市有关法律法规和政策拟定全区中医药事业发展规划，制定全区中医药事业发展的具体方案并组织实施。</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（十二）受政府委托承担红十字会的日常工作。</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（十三）完成区委、区政府交办的其他任务。</w:t>
      </w:r>
      <w:r>
        <w:rPr>
          <w:rFonts w:ascii="仿宋" w:hAnsi="仿宋" w:eastAsia="仿宋"/>
          <w:sz w:val="32"/>
          <w:szCs w:val="32"/>
        </w:rPr>
      </w:r>
    </w:p>
    <w:p>
      <w:pPr>
        <w:pBdr/>
        <w:spacing w:line="360" w:lineRule="auto"/>
        <w:ind w:firstLine="643"/>
        <w:rPr>
          <w:rFonts w:ascii="仿宋" w:hAnsi="仿宋" w:eastAsia="仿宋"/>
          <w:b/>
          <w:sz w:val="32"/>
          <w:szCs w:val="32"/>
        </w:rPr>
      </w:pPr>
      <w:r>
        <w:rPr>
          <w:rFonts w:hint="eastAsia" w:ascii="仿宋" w:hAnsi="仿宋" w:eastAsia="仿宋"/>
          <w:b/>
          <w:sz w:val="32"/>
          <w:szCs w:val="32"/>
        </w:rPr>
        <w:t xml:space="preserve">二、机构设置</w:t>
      </w:r>
      <w:r>
        <w:rPr>
          <w:rFonts w:ascii="仿宋" w:hAnsi="仿宋" w:eastAsia="仿宋"/>
          <w:b/>
          <w:sz w:val="32"/>
          <w:szCs w:val="32"/>
        </w:rPr>
      </w:r>
    </w:p>
    <w:tbl>
      <w:tblPr>
        <w:tblStyle w:val="644"/>
        <w:tblW w:w="1006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992"/>
        <w:gridCol w:w="2337"/>
        <w:gridCol w:w="1680"/>
        <w:gridCol w:w="1794"/>
        <w:gridCol w:w="3260"/>
      </w:tblGrid>
      <w:tr>
        <w:trPr>
          <w:jc w:val="center"/>
          <w:trHeight w:val="454"/>
          <w:tblHeader/>
        </w:trPr>
        <w:tc>
          <w:tcPr>
            <w:shd w:val="clear" w:color="auto" w:fill="auto"/>
            <w:tcBorders>
              <w:top w:val="single" w:color="auto" w:sz="4" w:space="0"/>
              <w:left w:val="single" w:color="auto" w:sz="4" w:space="0"/>
              <w:bottom w:val="single" w:color="auto" w:sz="4" w:space="0"/>
            </w:tcBorders>
            <w:tcW w:w="992" w:type="dxa"/>
            <w:vAlign w:val="center"/>
            <w:textDirection w:val="lrTb"/>
            <w:noWrap w:val="false"/>
          </w:tcPr>
          <w:p>
            <w:pPr>
              <w:widowControl w:val="true"/>
              <w:pBdr/>
              <w:spacing/>
              <w:ind/>
              <w:jc w:val="center"/>
              <w:rPr>
                <w:rFonts w:hint="eastAsia" w:ascii="仿宋" w:hAnsi="仿宋" w:eastAsia="仿宋" w:cs="仿宋"/>
                <w:sz w:val="32"/>
                <w:szCs w:val="32"/>
              </w:rPr>
            </w:pPr>
            <w:r>
              <w:rPr>
                <w:rFonts w:hint="eastAsia" w:ascii="仿宋" w:hAnsi="仿宋" w:eastAsia="仿宋" w:cs="仿宋"/>
                <w:sz w:val="32"/>
                <w:szCs w:val="32"/>
              </w:rPr>
              <w:t xml:space="preserve">序号</w:t>
            </w:r>
            <w:r>
              <w:rPr>
                <w:rFonts w:hint="eastAsia" w:ascii="仿宋" w:hAnsi="仿宋" w:eastAsia="仿宋" w:cs="仿宋"/>
                <w:sz w:val="32"/>
                <w:szCs w:val="32"/>
              </w:rPr>
            </w:r>
          </w:p>
        </w:tc>
        <w:tc>
          <w:tcPr>
            <w:tcBorders>
              <w:bottom w:val="single" w:color="000000" w:sz="6" w:space="0"/>
            </w:tcBorders>
            <w:tcW w:w="2337" w:type="dxa"/>
            <w:vAlign w:val="center"/>
            <w:textDirection w:val="lrTb"/>
            <w:noWrap w:val="false"/>
          </w:tcPr>
          <w:p>
            <w:pPr>
              <w:widowControl w:val="true"/>
              <w:pBdr/>
              <w:spacing/>
              <w:ind/>
              <w:jc w:val="center"/>
              <w:rPr>
                <w:rFonts w:hint="eastAsia" w:ascii="仿宋" w:hAnsi="仿宋" w:eastAsia="仿宋" w:cs="仿宋"/>
                <w:sz w:val="32"/>
                <w:szCs w:val="32"/>
              </w:rPr>
            </w:pPr>
            <w:r>
              <w:rPr>
                <w:rFonts w:hint="eastAsia" w:ascii="仿宋" w:hAnsi="仿宋" w:eastAsia="仿宋" w:cs="仿宋"/>
                <w:sz w:val="32"/>
                <w:szCs w:val="32"/>
              </w:rPr>
              <w:t xml:space="preserve">单位名称</w:t>
            </w:r>
            <w:r>
              <w:rPr>
                <w:rFonts w:hint="eastAsia" w:ascii="仿宋" w:hAnsi="仿宋" w:eastAsia="仿宋" w:cs="仿宋"/>
                <w:sz w:val="32"/>
                <w:szCs w:val="32"/>
              </w:rPr>
            </w:r>
          </w:p>
        </w:tc>
        <w:tc>
          <w:tcPr>
            <w:tcBorders>
              <w:bottom w:val="single" w:color="000000" w:sz="6" w:space="0"/>
            </w:tcBorders>
            <w:tcW w:w="1680" w:type="dxa"/>
            <w:vAlign w:val="center"/>
            <w:textDirection w:val="lrTb"/>
            <w:noWrap w:val="false"/>
          </w:tcPr>
          <w:p>
            <w:pPr>
              <w:widowControl w:val="true"/>
              <w:pBdr/>
              <w:spacing/>
              <w:ind/>
              <w:jc w:val="center"/>
              <w:rPr>
                <w:rFonts w:hint="eastAsia" w:ascii="仿宋" w:hAnsi="仿宋" w:eastAsia="仿宋" w:cs="仿宋"/>
                <w:sz w:val="32"/>
                <w:szCs w:val="32"/>
              </w:rPr>
            </w:pPr>
            <w:r>
              <w:rPr>
                <w:rFonts w:hint="eastAsia" w:ascii="仿宋" w:hAnsi="仿宋" w:eastAsia="仿宋" w:cs="仿宋"/>
                <w:sz w:val="32"/>
                <w:szCs w:val="32"/>
              </w:rPr>
              <w:t xml:space="preserve">单位性质</w:t>
            </w:r>
            <w:r>
              <w:rPr>
                <w:rFonts w:hint="eastAsia" w:ascii="仿宋" w:hAnsi="仿宋" w:eastAsia="仿宋" w:cs="仿宋"/>
                <w:sz w:val="32"/>
                <w:szCs w:val="32"/>
              </w:rPr>
            </w:r>
          </w:p>
        </w:tc>
        <w:tc>
          <w:tcPr>
            <w:tcBorders>
              <w:bottom w:val="single" w:color="000000" w:sz="6" w:space="0"/>
            </w:tcBorders>
            <w:tcW w:w="1794" w:type="dxa"/>
            <w:vAlign w:val="center"/>
            <w:textDirection w:val="lrTb"/>
            <w:noWrap w:val="false"/>
          </w:tcPr>
          <w:p>
            <w:pPr>
              <w:widowControl w:val="true"/>
              <w:pBdr/>
              <w:spacing/>
              <w:ind/>
              <w:jc w:val="center"/>
              <w:rPr>
                <w:rFonts w:hint="eastAsia" w:ascii="仿宋" w:hAnsi="仿宋" w:eastAsia="仿宋" w:cs="仿宋"/>
                <w:sz w:val="32"/>
                <w:szCs w:val="32"/>
              </w:rPr>
            </w:pPr>
            <w:r>
              <w:rPr>
                <w:rFonts w:hint="eastAsia" w:ascii="仿宋" w:hAnsi="仿宋" w:eastAsia="仿宋" w:cs="仿宋"/>
                <w:sz w:val="32"/>
                <w:szCs w:val="32"/>
              </w:rPr>
              <w:t xml:space="preserve">单位规格</w:t>
            </w:r>
            <w:r>
              <w:rPr>
                <w:rFonts w:hint="eastAsia" w:ascii="仿宋" w:hAnsi="仿宋" w:eastAsia="仿宋" w:cs="仿宋"/>
                <w:sz w:val="32"/>
                <w:szCs w:val="32"/>
              </w:rPr>
            </w:r>
          </w:p>
        </w:tc>
        <w:tc>
          <w:tcPr>
            <w:tcBorders>
              <w:bottom w:val="single" w:color="000000" w:sz="6" w:space="0"/>
            </w:tcBorders>
            <w:tcW w:w="3260" w:type="dxa"/>
            <w:vAlign w:val="center"/>
            <w:textDirection w:val="lrTb"/>
            <w:noWrap w:val="false"/>
          </w:tcPr>
          <w:p>
            <w:pPr>
              <w:widowControl w:val="true"/>
              <w:pBdr/>
              <w:spacing/>
              <w:ind/>
              <w:jc w:val="center"/>
              <w:rPr>
                <w:rFonts w:hint="eastAsia" w:ascii="仿宋" w:hAnsi="仿宋" w:eastAsia="仿宋" w:cs="仿宋"/>
                <w:sz w:val="32"/>
                <w:szCs w:val="32"/>
              </w:rPr>
            </w:pPr>
            <w:r>
              <w:rPr>
                <w:rFonts w:hint="eastAsia" w:ascii="仿宋" w:hAnsi="仿宋" w:eastAsia="仿宋" w:cs="仿宋"/>
                <w:sz w:val="32"/>
                <w:szCs w:val="32"/>
              </w:rPr>
              <w:t xml:space="preserve">经费保障形式</w:t>
            </w:r>
            <w:r>
              <w:rPr>
                <w:rFonts w:hint="eastAsia" w:ascii="仿宋" w:hAnsi="仿宋" w:eastAsia="仿宋" w:cs="仿宋"/>
                <w:sz w:val="32"/>
                <w:szCs w:val="32"/>
              </w:rPr>
            </w:r>
          </w:p>
        </w:tc>
      </w:tr>
      <w:tr>
        <w:trPr>
          <w:jc w:val="center"/>
          <w:trHeight w:val="454"/>
        </w:trPr>
        <w:tc>
          <w:tcPr>
            <w:shd w:val="clear" w:color="auto" w:fill="auto"/>
            <w:tcBorders>
              <w:top w:val="single" w:color="auto" w:sz="4" w:space="0"/>
              <w:left w:val="single" w:color="auto" w:sz="4" w:space="0"/>
              <w:bottom w:val="single" w:color="auto" w:sz="4" w:space="0"/>
            </w:tcBorders>
            <w:tcW w:w="992" w:type="dxa"/>
            <w:vAlign w:val="center"/>
            <w:textDirection w:val="lrTb"/>
            <w:noWrap w:val="false"/>
          </w:tcPr>
          <w:p>
            <w:pPr>
              <w:pBdr/>
              <w:spacing/>
              <w:ind/>
              <w:jc w:val="center"/>
              <w:rPr>
                <w:rFonts w:hint="eastAsia" w:ascii="仿宋" w:hAnsi="仿宋" w:eastAsia="仿宋" w:cs="仿宋"/>
                <w:bCs/>
                <w:sz w:val="32"/>
                <w:szCs w:val="32"/>
                <w:lang w:eastAsia="zh-CN"/>
              </w:rPr>
            </w:pPr>
            <w:r>
              <w:rPr>
                <w:rFonts w:hint="eastAsia" w:ascii="仿宋" w:hAnsi="仿宋" w:eastAsia="仿宋" w:cs="仿宋"/>
                <w:bCs/>
                <w:sz w:val="32"/>
                <w:szCs w:val="32"/>
                <w:lang w:val="en-US" w:eastAsia="zh-CN"/>
              </w:rPr>
              <w:t xml:space="preserve">1</w:t>
            </w:r>
            <w:r>
              <w:rPr>
                <w:rFonts w:hint="eastAsia" w:ascii="仿宋" w:hAnsi="仿宋" w:eastAsia="仿宋" w:cs="仿宋"/>
                <w:bCs/>
                <w:sz w:val="32"/>
                <w:szCs w:val="32"/>
                <w:lang w:eastAsia="zh-CN"/>
              </w:rPr>
            </w:r>
          </w:p>
        </w:tc>
        <w:tc>
          <w:tcPr>
            <w:tcBorders>
              <w:top w:val="single" w:color="auto" w:sz="4" w:space="0"/>
              <w:bottom w:val="single" w:color="auto" w:sz="4" w:space="0"/>
            </w:tcBorders>
            <w:tcW w:w="2337" w:type="dxa"/>
            <w:vAlign w:val="center"/>
            <w:textDirection w:val="lrTb"/>
            <w:noWrap w:val="false"/>
          </w:tcPr>
          <w:p>
            <w:pPr>
              <w:pBdr/>
              <w:spacing/>
              <w:ind/>
              <w:jc w:val="center"/>
              <w:rPr>
                <w:rFonts w:hint="eastAsia" w:ascii="仿宋" w:hAnsi="仿宋" w:eastAsia="仿宋" w:cs="仿宋"/>
                <w:bCs/>
                <w:sz w:val="32"/>
                <w:szCs w:val="32"/>
              </w:rPr>
            </w:pPr>
            <w:r>
              <w:rPr>
                <w:rFonts w:hint="eastAsia" w:ascii="仿宋" w:hAnsi="仿宋" w:eastAsia="仿宋" w:cs="仿宋"/>
                <w:sz w:val="32"/>
                <w:szCs w:val="32"/>
              </w:rPr>
              <w:t xml:space="preserve">卫健局（事业）</w:t>
            </w:r>
            <w:r>
              <w:rPr>
                <w:rFonts w:hint="eastAsia" w:ascii="仿宋" w:hAnsi="仿宋" w:eastAsia="仿宋" w:cs="仿宋"/>
                <w:bCs/>
                <w:sz w:val="32"/>
                <w:szCs w:val="32"/>
              </w:rPr>
            </w:r>
          </w:p>
        </w:tc>
        <w:tc>
          <w:tcPr>
            <w:tcBorders/>
            <w:tcW w:w="1680" w:type="dxa"/>
            <w:vAlign w:val="center"/>
            <w:textDirection w:val="lrTb"/>
            <w:noWrap w:val="false"/>
          </w:tcPr>
          <w:p>
            <w:pPr>
              <w:pBdr/>
              <w:spacing/>
              <w:ind/>
              <w:jc w:val="center"/>
              <w:rPr>
                <w:rFonts w:hint="eastAsia" w:ascii="仿宋" w:hAnsi="仿宋" w:eastAsia="仿宋" w:cs="仿宋"/>
                <w:bCs/>
                <w:sz w:val="32"/>
                <w:szCs w:val="32"/>
              </w:rPr>
            </w:pPr>
            <w:r>
              <w:rPr>
                <w:rFonts w:hint="eastAsia" w:ascii="仿宋" w:hAnsi="仿宋" w:eastAsia="仿宋" w:cs="仿宋"/>
                <w:bCs/>
                <w:sz w:val="32"/>
                <w:szCs w:val="32"/>
              </w:rPr>
              <w:t xml:space="preserve">事业</w:t>
            </w:r>
            <w:r>
              <w:rPr>
                <w:rFonts w:hint="eastAsia" w:ascii="仿宋" w:hAnsi="仿宋" w:eastAsia="仿宋" w:cs="仿宋"/>
                <w:bCs/>
                <w:sz w:val="32"/>
                <w:szCs w:val="32"/>
              </w:rPr>
            </w:r>
          </w:p>
        </w:tc>
        <w:tc>
          <w:tcPr>
            <w:tcBorders/>
            <w:tcW w:w="1794" w:type="dxa"/>
            <w:vAlign w:val="center"/>
            <w:textDirection w:val="lrTb"/>
            <w:noWrap w:val="false"/>
          </w:tcPr>
          <w:p>
            <w:pPr>
              <w:pBdr/>
              <w:spacing/>
              <w:ind/>
              <w:jc w:val="center"/>
              <w:rPr>
                <w:rFonts w:hint="eastAsia" w:ascii="仿宋" w:hAnsi="仿宋" w:eastAsia="仿宋" w:cs="仿宋"/>
                <w:bCs/>
                <w:sz w:val="32"/>
                <w:szCs w:val="32"/>
              </w:rPr>
            </w:pPr>
            <w:r>
              <w:rPr>
                <w:rFonts w:ascii="仿宋" w:hAnsi="仿宋" w:eastAsia="仿宋" w:cs="Times New Roman"/>
                <w:sz w:val="24"/>
                <w:szCs w:val="24"/>
              </w:rPr>
              <w:t xml:space="preserve">未定行政级别</w:t>
            </w:r>
            <w:r>
              <w:rPr>
                <w:rFonts w:hint="eastAsia" w:ascii="仿宋" w:hAnsi="仿宋" w:eastAsia="仿宋" w:cs="仿宋"/>
                <w:bCs/>
                <w:sz w:val="32"/>
                <w:szCs w:val="32"/>
              </w:rPr>
            </w:r>
          </w:p>
        </w:tc>
        <w:tc>
          <w:tcPr>
            <w:tcBorders/>
            <w:tcW w:w="3260" w:type="dxa"/>
            <w:vAlign w:val="center"/>
            <w:textDirection w:val="lrTb"/>
            <w:noWrap w:val="false"/>
          </w:tcPr>
          <w:p>
            <w:pPr>
              <w:pBdr/>
              <w:spacing/>
              <w:ind/>
              <w:jc w:val="center"/>
              <w:rPr>
                <w:rFonts w:hint="eastAsia" w:ascii="仿宋" w:hAnsi="仿宋" w:eastAsia="仿宋" w:cs="仿宋"/>
                <w:bCs/>
                <w:sz w:val="32"/>
                <w:szCs w:val="32"/>
              </w:rPr>
            </w:pPr>
            <w:r>
              <w:rPr>
                <w:rFonts w:hint="eastAsia" w:ascii="仿宋" w:hAnsi="仿宋" w:eastAsia="仿宋" w:cs="仿宋"/>
                <w:bCs/>
                <w:sz w:val="32"/>
                <w:szCs w:val="32"/>
              </w:rPr>
              <w:t xml:space="preserve">财政性资金基本保障</w:t>
            </w:r>
            <w:r>
              <w:rPr>
                <w:rFonts w:hint="eastAsia" w:ascii="仿宋" w:hAnsi="仿宋" w:eastAsia="仿宋" w:cs="仿宋"/>
                <w:bCs/>
                <w:sz w:val="32"/>
                <w:szCs w:val="32"/>
              </w:rPr>
            </w:r>
          </w:p>
        </w:tc>
      </w:tr>
    </w:tbl>
    <w:p>
      <w:pPr>
        <w:pBdr/>
        <w:spacing w:line="360" w:lineRule="auto"/>
        <w:ind/>
        <w:rPr>
          <w:rFonts w:hint="eastAsia" w:ascii="仿宋" w:hAnsi="仿宋" w:eastAsia="仿宋" w:cs="仿宋"/>
          <w:b/>
          <w:sz w:val="32"/>
          <w:szCs w:val="32"/>
        </w:rPr>
      </w:pPr>
      <w:r>
        <w:rPr>
          <w:rFonts w:hint="eastAsia" w:ascii="仿宋" w:hAnsi="仿宋" w:eastAsia="仿宋" w:cs="仿宋"/>
          <w:b/>
          <w:sz w:val="32"/>
          <w:szCs w:val="32"/>
        </w:rPr>
      </w:r>
      <w:r>
        <w:rPr>
          <w:rFonts w:hint="eastAsia" w:ascii="仿宋" w:hAnsi="仿宋" w:eastAsia="仿宋" w:cs="仿宋"/>
          <w:b/>
          <w:sz w:val="32"/>
          <w:szCs w:val="32"/>
        </w:rPr>
      </w:r>
    </w:p>
    <w:p>
      <w:pPr>
        <w:pBdr/>
        <w:spacing/>
        <w:ind/>
        <w:jc w:val="center"/>
        <w:outlineLvl w:val="0"/>
        <w:rPr>
          <w:rFonts w:ascii="方正小标宋_GBK" w:eastAsia="方正小标宋_GBK"/>
          <w:sz w:val="44"/>
        </w:rPr>
      </w:pPr>
      <w:r>
        <w:rPr>
          <w:rFonts w:hint="eastAsia" w:ascii="方正小标宋_GBK" w:eastAsia="方正小标宋_GBK"/>
          <w:sz w:val="44"/>
        </w:rPr>
        <w:t xml:space="preserve">第二部分：</w:t>
      </w:r>
      <w:r>
        <w:rPr>
          <w:rFonts w:hint="eastAsia" w:ascii="方正小标宋_GBK" w:eastAsia="方正小标宋_GBK"/>
          <w:sz w:val="44"/>
          <w:lang w:val="en-US" w:eastAsia="zh-CN"/>
        </w:rPr>
        <w:t xml:space="preserve">单位</w:t>
      </w:r>
      <w:r>
        <w:rPr>
          <w:rFonts w:hint="eastAsia" w:ascii="方正小标宋_GBK" w:eastAsia="方正小标宋_GBK"/>
          <w:sz w:val="44"/>
        </w:rPr>
        <w:t xml:space="preserve">预算安排的总体情况</w:t>
      </w:r>
      <w:r>
        <w:rPr>
          <w:rFonts w:ascii="方正小标宋_GBK" w:eastAsia="方正小标宋_GBK"/>
          <w:sz w:val="44"/>
        </w:rPr>
        <w:t xml:space="preserve"> </w:t>
      </w:r>
      <w:r>
        <w:rPr>
          <w:rFonts w:ascii="方正小标宋_GBK" w:eastAsia="方正小标宋_GBK"/>
          <w:sz w:val="44"/>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按照预算管理有关规定，目前我区部门预算的编制实行综合预算制度，即全部收入和支出都反映</w:t>
      </w:r>
      <w:r>
        <w:rPr>
          <w:rFonts w:ascii="仿宋" w:hAnsi="仿宋" w:eastAsia="仿宋"/>
          <w:sz w:val="32"/>
          <w:szCs w:val="32"/>
        </w:rPr>
        <w:t xml:space="preserve">在</w:t>
      </w:r>
      <w:r>
        <w:rPr>
          <w:rFonts w:hint="eastAsia" w:ascii="仿宋" w:hAnsi="仿宋" w:eastAsia="仿宋"/>
          <w:sz w:val="32"/>
          <w:szCs w:val="32"/>
        </w:rPr>
        <w:t xml:space="preserve">预算中。我单位的收支包含在部门预算中。</w:t>
      </w:r>
      <w:r>
        <w:rPr>
          <w:rFonts w:ascii="仿宋" w:hAnsi="仿宋" w:eastAsia="仿宋"/>
          <w:sz w:val="32"/>
          <w:szCs w:val="32"/>
        </w:rPr>
      </w:r>
    </w:p>
    <w:p>
      <w:pPr>
        <w:pBdr/>
        <w:spacing w:line="360" w:lineRule="auto"/>
        <w:ind w:firstLine="643"/>
        <w:rPr>
          <w:rFonts w:ascii="仿宋" w:hAnsi="仿宋" w:eastAsia="仿宋"/>
          <w:b/>
          <w:sz w:val="32"/>
          <w:szCs w:val="32"/>
        </w:rPr>
      </w:pPr>
      <w:r>
        <w:rPr>
          <w:rFonts w:hint="eastAsia" w:ascii="仿宋" w:hAnsi="仿宋" w:eastAsia="仿宋"/>
          <w:b/>
          <w:sz w:val="32"/>
          <w:szCs w:val="32"/>
        </w:rPr>
        <w:t xml:space="preserve">一、收入说明</w:t>
      </w:r>
      <w:r>
        <w:rPr>
          <w:rFonts w:ascii="仿宋" w:hAnsi="仿宋" w:eastAsia="仿宋"/>
          <w:b/>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202</w:t>
      </w:r>
      <w:r>
        <w:rPr>
          <w:rFonts w:hint="eastAsia" w:ascii="仿宋" w:hAnsi="仿宋" w:eastAsia="仿宋"/>
          <w:sz w:val="32"/>
          <w:szCs w:val="32"/>
          <w:lang w:val="en-US" w:eastAsia="zh-CN"/>
        </w:rPr>
        <w:t xml:space="preserve">1</w:t>
      </w:r>
      <w:r>
        <w:rPr>
          <w:rFonts w:ascii="仿宋" w:hAnsi="仿宋" w:eastAsia="仿宋"/>
          <w:sz w:val="32"/>
          <w:szCs w:val="32"/>
        </w:rPr>
        <w:t xml:space="preserve">年预算收入为</w:t>
      </w:r>
      <w:r>
        <w:rPr>
          <w:rFonts w:hint="eastAsia" w:eastAsia="仿宋"/>
          <w:sz w:val="30"/>
          <w:szCs w:val="30"/>
          <w:lang w:val="en-US" w:eastAsia="zh-CN"/>
        </w:rPr>
        <w:t xml:space="preserve">2272.01</w:t>
      </w:r>
      <w:r>
        <w:rPr>
          <w:rFonts w:ascii="仿宋" w:hAnsi="仿宋" w:eastAsia="仿宋"/>
          <w:sz w:val="32"/>
          <w:szCs w:val="32"/>
        </w:rPr>
        <w:t xml:space="preserve">万元,其中：一般公共预算收入</w:t>
      </w:r>
      <w:r>
        <w:rPr>
          <w:rFonts w:hint="eastAsia" w:ascii="仿宋" w:hAnsi="仿宋" w:eastAsia="仿宋"/>
          <w:sz w:val="32"/>
          <w:szCs w:val="32"/>
          <w:lang w:val="en-US" w:eastAsia="zh-CN"/>
        </w:rPr>
        <w:t xml:space="preserve">2272.01</w:t>
      </w:r>
      <w:r>
        <w:rPr>
          <w:rFonts w:ascii="仿宋" w:hAnsi="仿宋" w:eastAsia="仿宋"/>
          <w:sz w:val="32"/>
          <w:szCs w:val="32"/>
        </w:rPr>
        <w:t xml:space="preserve">万元。</w:t>
      </w:r>
      <w:r>
        <w:rPr>
          <w:rFonts w:ascii="仿宋" w:hAnsi="仿宋" w:eastAsia="仿宋"/>
          <w:sz w:val="32"/>
          <w:szCs w:val="32"/>
        </w:rPr>
      </w:r>
    </w:p>
    <w:p>
      <w:pPr>
        <w:pBdr/>
        <w:spacing w:line="360" w:lineRule="auto"/>
        <w:ind w:firstLine="643"/>
        <w:rPr>
          <w:rFonts w:ascii="仿宋" w:hAnsi="仿宋" w:eastAsia="仿宋"/>
          <w:b/>
          <w:sz w:val="32"/>
          <w:szCs w:val="32"/>
        </w:rPr>
      </w:pPr>
      <w:r>
        <w:rPr>
          <w:rFonts w:hint="eastAsia" w:ascii="仿宋" w:hAnsi="仿宋" w:eastAsia="仿宋"/>
          <w:b/>
          <w:sz w:val="32"/>
          <w:szCs w:val="32"/>
        </w:rPr>
        <w:t xml:space="preserve">二、支出说明</w:t>
      </w:r>
      <w:r>
        <w:rPr>
          <w:rFonts w:ascii="仿宋" w:hAnsi="仿宋" w:eastAsia="仿宋"/>
          <w:b/>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202</w:t>
      </w:r>
      <w:r>
        <w:rPr>
          <w:rFonts w:hint="default" w:ascii="仿宋" w:hAnsi="仿宋" w:eastAsia="仿宋"/>
          <w:sz w:val="32"/>
          <w:szCs w:val="32"/>
          <w:lang w:val="en-US"/>
        </w:rPr>
        <w:t xml:space="preserve">2</w:t>
      </w:r>
      <w:r>
        <w:rPr>
          <w:rFonts w:ascii="仿宋" w:hAnsi="仿宋" w:eastAsia="仿宋"/>
          <w:sz w:val="32"/>
          <w:szCs w:val="32"/>
        </w:rPr>
        <w:t xml:space="preserve">年</w:t>
      </w:r>
      <w:r>
        <w:rPr>
          <w:rFonts w:hint="eastAsia" w:ascii="仿宋" w:hAnsi="仿宋" w:eastAsia="仿宋"/>
          <w:sz w:val="32"/>
          <w:szCs w:val="32"/>
          <w:lang w:val="en-US" w:eastAsia="zh-CN"/>
        </w:rPr>
        <w:t xml:space="preserve">单位</w:t>
      </w:r>
      <w:r>
        <w:rPr>
          <w:rFonts w:ascii="仿宋" w:hAnsi="仿宋" w:eastAsia="仿宋"/>
          <w:sz w:val="32"/>
          <w:szCs w:val="32"/>
        </w:rPr>
        <w:t xml:space="preserve">支出预算：</w:t>
      </w:r>
      <w:r>
        <w:rPr>
          <w:rFonts w:hint="eastAsia" w:ascii="仿宋" w:hAnsi="仿宋" w:eastAsia="仿宋"/>
          <w:sz w:val="32"/>
          <w:szCs w:val="32"/>
          <w:lang w:val="en-US" w:eastAsia="zh-CN"/>
        </w:rPr>
        <w:t xml:space="preserve">2272.01</w:t>
      </w:r>
      <w:r>
        <w:rPr>
          <w:rFonts w:ascii="仿宋" w:hAnsi="仿宋" w:eastAsia="仿宋"/>
          <w:sz w:val="32"/>
          <w:szCs w:val="32"/>
        </w:rPr>
        <w:t xml:space="preserve">万元</w:t>
      </w:r>
      <w:r>
        <w:rPr>
          <w:rFonts w:ascii="仿宋" w:hAnsi="仿宋" w:eastAsia="仿宋"/>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基本支出</w:t>
      </w:r>
      <w:r>
        <w:rPr>
          <w:rFonts w:hint="eastAsia" w:ascii="仿宋" w:hAnsi="仿宋" w:eastAsia="仿宋"/>
          <w:sz w:val="32"/>
          <w:szCs w:val="32"/>
          <w:lang w:val="en-US" w:eastAsia="zh-CN"/>
        </w:rPr>
        <w:t xml:space="preserve">2272.01</w:t>
      </w:r>
      <w:r>
        <w:rPr>
          <w:rFonts w:hint="eastAsia" w:ascii="仿宋" w:hAnsi="仿宋" w:eastAsia="仿宋"/>
          <w:sz w:val="32"/>
          <w:szCs w:val="32"/>
        </w:rPr>
        <w:t xml:space="preserve">万元</w:t>
      </w:r>
      <w:r>
        <w:rPr>
          <w:rFonts w:ascii="仿宋" w:hAnsi="仿宋" w:eastAsia="仿宋"/>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    其中：人员经费</w:t>
      </w:r>
      <w:r>
        <w:rPr>
          <w:rFonts w:hint="eastAsia" w:ascii="仿宋" w:hAnsi="仿宋" w:eastAsia="仿宋"/>
          <w:sz w:val="32"/>
          <w:szCs w:val="32"/>
          <w:lang w:val="en-US" w:eastAsia="zh-CN"/>
        </w:rPr>
        <w:t xml:space="preserve">2228.24</w:t>
      </w:r>
      <w:bookmarkStart w:id="0" w:name="_GoBack"/>
      <w:r/>
      <w:bookmarkEnd w:id="0"/>
      <w:r>
        <w:rPr>
          <w:rFonts w:ascii="仿宋" w:hAnsi="仿宋" w:eastAsia="仿宋"/>
          <w:sz w:val="32"/>
          <w:szCs w:val="32"/>
        </w:rPr>
        <w:t xml:space="preserve">万元</w:t>
      </w:r>
      <w:r>
        <w:rPr>
          <w:rFonts w:ascii="仿宋" w:hAnsi="仿宋" w:eastAsia="仿宋"/>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          日常公用经费</w:t>
      </w:r>
      <w:r>
        <w:rPr>
          <w:rFonts w:hint="eastAsia" w:ascii="仿宋" w:hAnsi="仿宋" w:eastAsia="仿宋"/>
          <w:sz w:val="32"/>
          <w:szCs w:val="32"/>
          <w:lang w:val="en-US" w:eastAsia="zh-CN"/>
        </w:rPr>
        <w:t xml:space="preserve">43.77</w:t>
      </w:r>
      <w:r>
        <w:rPr>
          <w:rFonts w:ascii="仿宋" w:hAnsi="仿宋" w:eastAsia="仿宋"/>
          <w:sz w:val="32"/>
          <w:szCs w:val="32"/>
        </w:rPr>
        <w:t xml:space="preserve">万元</w:t>
      </w:r>
      <w:r>
        <w:rPr>
          <w:rFonts w:ascii="仿宋" w:hAnsi="仿宋" w:eastAsia="仿宋"/>
          <w:sz w:val="32"/>
          <w:szCs w:val="32"/>
        </w:rPr>
      </w:r>
    </w:p>
    <w:p>
      <w:pPr>
        <w:pBdr/>
        <w:spacing w:line="360" w:lineRule="auto"/>
        <w:ind w:firstLine="643"/>
        <w:rPr>
          <w:rFonts w:ascii="仿宋" w:hAnsi="仿宋" w:eastAsia="仿宋"/>
          <w:b/>
          <w:sz w:val="32"/>
          <w:szCs w:val="32"/>
        </w:rPr>
      </w:pPr>
      <w:r>
        <w:rPr>
          <w:rFonts w:hint="eastAsia" w:ascii="仿宋" w:hAnsi="仿宋" w:eastAsia="仿宋"/>
          <w:b/>
          <w:sz w:val="32"/>
          <w:szCs w:val="32"/>
        </w:rPr>
        <w:t xml:space="preserve">三、比上年增减情况</w:t>
      </w:r>
      <w:r>
        <w:rPr>
          <w:rFonts w:ascii="仿宋" w:hAnsi="仿宋" w:eastAsia="仿宋"/>
          <w:b/>
          <w:sz w:val="32"/>
          <w:szCs w:val="32"/>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本年度预算收支安排</w:t>
      </w:r>
      <w:r>
        <w:rPr>
          <w:rFonts w:hint="eastAsia" w:ascii="仿宋" w:hAnsi="仿宋" w:eastAsia="仿宋"/>
          <w:sz w:val="32"/>
          <w:szCs w:val="32"/>
          <w:lang w:val="en-US" w:eastAsia="zh-CN"/>
        </w:rPr>
        <w:t xml:space="preserve">3338.10</w:t>
      </w:r>
      <w:r>
        <w:rPr>
          <w:rFonts w:hint="eastAsia" w:ascii="仿宋" w:hAnsi="仿宋" w:eastAsia="仿宋"/>
          <w:sz w:val="32"/>
          <w:szCs w:val="32"/>
        </w:rPr>
        <w:t xml:space="preserve">元，较上年增加</w:t>
      </w:r>
      <w:r>
        <w:rPr>
          <w:rFonts w:hint="eastAsia" w:ascii="仿宋" w:hAnsi="仿宋" w:eastAsia="仿宋"/>
          <w:sz w:val="32"/>
          <w:szCs w:val="32"/>
          <w:lang w:val="en-US" w:eastAsia="zh-CN"/>
        </w:rPr>
        <w:t xml:space="preserve">1066.09</w:t>
      </w:r>
      <w:r>
        <w:rPr>
          <w:rFonts w:ascii="仿宋" w:hAnsi="仿宋" w:eastAsia="仿宋"/>
          <w:sz w:val="32"/>
          <w:szCs w:val="32"/>
        </w:rPr>
        <w:t xml:space="preserve">万元。其中:基本支出增加</w:t>
      </w:r>
      <w:r>
        <w:rPr>
          <w:rFonts w:hint="eastAsia" w:ascii="仿宋" w:hAnsi="仿宋" w:eastAsia="仿宋"/>
          <w:sz w:val="32"/>
          <w:szCs w:val="32"/>
          <w:lang w:val="en-US" w:eastAsia="zh-CN"/>
        </w:rPr>
        <w:t xml:space="preserve">1068.56</w:t>
      </w:r>
      <w:r>
        <w:rPr>
          <w:rFonts w:ascii="仿宋" w:hAnsi="仿宋" w:eastAsia="仿宋"/>
          <w:sz w:val="32"/>
          <w:szCs w:val="32"/>
        </w:rPr>
        <w:t xml:space="preserve">万元，主要原因是</w:t>
      </w:r>
      <w:r>
        <w:rPr>
          <w:rFonts w:hint="eastAsia" w:ascii="仿宋" w:hAnsi="仿宋" w:eastAsia="仿宋"/>
          <w:sz w:val="32"/>
          <w:szCs w:val="32"/>
          <w:lang w:val="en-US" w:eastAsia="zh-CN"/>
        </w:rPr>
        <w:t xml:space="preserve">人员经费增加</w:t>
      </w:r>
      <w:r>
        <w:rPr>
          <w:rFonts w:ascii="仿宋" w:hAnsi="仿宋" w:eastAsia="仿宋"/>
          <w:sz w:val="32"/>
          <w:szCs w:val="32"/>
        </w:rPr>
        <w:t xml:space="preserve">。</w:t>
      </w:r>
      <w:r>
        <w:rPr>
          <w:rFonts w:ascii="仿宋" w:hAnsi="仿宋" w:eastAsia="仿宋"/>
          <w:sz w:val="32"/>
          <w:szCs w:val="32"/>
        </w:rPr>
      </w:r>
    </w:p>
    <w:p>
      <w:pPr>
        <w:pBdr/>
        <w:spacing w:line="360" w:lineRule="auto"/>
        <w:ind w:firstLine="640"/>
        <w:rPr>
          <w:rFonts w:ascii="仿宋" w:hAnsi="仿宋" w:eastAsia="仿宋"/>
          <w:sz w:val="32"/>
          <w:szCs w:val="32"/>
        </w:rPr>
      </w:pPr>
      <w:r>
        <w:rPr>
          <w:rFonts w:ascii="仿宋" w:hAnsi="仿宋" w:eastAsia="仿宋"/>
          <w:sz w:val="32"/>
          <w:szCs w:val="32"/>
        </w:rPr>
      </w:r>
      <w:r>
        <w:rPr>
          <w:rFonts w:ascii="仿宋" w:hAnsi="仿宋" w:eastAsia="仿宋"/>
          <w:sz w:val="32"/>
          <w:szCs w:val="32"/>
        </w:rPr>
      </w:r>
    </w:p>
    <w:p>
      <w:pPr>
        <w:pBdr/>
        <w:spacing/>
        <w:ind/>
        <w:jc w:val="center"/>
        <w:outlineLvl w:val="0"/>
        <w:rPr>
          <w:rFonts w:ascii="方正小标宋_GBK" w:eastAsia="方正小标宋_GBK"/>
          <w:sz w:val="44"/>
        </w:rPr>
      </w:pPr>
      <w:r>
        <w:rPr>
          <w:rFonts w:hint="eastAsia" w:ascii="方正小标宋_GBK" w:eastAsia="方正小标宋_GBK"/>
          <w:sz w:val="44"/>
        </w:rPr>
        <w:t xml:space="preserve">第三部分：机关运行经费安排情况</w:t>
      </w:r>
      <w:r>
        <w:rPr>
          <w:rFonts w:ascii="方正小标宋_GBK" w:eastAsia="方正小标宋_GBK"/>
          <w:sz w:val="44"/>
        </w:rPr>
      </w:r>
    </w:p>
    <w:p>
      <w:pPr>
        <w:pBdr/>
        <w:spacing w:line="360" w:lineRule="auto"/>
        <w:ind w:firstLine="640"/>
        <w:rPr>
          <w:rFonts w:ascii="仿宋" w:hAnsi="仿宋" w:eastAsia="仿宋"/>
          <w:b/>
          <w:sz w:val="32"/>
          <w:szCs w:val="32"/>
        </w:rPr>
      </w:pPr>
      <w:r>
        <w:rPr>
          <w:rFonts w:ascii="仿宋" w:hAnsi="仿宋" w:eastAsia="仿宋"/>
          <w:sz w:val="32"/>
          <w:szCs w:val="32"/>
        </w:rPr>
        <w:t xml:space="preserve">202</w:t>
      </w:r>
      <w:r>
        <w:rPr>
          <w:rFonts w:hint="default" w:ascii="仿宋" w:hAnsi="仿宋" w:eastAsia="仿宋"/>
          <w:sz w:val="32"/>
          <w:szCs w:val="32"/>
          <w:lang w:val="en-US"/>
        </w:rPr>
        <w:t xml:space="preserve">2</w:t>
      </w:r>
      <w:r>
        <w:rPr>
          <w:rFonts w:ascii="仿宋" w:hAnsi="仿宋" w:eastAsia="仿宋"/>
          <w:sz w:val="32"/>
          <w:szCs w:val="32"/>
        </w:rPr>
        <w:t xml:space="preserve">年我</w:t>
      </w:r>
      <w:r>
        <w:rPr>
          <w:rFonts w:hint="eastAsia" w:ascii="仿宋" w:hAnsi="仿宋" w:eastAsia="仿宋"/>
          <w:sz w:val="32"/>
          <w:szCs w:val="32"/>
          <w:lang w:val="en-US" w:eastAsia="zh-CN"/>
        </w:rPr>
        <w:t xml:space="preserve">单位</w:t>
      </w:r>
      <w:r>
        <w:rPr>
          <w:rFonts w:ascii="仿宋" w:hAnsi="仿宋" w:eastAsia="仿宋"/>
          <w:sz w:val="32"/>
          <w:szCs w:val="32"/>
        </w:rPr>
        <w:t xml:space="preserve">机关运行经费安排</w:t>
      </w:r>
      <w:r>
        <w:rPr>
          <w:rFonts w:hint="eastAsia" w:ascii="仿宋" w:hAnsi="仿宋" w:eastAsia="仿宋"/>
          <w:sz w:val="32"/>
          <w:szCs w:val="32"/>
          <w:lang w:val="en-US" w:eastAsia="zh-CN"/>
        </w:rPr>
        <w:t xml:space="preserve">455.77</w:t>
      </w:r>
      <w:r>
        <w:rPr>
          <w:rFonts w:ascii="仿宋" w:hAnsi="仿宋" w:eastAsia="仿宋"/>
          <w:sz w:val="32"/>
          <w:szCs w:val="32"/>
        </w:rPr>
        <w:t xml:space="preserve">万元，其中办公费</w:t>
      </w:r>
      <w:r>
        <w:rPr>
          <w:rFonts w:hint="eastAsia" w:ascii="仿宋" w:hAnsi="仿宋" w:eastAsia="仿宋"/>
          <w:sz w:val="32"/>
          <w:szCs w:val="32"/>
          <w:lang w:val="en-US" w:eastAsia="zh-CN"/>
        </w:rPr>
        <w:t xml:space="preserve">305.39</w:t>
      </w:r>
      <w:r>
        <w:rPr>
          <w:rFonts w:ascii="仿宋" w:hAnsi="仿宋" w:eastAsia="仿宋"/>
          <w:sz w:val="32"/>
          <w:szCs w:val="32"/>
        </w:rPr>
        <w:t xml:space="preserve">万元，邮电费</w:t>
      </w:r>
      <w:r>
        <w:rPr>
          <w:rFonts w:hint="eastAsia" w:ascii="仿宋" w:hAnsi="仿宋" w:eastAsia="仿宋"/>
          <w:sz w:val="32"/>
          <w:szCs w:val="32"/>
          <w:lang w:val="en-US" w:eastAsia="zh-CN"/>
        </w:rPr>
        <w:t xml:space="preserve">10.16</w:t>
      </w:r>
      <w:r>
        <w:rPr>
          <w:rFonts w:ascii="仿宋" w:hAnsi="仿宋" w:eastAsia="仿宋"/>
          <w:sz w:val="32"/>
          <w:szCs w:val="32"/>
        </w:rPr>
        <w:t xml:space="preserve">万元，工会经费、福利费</w:t>
      </w:r>
      <w:r>
        <w:rPr>
          <w:rFonts w:hint="eastAsia" w:ascii="仿宋" w:hAnsi="仿宋" w:eastAsia="仿宋"/>
          <w:sz w:val="32"/>
          <w:szCs w:val="32"/>
          <w:lang w:val="en-US" w:eastAsia="zh-CN"/>
        </w:rPr>
        <w:t xml:space="preserve">39.37</w:t>
      </w:r>
      <w:r>
        <w:rPr>
          <w:rFonts w:ascii="仿宋" w:hAnsi="仿宋" w:eastAsia="仿宋"/>
          <w:sz w:val="32"/>
          <w:szCs w:val="32"/>
        </w:rPr>
        <w:t xml:space="preserve">万元，公务用车运行维护费</w:t>
      </w:r>
      <w:r>
        <w:rPr>
          <w:rFonts w:hint="eastAsia" w:ascii="仿宋" w:hAnsi="仿宋" w:eastAsia="仿宋"/>
          <w:sz w:val="32"/>
          <w:szCs w:val="32"/>
          <w:lang w:val="en-US" w:eastAsia="zh-CN"/>
        </w:rPr>
        <w:t xml:space="preserve">31.59</w:t>
      </w:r>
      <w:r>
        <w:rPr>
          <w:rFonts w:ascii="仿宋" w:hAnsi="仿宋" w:eastAsia="仿宋"/>
          <w:sz w:val="32"/>
          <w:szCs w:val="32"/>
        </w:rPr>
        <w:t xml:space="preserve">万元</w:t>
      </w:r>
      <w:r>
        <w:rPr>
          <w:rFonts w:hint="eastAsia" w:ascii="仿宋" w:hAnsi="仿宋" w:eastAsia="仿宋"/>
          <w:sz w:val="32"/>
          <w:szCs w:val="32"/>
          <w:lang w:eastAsia="zh-CN"/>
        </w:rPr>
        <w:t xml:space="preserve">，</w:t>
      </w:r>
      <w:r>
        <w:rPr>
          <w:rFonts w:hint="eastAsia" w:ascii="仿宋" w:hAnsi="仿宋" w:eastAsia="仿宋"/>
          <w:sz w:val="32"/>
          <w:szCs w:val="32"/>
          <w:lang w:val="en-US" w:eastAsia="zh-CN"/>
        </w:rPr>
        <w:t xml:space="preserve">其他支出69.26万元</w:t>
      </w:r>
      <w:r>
        <w:rPr>
          <w:rFonts w:ascii="仿宋" w:hAnsi="仿宋" w:eastAsia="仿宋"/>
          <w:sz w:val="32"/>
          <w:szCs w:val="32"/>
        </w:rPr>
        <w:t xml:space="preserve">。</w:t>
      </w:r>
      <w:r>
        <w:rPr>
          <w:rFonts w:ascii="仿宋" w:hAnsi="仿宋" w:eastAsia="仿宋"/>
          <w:b/>
          <w:sz w:val="32"/>
          <w:szCs w:val="32"/>
        </w:rPr>
      </w:r>
    </w:p>
    <w:p>
      <w:pPr>
        <w:pBdr/>
        <w:spacing w:line="360" w:lineRule="auto"/>
        <w:ind/>
        <w:jc w:val="center"/>
        <w:rPr>
          <w:rFonts w:ascii="黑体" w:hAnsi="黑体" w:eastAsia="黑体" w:cs="Times New Roman"/>
          <w:sz w:val="32"/>
          <w:szCs w:val="32"/>
        </w:rPr>
      </w:pPr>
      <w:r>
        <w:rPr>
          <w:rFonts w:ascii="黑体" w:hAnsi="黑体" w:eastAsia="黑体" w:cs="Times New Roman"/>
          <w:sz w:val="32"/>
          <w:szCs w:val="32"/>
        </w:rPr>
      </w:r>
      <w:r>
        <w:rPr>
          <w:rFonts w:ascii="黑体" w:hAnsi="黑体" w:eastAsia="黑体" w:cs="Times New Roman"/>
          <w:sz w:val="32"/>
          <w:szCs w:val="32"/>
        </w:rPr>
      </w:r>
    </w:p>
    <w:p>
      <w:pPr>
        <w:pBdr/>
        <w:spacing w:line="360" w:lineRule="auto"/>
        <w:ind/>
        <w:jc w:val="center"/>
        <w:rPr>
          <w:rFonts w:ascii="黑体" w:hAnsi="黑体" w:eastAsia="黑体" w:cs="Times New Roman"/>
          <w:sz w:val="32"/>
          <w:szCs w:val="32"/>
        </w:rPr>
      </w:pPr>
      <w:r>
        <w:rPr>
          <w:rFonts w:ascii="黑体" w:hAnsi="黑体" w:eastAsia="黑体" w:cs="Times New Roman"/>
          <w:sz w:val="32"/>
          <w:szCs w:val="32"/>
        </w:rPr>
      </w:r>
      <w:r>
        <w:rPr>
          <w:rFonts w:ascii="黑体" w:hAnsi="黑体" w:eastAsia="黑体" w:cs="Times New Roman"/>
          <w:sz w:val="32"/>
          <w:szCs w:val="32"/>
        </w:rPr>
      </w:r>
    </w:p>
    <w:p>
      <w:pPr>
        <w:pBdr/>
        <w:spacing/>
        <w:ind/>
        <w:jc w:val="center"/>
        <w:outlineLvl w:val="0"/>
        <w:rPr>
          <w:rFonts w:ascii="方正小标宋_GBK" w:eastAsia="方正小标宋_GBK"/>
          <w:sz w:val="44"/>
        </w:rPr>
      </w:pPr>
      <w:r>
        <w:rPr>
          <w:rFonts w:ascii="方正小标宋_GBK" w:eastAsia="方正小标宋_GBK"/>
          <w:sz w:val="44"/>
        </w:rPr>
      </w:r>
      <w:r>
        <w:rPr>
          <w:rFonts w:ascii="方正小标宋_GBK" w:eastAsia="方正小标宋_GBK"/>
          <w:sz w:val="44"/>
        </w:rPr>
      </w:r>
    </w:p>
    <w:p>
      <w:pPr>
        <w:pBdr/>
        <w:spacing w:line="360" w:lineRule="auto"/>
        <w:ind/>
        <w:rPr>
          <w:rFonts w:ascii="黑体" w:hAnsi="黑体" w:eastAsia="黑体" w:cs="Times New Roman"/>
          <w:sz w:val="32"/>
          <w:szCs w:val="32"/>
        </w:rPr>
      </w:pPr>
      <w:r>
        <w:rPr>
          <w:rFonts w:ascii="黑体" w:hAnsi="黑体" w:eastAsia="黑体" w:cs="Times New Roman"/>
          <w:sz w:val="32"/>
          <w:szCs w:val="32"/>
        </w:rPr>
      </w:r>
      <w:r>
        <w:rPr>
          <w:rFonts w:ascii="黑体" w:hAnsi="黑体" w:eastAsia="黑体" w:cs="Times New Roman"/>
          <w:sz w:val="32"/>
          <w:szCs w:val="32"/>
        </w:rPr>
      </w:r>
    </w:p>
    <w:p>
      <w:pPr>
        <w:pBdr/>
        <w:spacing w:line="360" w:lineRule="auto"/>
        <w:ind/>
        <w:rPr>
          <w:rFonts w:ascii="黑体" w:hAnsi="黑体" w:eastAsia="黑体" w:cs="Times New Roman"/>
          <w:sz w:val="32"/>
          <w:szCs w:val="32"/>
        </w:rPr>
      </w:pPr>
      <w:r>
        <w:rPr>
          <w:rFonts w:ascii="黑体" w:hAnsi="黑体" w:eastAsia="黑体" w:cs="Times New Roman"/>
          <w:sz w:val="32"/>
          <w:szCs w:val="32"/>
        </w:rPr>
      </w:r>
      <w:r>
        <w:rPr>
          <w:rFonts w:ascii="黑体" w:hAnsi="黑体" w:eastAsia="黑体" w:cs="Times New Roman"/>
          <w:sz w:val="32"/>
          <w:szCs w:val="32"/>
        </w:rPr>
      </w:r>
    </w:p>
    <w:p>
      <w:pPr>
        <w:pBdr/>
        <w:spacing/>
        <w:ind/>
        <w:jc w:val="center"/>
        <w:outlineLvl w:val="0"/>
        <w:rPr>
          <w:rFonts w:ascii="方正小标宋_GBK" w:eastAsia="方正小标宋_GBK"/>
          <w:sz w:val="44"/>
        </w:rPr>
      </w:pPr>
      <w:r>
        <w:rPr>
          <w:rFonts w:hint="eastAsia" w:ascii="方正小标宋_GBK" w:eastAsia="方正小标宋_GBK"/>
          <w:sz w:val="44"/>
        </w:rPr>
        <w:t xml:space="preserve">第八部分：名词解释</w:t>
      </w:r>
      <w:r>
        <w:rPr>
          <w:rFonts w:ascii="方正小标宋_GBK" w:eastAsia="方正小标宋_GBK"/>
          <w:sz w:val="44"/>
        </w:rPr>
      </w:r>
    </w:p>
    <w:p>
      <w:pPr>
        <w:pBdr/>
        <w:spacing w:line="360" w:lineRule="auto"/>
        <w:ind w:firstLine="640"/>
        <w:rPr>
          <w:rFonts w:ascii="仿宋" w:hAnsi="仿宋" w:eastAsia="仿宋"/>
          <w:sz w:val="32"/>
          <w:szCs w:val="32"/>
        </w:rPr>
      </w:pPr>
      <w:r>
        <w:rPr>
          <w:rFonts w:ascii="仿宋" w:hAnsi="仿宋" w:eastAsia="仿宋"/>
          <w:sz w:val="32"/>
          <w:szCs w:val="32"/>
        </w:rPr>
        <w:t xml:space="preserve">1、一般公共预算财政拨款收入：指区级财政当年拨付的资金。</w:t>
      </w:r>
      <w:r>
        <w:rPr>
          <w:rFonts w:ascii="仿宋" w:hAnsi="仿宋" w:eastAsia="仿宋"/>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2、其他收入：指除上述“财政拨款收入”、“事业收入”等以外的收入。</w:t>
      </w:r>
      <w:r>
        <w:rPr>
          <w:rFonts w:ascii="仿宋" w:hAnsi="仿宋" w:eastAsia="仿宋"/>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3、基本支出：指为保障机构正常运转、完成日常工作任务而发生的人员支出和公用支出。</w:t>
      </w:r>
      <w:r>
        <w:rPr>
          <w:rFonts w:ascii="仿宋" w:hAnsi="仿宋" w:eastAsia="仿宋"/>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4、项目支出：指在基本支出之外为完成特定行政任务和事业发展目标所发生的支出。</w:t>
      </w:r>
      <w:r>
        <w:rPr>
          <w:rFonts w:ascii="仿宋" w:hAnsi="仿宋" w:eastAsia="仿宋"/>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5、“三公”经费：纳入区级财政预算管理的“三公”经费，是指区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r>
        <w:rPr>
          <w:rFonts w:ascii="仿宋" w:hAnsi="仿宋" w:eastAsia="仿宋"/>
          <w:sz w:val="32"/>
          <w:szCs w:val="32"/>
        </w:rPr>
      </w:r>
    </w:p>
    <w:p>
      <w:pPr>
        <w:pBdr/>
        <w:spacing w:line="360" w:lineRule="auto"/>
        <w:ind w:firstLine="640"/>
        <w:rPr>
          <w:rFonts w:ascii="仿宋" w:hAnsi="仿宋" w:eastAsia="仿宋"/>
          <w:sz w:val="32"/>
          <w:szCs w:val="32"/>
        </w:rPr>
      </w:pPr>
      <w:r>
        <w:rPr>
          <w:rFonts w:ascii="仿宋" w:hAnsi="仿宋" w:eastAsia="仿宋"/>
          <w:sz w:val="32"/>
          <w:szCs w:val="32"/>
        </w:rPr>
        <w:t xml:space="preserve">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 w:hAnsi="仿宋" w:eastAsia="仿宋"/>
          <w:sz w:val="32"/>
          <w:szCs w:val="32"/>
        </w:rPr>
      </w:r>
    </w:p>
    <w:p>
      <w:pPr>
        <w:pBdr/>
        <w:spacing w:line="360" w:lineRule="auto"/>
        <w:ind/>
        <w:jc w:val="center"/>
        <w:rPr>
          <w:rFonts w:ascii="黑体" w:hAnsi="黑体" w:eastAsia="黑体" w:cs="Times New Roman"/>
          <w:sz w:val="32"/>
          <w:szCs w:val="32"/>
        </w:rPr>
      </w:pPr>
      <w:r>
        <w:rPr>
          <w:rFonts w:ascii="黑体" w:hAnsi="黑体" w:eastAsia="黑体" w:cs="Times New Roman"/>
          <w:sz w:val="32"/>
          <w:szCs w:val="32"/>
        </w:rPr>
      </w:r>
      <w:r>
        <w:rPr>
          <w:rFonts w:ascii="黑体" w:hAnsi="黑体" w:eastAsia="黑体" w:cs="Times New Roman"/>
          <w:sz w:val="32"/>
          <w:szCs w:val="32"/>
        </w:rPr>
      </w:r>
    </w:p>
    <w:p>
      <w:pPr>
        <w:pBdr/>
        <w:spacing/>
        <w:ind/>
        <w:jc w:val="center"/>
        <w:outlineLvl w:val="0"/>
        <w:rPr>
          <w:rFonts w:ascii="方正小标宋_GBK" w:eastAsia="方正小标宋_GBK"/>
          <w:sz w:val="44"/>
        </w:rPr>
      </w:pPr>
      <w:r>
        <w:rPr>
          <w:rFonts w:hint="eastAsia" w:ascii="方正小标宋_GBK" w:eastAsia="方正小标宋_GBK"/>
          <w:sz w:val="44"/>
        </w:rPr>
        <w:t xml:space="preserve">第九部分：其他需说明的事项</w:t>
      </w:r>
      <w:r>
        <w:rPr>
          <w:rFonts w:ascii="方正小标宋_GBK" w:eastAsia="方正小标宋_GBK"/>
          <w:sz w:val="44"/>
        </w:rPr>
      </w:r>
    </w:p>
    <w:p>
      <w:pPr>
        <w:pBdr/>
        <w:spacing w:line="360" w:lineRule="auto"/>
        <w:ind w:firstLine="640"/>
        <w:rPr>
          <w:rFonts w:ascii="仿宋" w:hAnsi="仿宋" w:eastAsia="仿宋"/>
          <w:sz w:val="32"/>
          <w:szCs w:val="32"/>
        </w:rPr>
      </w:pPr>
      <w:r>
        <w:rPr>
          <w:rFonts w:hint="eastAsia" w:ascii="仿宋" w:hAnsi="仿宋" w:eastAsia="仿宋"/>
          <w:sz w:val="32"/>
          <w:szCs w:val="32"/>
        </w:rPr>
        <w:t xml:space="preserve">我部门无其他需说明的事项。</w:t>
      </w:r>
      <w:r>
        <w:rPr>
          <w:rFonts w:ascii="仿宋" w:hAnsi="仿宋" w:eastAsia="仿宋"/>
          <w:sz w:val="32"/>
          <w:szCs w:val="32"/>
        </w:rPr>
      </w:r>
    </w:p>
    <w:sectPr>
      <w:footerReference w:type="default" r:id="rId8"/>
      <w:footnotePr/>
      <w:endnotePr/>
      <w:type w:val="nextPage"/>
      <w:pgSz w:h="16838" w:orient="landscape" w:w="11906"/>
      <w:pgMar w:top="1440" w:right="1800" w:bottom="1440" w:left="1800" w:header="851" w:footer="992" w:gutter="0"/>
      <w:cols w:num="1" w:sep="0" w:space="425"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Times New Roman">
    <w:panose1 w:val="02020603050405020304"/>
  </w:font>
  <w:font w:name="仿宋">
    <w:panose1 w:val="02010609060101010101"/>
  </w:font>
  <w:font w:name="宋体">
    <w:panose1 w:val="02010600030101010101"/>
  </w:font>
  <w:font w:name="方正仿宋_GBK">
    <w:panose1 w:val="020B0604020202020204"/>
  </w:font>
  <w:font w:name="方正书宋_GBK">
    <w:panose1 w:val="020B0604020202020204"/>
  </w:font>
  <w:font w:name="方正小标宋_GBK">
    <w:panose1 w:val="020B0604020202020204"/>
  </w:font>
  <w:font w:name="Arial">
    <w:panose1 w:val="020B0604020202020204"/>
  </w:font>
  <w:font w:name="等线">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530172596"/>
      <w:docPartObj>
        <w:docPartGallery w:val="autotext"/>
      </w:docPartObj>
      <w:rPr/>
    </w:sdtPr>
    <w:sdtContent>
      <w:p>
        <w:pPr>
          <w:pStyle w:val="646"/>
          <w:pBdr/>
          <w:spacing/>
          <w:ind/>
          <w:jc w:val="center"/>
          <w:rPr/>
        </w:pPr>
        <w:r>
          <w:fldChar w:fldCharType="begin"/>
        </w:r>
        <w:r>
          <w:instrText xml:space="preserve">PAGE   \* MERGEFORMAT</w:instrText>
        </w:r>
        <w:r>
          <w:fldChar w:fldCharType="separate"/>
        </w:r>
        <w:r>
          <w:rPr>
            <w:lang w:val="zh-CN"/>
          </w:rPr>
          <w:t xml:space="preserve">4</w:t>
        </w:r>
        <w:r>
          <w:fldChar w:fldCharType="end"/>
        </w:r>
        <w:r/>
      </w:p>
    </w:sdtContent>
  </w:sdt>
  <w:p>
    <w:pPr>
      <w:pStyle w:val="64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42"/>
    <w:next w:val="642"/>
    <w:link w:val="14"/>
    <w:uiPriority w:val="9"/>
    <w:qFormat/>
    <w:pPr>
      <w:keepNext w:val="true"/>
      <w:keepLines w:val="true"/>
      <w:pBdr/>
      <w:spacing w:after="200" w:before="480"/>
      <w:ind/>
      <w:outlineLvl w:val="0"/>
    </w:pPr>
    <w:rPr>
      <w:rFonts w:ascii="等线" w:hAnsi="等线" w:eastAsia="等线" w:cs="等线"/>
      <w:sz w:val="40"/>
      <w:szCs w:val="40"/>
    </w:rPr>
  </w:style>
  <w:style w:type="character" w:styleId="14">
    <w:name w:val="Heading 1 Char"/>
    <w:basedOn w:val="643"/>
    <w:link w:val="13"/>
    <w:uiPriority w:val="9"/>
    <w:pPr>
      <w:pBdr/>
      <w:spacing/>
      <w:ind/>
    </w:pPr>
    <w:rPr>
      <w:rFonts w:ascii="等线" w:hAnsi="等线" w:eastAsia="等线" w:cs="等线"/>
      <w:sz w:val="40"/>
      <w:szCs w:val="40"/>
    </w:rPr>
  </w:style>
  <w:style w:type="paragraph" w:styleId="15">
    <w:name w:val="Heading 2"/>
    <w:basedOn w:val="642"/>
    <w:next w:val="642"/>
    <w:link w:val="16"/>
    <w:uiPriority w:val="9"/>
    <w:unhideWhenUsed/>
    <w:qFormat/>
    <w:pPr>
      <w:keepNext w:val="true"/>
      <w:keepLines w:val="true"/>
      <w:pBdr/>
      <w:spacing w:after="200" w:before="360"/>
      <w:ind/>
      <w:outlineLvl w:val="1"/>
    </w:pPr>
    <w:rPr>
      <w:rFonts w:ascii="等线" w:hAnsi="等线" w:eastAsia="等线" w:cs="等线"/>
      <w:sz w:val="34"/>
    </w:rPr>
  </w:style>
  <w:style w:type="character" w:styleId="16">
    <w:name w:val="Heading 2 Char"/>
    <w:basedOn w:val="643"/>
    <w:link w:val="15"/>
    <w:uiPriority w:val="9"/>
    <w:pPr>
      <w:pBdr/>
      <w:spacing/>
      <w:ind/>
    </w:pPr>
    <w:rPr>
      <w:rFonts w:ascii="等线" w:hAnsi="等线" w:eastAsia="等线" w:cs="等线"/>
      <w:sz w:val="34"/>
    </w:rPr>
  </w:style>
  <w:style w:type="paragraph" w:styleId="17">
    <w:name w:val="Heading 3"/>
    <w:basedOn w:val="642"/>
    <w:next w:val="642"/>
    <w:link w:val="18"/>
    <w:uiPriority w:val="9"/>
    <w:unhideWhenUsed/>
    <w:qFormat/>
    <w:pPr>
      <w:keepNext w:val="true"/>
      <w:keepLines w:val="true"/>
      <w:pBdr/>
      <w:spacing w:after="200" w:before="320"/>
      <w:ind/>
      <w:outlineLvl w:val="2"/>
    </w:pPr>
    <w:rPr>
      <w:rFonts w:ascii="等线" w:hAnsi="等线" w:eastAsia="等线" w:cs="等线"/>
      <w:sz w:val="30"/>
      <w:szCs w:val="30"/>
    </w:rPr>
  </w:style>
  <w:style w:type="character" w:styleId="18">
    <w:name w:val="Heading 3 Char"/>
    <w:basedOn w:val="643"/>
    <w:link w:val="17"/>
    <w:uiPriority w:val="9"/>
    <w:pPr>
      <w:pBdr/>
      <w:spacing/>
      <w:ind/>
    </w:pPr>
    <w:rPr>
      <w:rFonts w:ascii="等线" w:hAnsi="等线" w:eastAsia="等线" w:cs="等线"/>
      <w:sz w:val="30"/>
      <w:szCs w:val="30"/>
    </w:rPr>
  </w:style>
  <w:style w:type="paragraph" w:styleId="19">
    <w:name w:val="Heading 4"/>
    <w:basedOn w:val="642"/>
    <w:next w:val="642"/>
    <w:link w:val="20"/>
    <w:uiPriority w:val="9"/>
    <w:unhideWhenUsed/>
    <w:qFormat/>
    <w:pPr>
      <w:keepNext w:val="true"/>
      <w:keepLines w:val="true"/>
      <w:pBdr/>
      <w:spacing w:after="200" w:before="320"/>
      <w:ind/>
      <w:outlineLvl w:val="3"/>
    </w:pPr>
    <w:rPr>
      <w:rFonts w:ascii="等线" w:hAnsi="等线" w:eastAsia="等线" w:cs="等线"/>
      <w:b/>
      <w:bCs/>
      <w:sz w:val="26"/>
      <w:szCs w:val="26"/>
    </w:rPr>
  </w:style>
  <w:style w:type="character" w:styleId="20">
    <w:name w:val="Heading 4 Char"/>
    <w:basedOn w:val="643"/>
    <w:link w:val="19"/>
    <w:uiPriority w:val="9"/>
    <w:pPr>
      <w:pBdr/>
      <w:spacing/>
      <w:ind/>
    </w:pPr>
    <w:rPr>
      <w:rFonts w:ascii="等线" w:hAnsi="等线" w:eastAsia="等线" w:cs="等线"/>
      <w:b/>
      <w:bCs/>
      <w:sz w:val="26"/>
      <w:szCs w:val="26"/>
    </w:rPr>
  </w:style>
  <w:style w:type="paragraph" w:styleId="21">
    <w:name w:val="Heading 5"/>
    <w:basedOn w:val="642"/>
    <w:next w:val="642"/>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643"/>
    <w:link w:val="21"/>
    <w:uiPriority w:val="9"/>
    <w:pPr>
      <w:pBdr/>
      <w:spacing/>
      <w:ind/>
    </w:pPr>
    <w:rPr>
      <w:rFonts w:ascii="等线" w:hAnsi="等线" w:eastAsia="等线" w:cs="等线"/>
      <w:b/>
      <w:bCs/>
      <w:sz w:val="24"/>
      <w:szCs w:val="24"/>
    </w:rPr>
  </w:style>
  <w:style w:type="paragraph" w:styleId="23">
    <w:name w:val="Heading 6"/>
    <w:basedOn w:val="642"/>
    <w:next w:val="642"/>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643"/>
    <w:link w:val="23"/>
    <w:uiPriority w:val="9"/>
    <w:pPr>
      <w:pBdr/>
      <w:spacing/>
      <w:ind/>
    </w:pPr>
    <w:rPr>
      <w:rFonts w:ascii="等线" w:hAnsi="等线" w:eastAsia="等线" w:cs="等线"/>
      <w:b/>
      <w:bCs/>
      <w:sz w:val="22"/>
      <w:szCs w:val="22"/>
    </w:rPr>
  </w:style>
  <w:style w:type="paragraph" w:styleId="25">
    <w:name w:val="Heading 7"/>
    <w:basedOn w:val="642"/>
    <w:next w:val="642"/>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643"/>
    <w:link w:val="25"/>
    <w:uiPriority w:val="9"/>
    <w:pPr>
      <w:pBdr/>
      <w:spacing/>
      <w:ind/>
    </w:pPr>
    <w:rPr>
      <w:rFonts w:ascii="等线" w:hAnsi="等线" w:eastAsia="等线" w:cs="等线"/>
      <w:b/>
      <w:bCs/>
      <w:i/>
      <w:iCs/>
      <w:sz w:val="22"/>
      <w:szCs w:val="22"/>
    </w:rPr>
  </w:style>
  <w:style w:type="paragraph" w:styleId="27">
    <w:name w:val="Heading 8"/>
    <w:basedOn w:val="642"/>
    <w:next w:val="642"/>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643"/>
    <w:link w:val="27"/>
    <w:uiPriority w:val="9"/>
    <w:pPr>
      <w:pBdr/>
      <w:spacing/>
      <w:ind/>
    </w:pPr>
    <w:rPr>
      <w:rFonts w:ascii="等线" w:hAnsi="等线" w:eastAsia="等线" w:cs="等线"/>
      <w:i/>
      <w:iCs/>
      <w:sz w:val="22"/>
      <w:szCs w:val="22"/>
    </w:rPr>
  </w:style>
  <w:style w:type="paragraph" w:styleId="29">
    <w:name w:val="Heading 9"/>
    <w:basedOn w:val="642"/>
    <w:next w:val="642"/>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643"/>
    <w:link w:val="29"/>
    <w:uiPriority w:val="9"/>
    <w:pPr>
      <w:pBdr/>
      <w:spacing/>
      <w:ind/>
    </w:pPr>
    <w:rPr>
      <w:rFonts w:ascii="等线" w:hAnsi="等线" w:eastAsia="等线" w:cs="等线"/>
      <w:i/>
      <w:iCs/>
      <w:sz w:val="21"/>
      <w:szCs w:val="21"/>
    </w:rPr>
  </w:style>
  <w:style w:type="paragraph" w:styleId="31">
    <w:name w:val="List Paragraph"/>
    <w:basedOn w:val="642"/>
    <w:uiPriority w:val="34"/>
    <w:qFormat/>
    <w:pPr>
      <w:pBdr/>
      <w:spacing/>
      <w:ind w:left="720"/>
      <w:contextualSpacing w:val="true"/>
    </w:pPr>
  </w:style>
  <w:style w:type="paragraph" w:styleId="33">
    <w:name w:val="No Spacing"/>
    <w:uiPriority w:val="1"/>
    <w:qFormat/>
    <w:pPr>
      <w:pBdr/>
      <w:spacing w:after="0" w:before="0" w:line="240" w:lineRule="auto"/>
      <w:ind/>
    </w:pPr>
  </w:style>
  <w:style w:type="paragraph" w:styleId="34">
    <w:name w:val="Title"/>
    <w:basedOn w:val="642"/>
    <w:next w:val="642"/>
    <w:link w:val="35"/>
    <w:uiPriority w:val="10"/>
    <w:qFormat/>
    <w:pPr>
      <w:pBdr/>
      <w:spacing w:after="200" w:before="300"/>
      <w:ind/>
      <w:contextualSpacing w:val="true"/>
    </w:pPr>
    <w:rPr>
      <w:sz w:val="48"/>
      <w:szCs w:val="48"/>
    </w:rPr>
  </w:style>
  <w:style w:type="character" w:styleId="35">
    <w:name w:val="Title Char"/>
    <w:basedOn w:val="643"/>
    <w:link w:val="34"/>
    <w:uiPriority w:val="10"/>
    <w:pPr>
      <w:pBdr/>
      <w:spacing/>
      <w:ind/>
    </w:pPr>
    <w:rPr>
      <w:sz w:val="48"/>
      <w:szCs w:val="48"/>
    </w:rPr>
  </w:style>
  <w:style w:type="paragraph" w:styleId="36">
    <w:name w:val="Subtitle"/>
    <w:basedOn w:val="642"/>
    <w:next w:val="642"/>
    <w:link w:val="37"/>
    <w:uiPriority w:val="11"/>
    <w:qFormat/>
    <w:pPr>
      <w:pBdr/>
      <w:spacing w:after="200" w:before="200"/>
      <w:ind/>
    </w:pPr>
    <w:rPr>
      <w:sz w:val="24"/>
      <w:szCs w:val="24"/>
    </w:rPr>
  </w:style>
  <w:style w:type="character" w:styleId="37">
    <w:name w:val="Subtitle Char"/>
    <w:basedOn w:val="643"/>
    <w:link w:val="36"/>
    <w:uiPriority w:val="11"/>
    <w:pPr>
      <w:pBdr/>
      <w:spacing/>
      <w:ind/>
    </w:pPr>
    <w:rPr>
      <w:sz w:val="24"/>
      <w:szCs w:val="24"/>
    </w:rPr>
  </w:style>
  <w:style w:type="paragraph" w:styleId="38">
    <w:name w:val="Quote"/>
    <w:basedOn w:val="642"/>
    <w:next w:val="642"/>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642"/>
    <w:next w:val="642"/>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character" w:styleId="43">
    <w:name w:val="Header Char"/>
    <w:basedOn w:val="643"/>
    <w:link w:val="647"/>
    <w:uiPriority w:val="99"/>
    <w:pPr>
      <w:pBdr/>
      <w:spacing/>
      <w:ind/>
    </w:pPr>
  </w:style>
  <w:style w:type="character" w:styleId="45">
    <w:name w:val="Footer Char"/>
    <w:basedOn w:val="643"/>
    <w:link w:val="646"/>
    <w:uiPriority w:val="99"/>
    <w:pPr>
      <w:pBdr/>
      <w:spacing/>
      <w:ind/>
    </w:pPr>
  </w:style>
  <w:style w:type="paragraph" w:styleId="46">
    <w:name w:val="Caption"/>
    <w:basedOn w:val="642"/>
    <w:next w:val="642"/>
    <w:uiPriority w:val="35"/>
    <w:semiHidden/>
    <w:unhideWhenUsed/>
    <w:qFormat/>
    <w:pPr>
      <w:pBdr/>
      <w:spacing w:line="276" w:lineRule="auto"/>
      <w:ind/>
    </w:pPr>
    <w:rPr>
      <w:b/>
      <w:bCs/>
      <w:color w:val="4f81bd" w:themeColor="accent1"/>
      <w:sz w:val="18"/>
      <w:szCs w:val="18"/>
    </w:rPr>
  </w:style>
  <w:style w:type="character" w:styleId="47">
    <w:name w:val="Caption Char"/>
    <w:basedOn w:val="46"/>
    <w:link w:val="646"/>
    <w:uiPriority w:val="99"/>
    <w:pPr>
      <w:pBdr/>
      <w:spacing/>
      <w:ind/>
    </w:pPr>
  </w:style>
  <w:style w:type="table" w:styleId="48">
    <w:name w:val="Table Grid"/>
    <w:basedOn w:val="644"/>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Table Grid Light"/>
    <w:basedOn w:val="644"/>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644"/>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644"/>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64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64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64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64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64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64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64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64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64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64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64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64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64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64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64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64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64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64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64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64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64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64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64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64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64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64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6"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64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64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64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64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64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64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64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cPr>
      <w:tcBorders/>
    </w:tcPr>
    <w:tblStylePr w:type="band1Horz">
      <w:pPr>
        <w:pBdr/>
        <w:spacing/>
        <w:ind/>
      </w:pPr>
      <w:tblPr>
        <w:tblBorders/>
      </w:tblPr>
      <w:tcPr>
        <w:shd w:val="clear" w:color="ffffff" w:themeColor="accent1" w:themeTint="75" w:fill="b4d2eb" w:themeFill="accent1" w:themeFillTint="75"/>
        <w:tcBorders/>
      </w:tcPr>
    </w:tblStylePr>
    <w:tblStylePr w:type="band1Vert">
      <w:pPr>
        <w:pBdr/>
        <w:spacing/>
        <w:ind/>
      </w:pPr>
      <w:tblPr>
        <w:tblBorders/>
      </w:tblPr>
      <w:tcPr>
        <w:shd w:val="clear" w:color="ffffff" w:themeColor="accent1" w:themeTint="75" w:fill="b4d2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64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cPr>
      <w:tcBorders/>
    </w:tcPr>
    <w:tblStylePr w:type="band1Horz">
      <w:pPr>
        <w:pBdr/>
        <w:spacing/>
        <w:ind/>
      </w:pPr>
      <w:tblPr>
        <w:tblBorders/>
      </w:tblPr>
      <w:tcPr>
        <w:shd w:val="clear" w:color="ffffff" w:themeColor="accent2" w:themeTint="75" w:fill="f6c3a1" w:themeFill="accent2" w:themeFillTint="75"/>
        <w:tcBorders/>
      </w:tcPr>
    </w:tblStylePr>
    <w:tblStylePr w:type="band1Vert">
      <w:pPr>
        <w:pBdr/>
        <w:spacing/>
        <w:ind/>
      </w:pPr>
      <w:tblPr>
        <w:tblBorders/>
      </w:tblPr>
      <w:tcPr>
        <w:shd w:val="clear" w:color="ffffff" w:themeColor="accent2" w:themeTint="75" w:fill="f6c3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64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64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cPr>
      <w:tcBorders/>
    </w:tcPr>
    <w:tblStylePr w:type="band1Horz">
      <w:pPr>
        <w:pBdr/>
        <w:spacing/>
        <w:ind/>
      </w:pPr>
      <w:tblPr>
        <w:tblBorders/>
      </w:tblPr>
      <w:tcPr>
        <w:shd w:val="clear" w:color="ffffff" w:themeColor="accent4" w:themeTint="75" w:fill="fee189" w:themeFill="accent4" w:themeFillTint="75"/>
        <w:tcBorders/>
      </w:tcPr>
    </w:tblStylePr>
    <w:tblStylePr w:type="band1Vert">
      <w:pPr>
        <w:pBdr/>
        <w:spacing/>
        <w:ind/>
      </w:pPr>
      <w:tblPr>
        <w:tblBorders/>
      </w:tblPr>
      <w:tcPr>
        <w:shd w:val="clear" w:color="ffffff" w:themeColor="accent4" w:themeTint="75" w:fill="fee189"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64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cPr>
      <w:tcBorders/>
    </w:tcPr>
    <w:tblStylePr w:type="band1Horz">
      <w:pPr>
        <w:pBdr/>
        <w:spacing/>
        <w:ind/>
      </w:pPr>
      <w:tblPr>
        <w:tblBorders/>
      </w:tblPr>
      <w:tcPr>
        <w:shd w:val="clear" w:color="ffffff" w:themeColor="accent5" w:themeTint="75" w:fill="aabfe3" w:themeFill="accent5" w:themeFillTint="75"/>
        <w:tcBorders/>
      </w:tcPr>
    </w:tblStylePr>
    <w:tblStylePr w:type="band1Vert">
      <w:pPr>
        <w:pBdr/>
        <w:spacing/>
        <w:ind/>
      </w:pPr>
      <w:tblPr>
        <w:tblBorders/>
      </w:tblPr>
      <w:tcPr>
        <w:shd w:val="clear" w:color="ffffff" w:themeColor="accent5" w:themeTint="75" w:fill="aabfe3"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64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cPr>
      <w:tcBorders/>
    </w:tcPr>
    <w:tblStylePr w:type="band1Horz">
      <w:pPr>
        <w:pBdr/>
        <w:spacing/>
        <w:ind/>
      </w:pPr>
      <w:tblPr>
        <w:tblBorders/>
      </w:tblPr>
      <w:tcPr>
        <w:shd w:val="clear" w:color="ffffff" w:themeColor="accent6" w:themeTint="75" w:fill="bedba8" w:themeFill="accent6" w:themeFillTint="75"/>
        <w:tcBorders/>
      </w:tcPr>
    </w:tblStylePr>
    <w:tblStylePr w:type="band1Vert">
      <w:pPr>
        <w:pBdr/>
        <w:spacing/>
        <w:ind/>
      </w:pPr>
      <w:tblPr>
        <w:tblBorders/>
      </w:tblPr>
      <w:tcPr>
        <w:shd w:val="clear" w:color="ffffff" w:themeColor="accent6" w:themeTint="75" w:fill="be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64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64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debf6" w:themeFill="accent1" w:themeFillTint="34"/>
        <w:tcBorders/>
      </w:tcPr>
    </w:tblStylePr>
    <w:tblStylePr w:type="band1Vert">
      <w:pPr>
        <w:pBdr/>
        <w:spacing/>
        <w:ind/>
      </w:pPr>
      <w:tblPr>
        <w:tblBorders/>
      </w:tblPr>
      <w:tcPr>
        <w:shd w:val="clear" w:color="ffffff" w:themeColor="accent1" w:themeTint="34" w:fill="dd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17bba" w:themeColor="accent1" w:themeTint="80" w:themeShade="95"/>
      </w:rPr>
      <w:pPr>
        <w:pBdr/>
        <w:spacing/>
        <w:ind/>
      </w:pPr>
      <w:tblPr>
        <w:tblBorders/>
      </w:tblPr>
      <w:tcPr>
        <w:tcBorders/>
      </w:tcPr>
    </w:tblStylePr>
    <w:tblStylePr w:type="firstRow">
      <w:rPr>
        <w:b/>
        <w:color w:val="317bba" w:themeColor="accent1" w:themeTint="80" w:themeShade="95"/>
      </w:rPr>
      <w:pPr>
        <w:pBdr/>
        <w:spacing/>
        <w:ind/>
      </w:pPr>
      <w:tblPr>
        <w:tblBorders/>
      </w:tblPr>
      <w:tcPr>
        <w:tcBorders>
          <w:bottom w:val="single" w:color="000000" w:themeColor="accent1" w:themeTint="80" w:sz="12" w:space="0"/>
        </w:tcBorders>
      </w:tcPr>
    </w:tblStylePr>
    <w:tblStylePr w:type="lastCol">
      <w:rPr>
        <w:b/>
        <w:color w:val="317bba" w:themeColor="accent1" w:themeTint="80" w:themeShade="95"/>
      </w:rPr>
      <w:pPr>
        <w:pBdr/>
        <w:spacing/>
        <w:ind/>
      </w:pPr>
      <w:tblPr>
        <w:tblBorders/>
      </w:tblPr>
      <w:tcPr>
        <w:tcBorders/>
      </w:tcPr>
    </w:tblStylePr>
    <w:tblStylePr w:type="lastRow">
      <w:rPr>
        <w:b/>
        <w:color w:val="317bb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64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12"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64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64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12"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64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2" w:themeFill="accent5" w:themeFillTint="34"/>
        <w:tcBorders/>
      </w:tcPr>
    </w:tblStylePr>
    <w:tblStylePr w:type="band1Vert">
      <w:pPr>
        <w:pBdr/>
        <w:spacing/>
        <w:ind/>
      </w:pPr>
      <w:tblPr>
        <w:tblBorders/>
      </w:tblPr>
      <w:tcPr>
        <w:shd w:val="clear" w:color="ffffff" w:themeColor="accent5" w:themeTint="34" w:fill="d9e2f2"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5" w:themeShade="95"/>
      </w:rPr>
      <w:pPr>
        <w:pBdr/>
        <w:spacing/>
        <w:ind/>
      </w:pPr>
      <w:tblPr>
        <w:tblBorders/>
      </w:tblPr>
      <w:tcPr>
        <w:tcBorders/>
      </w:tcPr>
    </w:tblStylePr>
    <w:tblStylePr w:type="firstRow">
      <w:rPr>
        <w:b/>
        <w:color w:val="254374" w:themeColor="accent5" w:themeShade="95"/>
      </w:rPr>
      <w:pPr>
        <w:pBdr/>
        <w:spacing/>
        <w:ind/>
      </w:pPr>
      <w:tblPr>
        <w:tblBorders/>
      </w:tblPr>
      <w:tcPr>
        <w:tcBorders>
          <w:bottom w:val="single" w:color="000000" w:themeColor="accent5" w:sz="12" w:space="0"/>
        </w:tcBorders>
      </w:tcPr>
    </w:tblStylePr>
    <w:tblStylePr w:type="lastCol">
      <w:rPr>
        <w:b/>
        <w:color w:val="254374" w:themeColor="accent5" w:themeShade="95"/>
      </w:rPr>
      <w:pPr>
        <w:pBdr/>
        <w:spacing/>
        <w:ind/>
      </w:pPr>
      <w:tblPr>
        <w:tblBorders/>
      </w:tblPr>
      <w:tcPr>
        <w:tcBorders/>
      </w:tcPr>
    </w:tblStylePr>
    <w:tblStylePr w:type="lastRow">
      <w:rPr>
        <w:b/>
        <w:color w:val="254374"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64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5" w:themeShade="95"/>
      </w:rPr>
      <w:pPr>
        <w:pBdr/>
        <w:spacing/>
        <w:ind/>
      </w:pPr>
      <w:tblPr>
        <w:tblBorders/>
      </w:tblPr>
      <w:tcPr>
        <w:tcBorders/>
      </w:tcPr>
    </w:tblStylePr>
    <w:tblStylePr w:type="firstRow">
      <w:rPr>
        <w:b/>
        <w:color w:val="254374" w:themeColor="accent5" w:themeShade="95"/>
      </w:rPr>
      <w:pPr>
        <w:pBdr/>
        <w:spacing/>
        <w:ind/>
      </w:pPr>
      <w:tblPr>
        <w:tblBorders/>
      </w:tblPr>
      <w:tcPr>
        <w:tcBorders>
          <w:bottom w:val="single" w:color="000000" w:themeColor="accent6" w:sz="12" w:space="0"/>
        </w:tcBorders>
      </w:tcPr>
    </w:tblStylePr>
    <w:tblStylePr w:type="lastCol">
      <w:rPr>
        <w:b/>
        <w:color w:val="254374" w:themeColor="accent5" w:themeShade="95"/>
      </w:rPr>
      <w:pPr>
        <w:pBdr/>
        <w:spacing/>
        <w:ind/>
      </w:pPr>
      <w:tblPr>
        <w:tblBorders/>
      </w:tblPr>
      <w:tcPr>
        <w:tcBorders/>
      </w:tcPr>
    </w:tblStylePr>
    <w:tblStylePr w:type="lastRow">
      <w:rPr>
        <w:b/>
        <w:color w:val="254374"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64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64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17bba" w:themeColor="accent1" w:themeTint="80" w:themeShade="95"/>
        <w:sz w:val="22"/>
      </w:rPr>
      <w:pPr>
        <w:pBdr/>
        <w:spacing/>
        <w:ind/>
      </w:pPr>
      <w:tblPr>
        <w:tblBorders/>
      </w:tblPr>
      <w:tcPr>
        <w:shd w:val="clear" w:color="ffffff" w:themeColor="accent1" w:themeTint="34" w:fill="ddebf6" w:themeFill="accent1" w:themeFillTint="34"/>
        <w:tcBorders/>
      </w:tcPr>
    </w:tblStylePr>
    <w:tblStylePr w:type="band1Vert">
      <w:pPr>
        <w:pBdr/>
        <w:spacing/>
        <w:ind/>
      </w:pPr>
      <w:tblPr>
        <w:tblBorders/>
      </w:tblPr>
      <w:tcPr>
        <w:shd w:val="clear" w:color="ffffff" w:themeColor="accent1" w:themeTint="34" w:fill="ddebf6" w:themeFill="accent1" w:themeFillTint="34"/>
        <w:tcBorders/>
      </w:tcPr>
    </w:tblStylePr>
    <w:tblStylePr w:type="band2Horz">
      <w:rPr>
        <w:rFonts w:ascii="Arial" w:hAnsi="Arial"/>
        <w:color w:val="317bb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17bba"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64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64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64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64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374" w:themeColor="accent5" w:themeShade="95"/>
        <w:sz w:val="22"/>
      </w:rPr>
      <w:pPr>
        <w:pBdr/>
        <w:spacing/>
        <w:ind/>
      </w:pPr>
      <w:tblPr>
        <w:tblBorders/>
      </w:tblPr>
      <w:tcPr>
        <w:shd w:val="clear" w:color="ffffff" w:themeColor="accent5" w:themeTint="34" w:fill="d9e2f2" w:themeFill="accent5" w:themeFillTint="34"/>
        <w:tcBorders/>
      </w:tcPr>
    </w:tblStylePr>
    <w:tblStylePr w:type="band1Vert">
      <w:pPr>
        <w:pBdr/>
        <w:spacing/>
        <w:ind/>
      </w:pPr>
      <w:tblPr>
        <w:tblBorders/>
      </w:tblPr>
      <w:tcPr>
        <w:shd w:val="clear" w:color="ffffff" w:themeColor="accent5" w:themeTint="34" w:fill="d9e2f2" w:themeFill="accent5" w:themeFillTint="34"/>
        <w:tcBorders/>
      </w:tcPr>
    </w:tblStylePr>
    <w:tblStylePr w:type="band2Horz">
      <w:rPr>
        <w:rFonts w:ascii="Arial" w:hAnsi="Arial"/>
        <w:color w:val="254374"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374"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64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26429" w:themeColor="accent6"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2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264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64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64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64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64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64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64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64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64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64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64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64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64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64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64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64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64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64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64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64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64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b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64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ad0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64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64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64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64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64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64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64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64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64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64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cPr>
      <w:tcBorders/>
    </w:tcPr>
    <w:tblStylePr w:type="band1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64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64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cPr>
      <w:tcBorders/>
    </w:tcPr>
    <w:tblStylePr w:type="band1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64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cPr>
      <w:tcBorders/>
    </w:tcPr>
    <w:tblStylePr w:type="band1Horz">
      <w:pPr>
        <w:pBdr/>
        <w:spacing/>
        <w:ind/>
      </w:pPr>
      <w:tblPr>
        <w:tblBorders/>
      </w:tblPr>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64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cPr>
      <w:tcBorders/>
    </w:tcPr>
    <w:tblStylePr w:type="band1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64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64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1" w:themeShade="95"/>
      </w:rPr>
      <w:pPr>
        <w:pBdr/>
        <w:spacing/>
        <w:ind/>
      </w:pPr>
      <w:tblPr>
        <w:tblBorders/>
      </w:tblPr>
      <w:tcPr>
        <w:tcBorders/>
      </w:tcPr>
    </w:tblStylePr>
    <w:tblStylePr w:type="firstRow">
      <w:rPr>
        <w:b/>
        <w:color w:val="245d8d" w:themeColor="accent1" w:themeShade="95"/>
      </w:rPr>
      <w:pPr>
        <w:pBdr/>
        <w:spacing/>
        <w:ind/>
      </w:pPr>
      <w:tblPr>
        <w:tblBorders/>
      </w:tblPr>
      <w:tcPr>
        <w:tcBorders>
          <w:bottom w:val="single" w:color="000000" w:themeColor="accent1" w:sz="4" w:space="0"/>
        </w:tcBorders>
      </w:tcPr>
    </w:tblStylePr>
    <w:tblStylePr w:type="lastCol">
      <w:rPr>
        <w:b/>
        <w:color w:val="245d8d" w:themeColor="accent1" w:themeShade="95"/>
      </w:rPr>
      <w:pPr>
        <w:pBdr/>
        <w:spacing/>
        <w:ind/>
      </w:pPr>
      <w:tblPr>
        <w:tblBorders/>
      </w:tblPr>
      <w:tcPr>
        <w:tcBorders/>
      </w:tcPr>
    </w:tblStylePr>
    <w:tblStylePr w:type="lastRow">
      <w:rPr>
        <w:b/>
        <w:color w:val="245d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64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4"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64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64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4"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64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e9e" w:themeColor="accent5" w:themeTint="9A" w:themeShade="95"/>
      </w:rPr>
      <w:pPr>
        <w:pBdr/>
        <w:spacing/>
        <w:ind/>
      </w:pPr>
      <w:tblPr>
        <w:tblBorders/>
      </w:tblPr>
      <w:tcPr>
        <w:tcBorders/>
      </w:tcPr>
    </w:tblStylePr>
    <w:tblStylePr w:type="firstRow">
      <w:rPr>
        <w:b/>
        <w:color w:val="335e9e" w:themeColor="accent5" w:themeTint="9A" w:themeShade="95"/>
      </w:rPr>
      <w:pPr>
        <w:pBdr/>
        <w:spacing/>
        <w:ind/>
      </w:pPr>
      <w:tblPr>
        <w:tblBorders/>
      </w:tblPr>
      <w:tcPr>
        <w:tcBorders>
          <w:bottom w:val="single" w:color="000000" w:themeColor="accent5" w:themeTint="9A" w:sz="4" w:space="0"/>
        </w:tcBorders>
      </w:tcPr>
    </w:tblStylePr>
    <w:tblStylePr w:type="lastCol">
      <w:rPr>
        <w:b/>
        <w:color w:val="335e9e" w:themeColor="accent5" w:themeTint="9A" w:themeShade="95"/>
      </w:rPr>
      <w:pPr>
        <w:pBdr/>
        <w:spacing/>
        <w:ind/>
      </w:pPr>
      <w:tblPr>
        <w:tblBorders/>
      </w:tblPr>
      <w:tcPr>
        <w:tcBorders/>
      </w:tcPr>
    </w:tblStylePr>
    <w:tblStylePr w:type="lastRow">
      <w:rPr>
        <w:b/>
        <w:color w:val="335e9e"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64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8f3c" w:themeColor="accent6" w:themeTint="98" w:themeShade="95"/>
      </w:rPr>
      <w:pPr>
        <w:pBdr/>
        <w:spacing/>
        <w:ind/>
      </w:pPr>
      <w:tblPr>
        <w:tblBorders/>
      </w:tblPr>
      <w:tcPr>
        <w:tcBorders/>
      </w:tcPr>
    </w:tblStylePr>
    <w:tblStylePr w:type="firstRow">
      <w:rPr>
        <w:b/>
        <w:color w:val="5f8f3c" w:themeColor="accent6" w:themeTint="98" w:themeShade="95"/>
      </w:rPr>
      <w:pPr>
        <w:pBdr/>
        <w:spacing/>
        <w:ind/>
      </w:pPr>
      <w:tblPr>
        <w:tblBorders/>
      </w:tblPr>
      <w:tcPr>
        <w:tcBorders>
          <w:bottom w:val="single" w:color="000000" w:themeColor="accent6" w:themeTint="98" w:sz="4" w:space="0"/>
        </w:tcBorders>
      </w:tcPr>
    </w:tblStylePr>
    <w:tblStylePr w:type="lastCol">
      <w:rPr>
        <w:b/>
        <w:color w:val="5f8f3c" w:themeColor="accent6" w:themeTint="98" w:themeShade="95"/>
      </w:rPr>
      <w:pPr>
        <w:pBdr/>
        <w:spacing/>
        <w:ind/>
      </w:pPr>
      <w:tblPr>
        <w:tblBorders/>
      </w:tblPr>
      <w:tcPr>
        <w:tcBorders/>
      </w:tcPr>
    </w:tblStylePr>
    <w:tblStylePr w:type="lastRow">
      <w:rPr>
        <w:b/>
        <w:color w:val="5f8f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64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64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d8d" w:themeColor="accent1" w:themeShade="95"/>
        <w:sz w:val="22"/>
      </w:rPr>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rPr>
        <w:rFonts w:ascii="Arial" w:hAnsi="Arial"/>
        <w:color w:val="245d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d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d8d" w:themeColor="accent1" w:themeShade="95"/>
        <w:sz w:val="22"/>
      </w:rPr>
      <w:pPr>
        <w:pBdr/>
        <w:spacing/>
        <w:ind/>
      </w:pPr>
      <w:tblPr>
        <w:tblBorders/>
      </w:tblPr>
      <w:tcPr>
        <w:tcBorders/>
      </w:tcPr>
    </w:tblStylePr>
  </w:style>
  <w:style w:type="table" w:styleId="148">
    <w:name w:val="List Table 7 Colorful - Accent 2"/>
    <w:basedOn w:val="64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5712" w:themeColor="accent2" w:themeTint="97" w:themeShade="95"/>
        <w:sz w:val="22"/>
      </w:rPr>
      <w:pPr>
        <w:pBdr/>
        <w:spacing/>
        <w:ind/>
      </w:pPr>
      <w:tblPr>
        <w:tblBorders/>
      </w:tblPr>
      <w:tcPr>
        <w:tcBorders/>
      </w:tcPr>
    </w:tblStylePr>
  </w:style>
  <w:style w:type="table" w:styleId="149">
    <w:name w:val="List Table 7 Colorful - Accent 3"/>
    <w:basedOn w:val="64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150">
    <w:name w:val="List Table 7 Colorful - Accent 4"/>
    <w:basedOn w:val="64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d9600" w:themeColor="accent4" w:themeTint="9A" w:themeShade="95"/>
        <w:sz w:val="22"/>
      </w:rPr>
      <w:pPr>
        <w:pBdr/>
        <w:spacing/>
        <w:ind/>
      </w:pPr>
      <w:tblPr>
        <w:tblBorders/>
      </w:tblPr>
      <w:tcPr>
        <w:tcBorders/>
      </w:tcPr>
    </w:tblStylePr>
  </w:style>
  <w:style w:type="table" w:styleId="151">
    <w:name w:val="List Table 7 Colorful - Accent 5"/>
    <w:basedOn w:val="64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e9e" w:themeColor="accent5" w:themeTint="9A" w:themeShade="95"/>
        <w:sz w:val="22"/>
      </w:rPr>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rPr>
        <w:rFonts w:ascii="Arial" w:hAnsi="Arial"/>
        <w:color w:val="335e9e"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e9e"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e9e" w:themeColor="accent5" w:themeTint="9A" w:themeShade="95"/>
        <w:sz w:val="22"/>
      </w:rPr>
      <w:pPr>
        <w:pBdr/>
        <w:spacing/>
        <w:ind/>
      </w:pPr>
      <w:tblPr>
        <w:tblBorders/>
      </w:tblPr>
      <w:tcPr>
        <w:tcBorders/>
      </w:tcPr>
    </w:tblStylePr>
  </w:style>
  <w:style w:type="table" w:styleId="152">
    <w:name w:val="List Table 7 Colorful - Accent 6"/>
    <w:basedOn w:val="64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f8f3c"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5f8f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8f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f8f3c" w:themeColor="accent6" w:themeTint="98" w:themeShade="95"/>
        <w:sz w:val="22"/>
      </w:rPr>
      <w:pPr>
        <w:pBdr/>
        <w:spacing/>
        <w:ind/>
      </w:pPr>
      <w:tblPr>
        <w:tblBorders/>
      </w:tblPr>
      <w:tcPr>
        <w:tcBorders/>
      </w:tcPr>
    </w:tblStylePr>
  </w:style>
  <w:style w:type="table" w:styleId="153">
    <w:name w:val="Lined - Accent"/>
    <w:basedOn w:val="64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64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64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64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64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64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64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64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64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64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64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64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64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64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64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64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64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64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64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64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64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74">
    <w:name w:val="Hyperlink"/>
    <w:uiPriority w:val="99"/>
    <w:unhideWhenUsed/>
    <w:pPr>
      <w:pBdr/>
      <w:spacing/>
      <w:ind/>
    </w:pPr>
    <w:rPr>
      <w:color w:val="0000ff" w:themeColor="hyperlink"/>
      <w:u w:val="single"/>
    </w:rPr>
  </w:style>
  <w:style w:type="paragraph" w:styleId="175">
    <w:name w:val="footnote text"/>
    <w:basedOn w:val="642"/>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643"/>
    <w:uiPriority w:val="99"/>
    <w:unhideWhenUsed/>
    <w:pPr>
      <w:pBdr/>
      <w:spacing/>
      <w:ind/>
    </w:pPr>
    <w:rPr>
      <w:vertAlign w:val="superscript"/>
    </w:rPr>
  </w:style>
  <w:style w:type="paragraph" w:styleId="178">
    <w:name w:val="endnote text"/>
    <w:basedOn w:val="642"/>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643"/>
    <w:uiPriority w:val="99"/>
    <w:semiHidden/>
    <w:unhideWhenUsed/>
    <w:pPr>
      <w:pBdr/>
      <w:spacing/>
      <w:ind/>
    </w:pPr>
    <w:rPr>
      <w:vertAlign w:val="superscript"/>
    </w:rPr>
  </w:style>
  <w:style w:type="paragraph" w:styleId="181">
    <w:name w:val="toc 1"/>
    <w:basedOn w:val="642"/>
    <w:next w:val="642"/>
    <w:uiPriority w:val="39"/>
    <w:unhideWhenUsed/>
    <w:pPr>
      <w:pBdr/>
      <w:spacing w:after="57"/>
      <w:ind w:right="0" w:firstLine="0" w:left="0"/>
    </w:pPr>
  </w:style>
  <w:style w:type="paragraph" w:styleId="182">
    <w:name w:val="toc 2"/>
    <w:basedOn w:val="642"/>
    <w:next w:val="642"/>
    <w:uiPriority w:val="39"/>
    <w:unhideWhenUsed/>
    <w:pPr>
      <w:pBdr/>
      <w:spacing w:after="57"/>
      <w:ind w:right="0" w:firstLine="0" w:left="283"/>
    </w:pPr>
  </w:style>
  <w:style w:type="paragraph" w:styleId="183">
    <w:name w:val="toc 3"/>
    <w:basedOn w:val="642"/>
    <w:next w:val="642"/>
    <w:uiPriority w:val="39"/>
    <w:unhideWhenUsed/>
    <w:pPr>
      <w:pBdr/>
      <w:spacing w:after="57"/>
      <w:ind w:right="0" w:firstLine="0" w:left="567"/>
    </w:pPr>
  </w:style>
  <w:style w:type="paragraph" w:styleId="184">
    <w:name w:val="toc 4"/>
    <w:basedOn w:val="642"/>
    <w:next w:val="642"/>
    <w:uiPriority w:val="39"/>
    <w:unhideWhenUsed/>
    <w:pPr>
      <w:pBdr/>
      <w:spacing w:after="57"/>
      <w:ind w:right="0" w:firstLine="0" w:left="850"/>
    </w:pPr>
  </w:style>
  <w:style w:type="paragraph" w:styleId="185">
    <w:name w:val="toc 5"/>
    <w:basedOn w:val="642"/>
    <w:next w:val="642"/>
    <w:uiPriority w:val="39"/>
    <w:unhideWhenUsed/>
    <w:pPr>
      <w:pBdr/>
      <w:spacing w:after="57"/>
      <w:ind w:right="0" w:firstLine="0" w:left="1134"/>
    </w:pPr>
  </w:style>
  <w:style w:type="paragraph" w:styleId="186">
    <w:name w:val="toc 6"/>
    <w:basedOn w:val="642"/>
    <w:next w:val="642"/>
    <w:uiPriority w:val="39"/>
    <w:unhideWhenUsed/>
    <w:pPr>
      <w:pBdr/>
      <w:spacing w:after="57"/>
      <w:ind w:right="0" w:firstLine="0" w:left="1417"/>
    </w:pPr>
  </w:style>
  <w:style w:type="paragraph" w:styleId="187">
    <w:name w:val="toc 7"/>
    <w:basedOn w:val="642"/>
    <w:next w:val="642"/>
    <w:uiPriority w:val="39"/>
    <w:unhideWhenUsed/>
    <w:pPr>
      <w:pBdr/>
      <w:spacing w:after="57"/>
      <w:ind w:right="0" w:firstLine="0" w:left="1701"/>
    </w:pPr>
  </w:style>
  <w:style w:type="paragraph" w:styleId="188">
    <w:name w:val="toc 8"/>
    <w:basedOn w:val="642"/>
    <w:next w:val="642"/>
    <w:uiPriority w:val="39"/>
    <w:unhideWhenUsed/>
    <w:pPr>
      <w:pBdr/>
      <w:spacing w:after="57"/>
      <w:ind w:right="0" w:firstLine="0" w:left="1984"/>
    </w:pPr>
  </w:style>
  <w:style w:type="paragraph" w:styleId="189">
    <w:name w:val="toc 9"/>
    <w:basedOn w:val="642"/>
    <w:next w:val="642"/>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642"/>
    <w:next w:val="642"/>
    <w:uiPriority w:val="99"/>
    <w:unhideWhenUsed/>
    <w:pPr>
      <w:pBdr/>
      <w:spacing w:after="0" w:afterAutospacing="0"/>
      <w:ind/>
    </w:pPr>
  </w:style>
  <w:style w:type="paragraph" w:styleId="642" w:default="1">
    <w:name w:val="Normal"/>
    <w:uiPriority w:val="0"/>
    <w:qFormat/>
    <w:pPr>
      <w:widowControl w:val="false"/>
      <w:pBdr/>
      <w:spacing/>
      <w:ind/>
      <w:jc w:val="both"/>
    </w:pPr>
    <w:rPr>
      <w:rFonts w:asciiTheme="minorHAnsi" w:hAnsiTheme="minorHAnsi" w:eastAsiaTheme="minorEastAsia" w:cstheme="minorBidi"/>
      <w:sz w:val="21"/>
      <w:szCs w:val="22"/>
      <w:lang w:val="en-US" w:eastAsia="zh-CN" w:bidi="ar-SA"/>
    </w:rPr>
  </w:style>
  <w:style w:type="character" w:styleId="643" w:default="1">
    <w:name w:val="Default Paragraph Font"/>
    <w:uiPriority w:val="1"/>
    <w:semiHidden/>
    <w:unhideWhenUsed/>
    <w:pPr>
      <w:pBdr/>
      <w:spacing/>
      <w:ind/>
    </w:pPr>
  </w:style>
  <w:style w:type="table" w:styleId="644" w:default="1">
    <w:name w:val="Normal Table"/>
    <w:uiPriority w:val="99"/>
    <w:semiHidden/>
    <w:unhideWhenUsed/>
    <w:qFormat/>
    <w:pPr>
      <w:pBdr/>
      <w:spacing/>
      <w:ind/>
    </w:p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45">
    <w:name w:val="Balloon Text"/>
    <w:basedOn w:val="642"/>
    <w:link w:val="650"/>
    <w:uiPriority w:val="99"/>
    <w:semiHidden/>
    <w:unhideWhenUsed/>
    <w:qFormat/>
    <w:pPr>
      <w:pBdr/>
      <w:spacing/>
      <w:ind/>
    </w:pPr>
    <w:rPr>
      <w:sz w:val="18"/>
      <w:szCs w:val="18"/>
    </w:rPr>
  </w:style>
  <w:style w:type="paragraph" w:styleId="646">
    <w:name w:val="Footer"/>
    <w:basedOn w:val="642"/>
    <w:link w:val="649"/>
    <w:uiPriority w:val="99"/>
    <w:unhideWhenUsed/>
    <w:qFormat/>
    <w:pPr>
      <w:pBdr/>
      <w:tabs>
        <w:tab w:val="center" w:leader="none" w:pos="4153"/>
        <w:tab w:val="right" w:leader="none" w:pos="8306"/>
      </w:tabs>
      <w:spacing/>
      <w:ind/>
      <w:jc w:val="left"/>
    </w:pPr>
    <w:rPr>
      <w:sz w:val="18"/>
      <w:szCs w:val="18"/>
    </w:rPr>
  </w:style>
  <w:style w:type="paragraph" w:styleId="647">
    <w:name w:val="Header"/>
    <w:basedOn w:val="642"/>
    <w:link w:val="648"/>
    <w:uiPriority w:val="99"/>
    <w:unhideWhenUsed/>
    <w:qFormat/>
    <w:pPr>
      <w:pBdr>
        <w:bottom w:val="single" w:color="000000" w:sz="6" w:space="1"/>
      </w:pBdr>
      <w:tabs>
        <w:tab w:val="center" w:leader="none" w:pos="4153"/>
        <w:tab w:val="right" w:leader="none" w:pos="8306"/>
      </w:tabs>
      <w:spacing/>
      <w:ind/>
      <w:jc w:val="center"/>
    </w:pPr>
    <w:rPr>
      <w:sz w:val="18"/>
      <w:szCs w:val="18"/>
    </w:rPr>
  </w:style>
  <w:style w:type="character" w:styleId="648" w:customStyle="1">
    <w:name w:val="页眉 字符"/>
    <w:basedOn w:val="643"/>
    <w:link w:val="647"/>
    <w:uiPriority w:val="99"/>
    <w:qFormat/>
    <w:pPr>
      <w:pBdr/>
      <w:spacing/>
      <w:ind/>
    </w:pPr>
    <w:rPr>
      <w:sz w:val="18"/>
      <w:szCs w:val="18"/>
    </w:rPr>
  </w:style>
  <w:style w:type="character" w:styleId="649" w:customStyle="1">
    <w:name w:val="页脚 字符"/>
    <w:basedOn w:val="643"/>
    <w:link w:val="646"/>
    <w:uiPriority w:val="99"/>
    <w:qFormat/>
    <w:pPr>
      <w:pBdr/>
      <w:spacing/>
      <w:ind/>
    </w:pPr>
    <w:rPr>
      <w:sz w:val="18"/>
      <w:szCs w:val="18"/>
    </w:rPr>
  </w:style>
  <w:style w:type="character" w:styleId="650" w:customStyle="1">
    <w:name w:val="批注框文本 字符"/>
    <w:basedOn w:val="643"/>
    <w:link w:val="645"/>
    <w:uiPriority w:val="99"/>
    <w:semiHidden/>
    <w:qFormat/>
    <w:pPr>
      <w:pBdr/>
      <w:spacing/>
      <w:ind/>
    </w:pPr>
    <w:rPr>
      <w:sz w:val="18"/>
      <w:szCs w:val="18"/>
    </w:rPr>
  </w:style>
  <w:style w:type="paragraph" w:styleId="651" w:customStyle="1">
    <w:name w:val="单元格样式20"/>
    <w:basedOn w:val="642"/>
    <w:uiPriority w:val="0"/>
    <w:qFormat/>
    <w:pPr>
      <w:pBdr/>
      <w:spacing w:after="0" w:before="0"/>
      <w:ind w:firstLine="0"/>
      <w:jc w:val="left"/>
      <w:outlineLvl w:val="9"/>
    </w:pPr>
    <w:rPr>
      <w:rFonts w:ascii="方正小标宋_GBK" w:hAnsi="方正小标宋_GBK" w:eastAsia="方正小标宋_GBK" w:cs="方正小标宋_GBK"/>
      <w:sz w:val="24"/>
    </w:rPr>
  </w:style>
  <w:style w:type="paragraph" w:styleId="652" w:customStyle="1">
    <w:name w:val="单元格样式23"/>
    <w:basedOn w:val="642"/>
    <w:uiPriority w:val="0"/>
    <w:qFormat/>
    <w:pPr>
      <w:pBdr/>
      <w:spacing w:after="0" w:before="0"/>
      <w:ind w:firstLine="0"/>
      <w:jc w:val="right"/>
      <w:outlineLvl w:val="9"/>
    </w:pPr>
    <w:rPr>
      <w:rFonts w:ascii="方正书宋_GBK" w:hAnsi="方正书宋_GBK" w:eastAsia="方正书宋_GBK" w:cs="方正书宋_GBK"/>
      <w:sz w:val="24"/>
    </w:rPr>
  </w:style>
  <w:style w:type="paragraph" w:styleId="653" w:customStyle="1">
    <w:name w:val="单元格样式1"/>
    <w:basedOn w:val="642"/>
    <w:uiPriority w:val="0"/>
    <w:qFormat/>
    <w:pPr>
      <w:pBdr/>
      <w:spacing w:after="0" w:before="0"/>
      <w:ind w:firstLine="0"/>
      <w:jc w:val="center"/>
      <w:outlineLvl w:val="9"/>
    </w:pPr>
    <w:rPr>
      <w:rFonts w:ascii="方正书宋_GBK" w:hAnsi="方正书宋_GBK" w:eastAsia="方正书宋_GBK" w:cs="方正书宋_GBK"/>
      <w:b/>
      <w:sz w:val="21"/>
    </w:rPr>
  </w:style>
  <w:style w:type="paragraph" w:styleId="654" w:customStyle="1">
    <w:name w:val="单元格样式6"/>
    <w:basedOn w:val="642"/>
    <w:uiPriority w:val="0"/>
    <w:qFormat/>
    <w:pPr>
      <w:pBdr/>
      <w:spacing w:after="0" w:before="0"/>
      <w:ind w:firstLine="0"/>
      <w:jc w:val="center"/>
      <w:outlineLvl w:val="9"/>
    </w:pPr>
    <w:rPr>
      <w:rFonts w:ascii="方正书宋_GBK" w:hAnsi="方正书宋_GBK" w:eastAsia="方正书宋_GBK" w:cs="方正书宋_GBK"/>
      <w:b/>
      <w:sz w:val="21"/>
    </w:rPr>
  </w:style>
  <w:style w:type="paragraph" w:styleId="655" w:customStyle="1">
    <w:name w:val="单元格样式7"/>
    <w:basedOn w:val="642"/>
    <w:uiPriority w:val="0"/>
    <w:qFormat/>
    <w:pPr>
      <w:pBdr/>
      <w:spacing w:after="0" w:before="0"/>
      <w:ind w:firstLine="0"/>
      <w:jc w:val="right"/>
      <w:outlineLvl w:val="9"/>
    </w:pPr>
    <w:rPr>
      <w:rFonts w:ascii="方正书宋_GBK" w:hAnsi="方正书宋_GBK" w:eastAsia="方正书宋_GBK" w:cs="方正书宋_GBK"/>
      <w:b/>
      <w:sz w:val="21"/>
    </w:rPr>
  </w:style>
  <w:style w:type="paragraph" w:styleId="656" w:customStyle="1">
    <w:name w:val="单元格样式5"/>
    <w:basedOn w:val="642"/>
    <w:uiPriority w:val="0"/>
    <w:qFormat/>
    <w:pPr>
      <w:pBdr/>
      <w:spacing w:after="0" w:before="0"/>
      <w:ind w:firstLine="0"/>
      <w:jc w:val="left"/>
      <w:outlineLvl w:val="9"/>
    </w:pPr>
    <w:rPr>
      <w:rFonts w:ascii="方正书宋_GBK" w:hAnsi="方正书宋_GBK" w:eastAsia="方正书宋_GBK" w:cs="方正书宋_GBK"/>
      <w:b/>
      <w:sz w:val="21"/>
    </w:rPr>
  </w:style>
  <w:style w:type="paragraph" w:styleId="657" w:customStyle="1">
    <w:name w:val="单元格样式2"/>
    <w:basedOn w:val="642"/>
    <w:uiPriority w:val="0"/>
    <w:qFormat/>
    <w:pPr>
      <w:pBdr/>
      <w:spacing w:after="0" w:before="0"/>
      <w:ind w:firstLine="0"/>
      <w:jc w:val="left"/>
      <w:outlineLvl w:val="9"/>
    </w:pPr>
    <w:rPr>
      <w:rFonts w:ascii="方正书宋_GBK" w:hAnsi="方正书宋_GBK" w:eastAsia="方正书宋_GBK" w:cs="方正书宋_GBK"/>
      <w:sz w:val="21"/>
    </w:rPr>
  </w:style>
  <w:style w:type="paragraph" w:styleId="658" w:customStyle="1">
    <w:name w:val="单元格样式4"/>
    <w:basedOn w:val="642"/>
    <w:uiPriority w:val="0"/>
    <w:qFormat/>
    <w:pPr>
      <w:pBdr/>
      <w:spacing w:after="0" w:before="0"/>
      <w:ind w:firstLine="0"/>
      <w:jc w:val="right"/>
      <w:outlineLvl w:val="9"/>
    </w:pPr>
    <w:rPr>
      <w:rFonts w:ascii="方正书宋_GBK" w:hAnsi="方正书宋_GBK" w:eastAsia="方正书宋_GBK" w:cs="方正书宋_GBK"/>
      <w:sz w:val="21"/>
    </w:rPr>
  </w:style>
  <w:style w:type="paragraph" w:styleId="659" w:customStyle="1">
    <w:name w:val="单元格样式3"/>
    <w:basedOn w:val="642"/>
    <w:uiPriority w:val="0"/>
    <w:qFormat/>
    <w:pPr>
      <w:pBdr/>
      <w:spacing w:after="0" w:before="0"/>
      <w:ind w:firstLine="0"/>
      <w:jc w:val="center"/>
      <w:outlineLvl w:val="9"/>
    </w:pPr>
    <w:rPr>
      <w:rFonts w:ascii="方正书宋_GBK" w:hAnsi="方正书宋_GBK" w:eastAsia="方正书宋_GBK" w:cs="方正书宋_GBK"/>
      <w:sz w:val="21"/>
    </w:rPr>
  </w:style>
  <w:style w:type="paragraph" w:styleId="660" w:customStyle="1">
    <w:name w:val="插入文本样式-插入总体目标文件"/>
    <w:basedOn w:val="642"/>
    <w:uiPriority w:val="0"/>
    <w:qFormat/>
    <w:pPr>
      <w:pBdr/>
      <w:spacing w:line="500" w:lineRule="exact"/>
      <w:ind w:firstLine="560"/>
    </w:pPr>
    <w:rPr>
      <w:rFonts w:eastAsia="方正仿宋_GBK"/>
      <w:sz w:val="28"/>
    </w:rPr>
  </w:style>
  <w:style w:type="paragraph" w:styleId="661" w:customStyle="1">
    <w:name w:val="插入文本样式-插入职责分类绩效目标文件"/>
    <w:basedOn w:val="642"/>
    <w:uiPriority w:val="0"/>
    <w:qFormat/>
    <w:pPr>
      <w:pBdr/>
      <w:spacing w:line="500" w:lineRule="exact"/>
      <w:ind w:firstLine="560"/>
    </w:pPr>
    <w:rPr>
      <w:rFonts w:eastAsia="方正仿宋_GBK"/>
      <w:sz w:val="28"/>
    </w:rPr>
  </w:style>
  <w:style w:type="paragraph" w:styleId="662" w:customStyle="1">
    <w:name w:val="插入文本样式-插入实现年度发展规划目标的保障措施文件"/>
    <w:basedOn w:val="642"/>
    <w:uiPriority w:val="0"/>
    <w:qFormat/>
    <w:pPr>
      <w:pBdr/>
      <w:spacing w:line="500" w:lineRule="exact"/>
      <w:ind w:firstLine="560"/>
    </w:pPr>
    <w:rPr>
      <w:rFonts w:eastAsia="方正仿宋_GBK"/>
      <w:sz w:val="28"/>
    </w:rPr>
  </w:style>
  <w:style w:type="numbering" w:styleId="1038"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等线 Light"/>
        <a:cs typeface="Arial"/>
      </a:majorFont>
      <a:minorFont>
        <a:latin typeface="等线"/>
        <a:ea typeface="等线"/>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3216C-15DA-412F-BB52-B31BA36DBF18}"/>
</file>

<file path=docProps/app.xml><?xml version="1.0" encoding="utf-8"?>
<Properties xmlns="http://schemas.openxmlformats.org/officeDocument/2006/extended-properties" xmlns:vt="http://schemas.openxmlformats.org/officeDocument/2006/docPropsVTypes">
  <Application>ONLYOFFICE/7.5.1.23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匿名</cp:lastModifiedBy>
  <cp:revision>173</cp:revision>
  <dcterms:created xsi:type="dcterms:W3CDTF">2019-02-15T06:58:00Z</dcterms:created>
  <dcterms:modified xsi:type="dcterms:W3CDTF">2026-08-27T00:16:09Z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76EAFEA3433E47EF9BBEB116C4FC5C2C</vt:lpwstr>
  </property>
</Properties>
</file>