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b/>
          <w:sz w:val="44"/>
          <w:szCs w:val="44"/>
        </w:rPr>
      </w:pPr>
      <w:r>
        <w:rPr>
          <w:rFonts w:hint="eastAsia" w:ascii="宋体" w:hAnsi="宋体" w:eastAsia="宋体"/>
          <w:b/>
          <w:sz w:val="44"/>
          <w:szCs w:val="44"/>
        </w:rPr>
        <w:t>保定市徐水区户木</w:t>
      </w:r>
      <w:r>
        <w:rPr>
          <w:rFonts w:ascii="宋体" w:hAnsi="宋体" w:eastAsia="宋体"/>
          <w:b/>
          <w:sz w:val="44"/>
          <w:szCs w:val="44"/>
        </w:rPr>
        <w:t>乡</w:t>
      </w:r>
    </w:p>
    <w:p>
      <w:pPr>
        <w:spacing w:line="360" w:lineRule="auto"/>
        <w:jc w:val="center"/>
        <w:rPr>
          <w:rFonts w:ascii="宋体" w:hAnsi="宋体" w:eastAsia="宋体"/>
          <w:b/>
          <w:sz w:val="44"/>
          <w:szCs w:val="44"/>
        </w:rPr>
      </w:pPr>
      <w:r>
        <w:rPr>
          <w:rFonts w:ascii="宋体" w:hAnsi="宋体" w:eastAsia="宋体"/>
          <w:b/>
          <w:sz w:val="44"/>
          <w:szCs w:val="44"/>
        </w:rPr>
        <w:t>2022年单位预算公开说明</w:t>
      </w:r>
      <w:bookmarkStart w:id="0" w:name="_GoBack"/>
      <w:bookmarkEnd w:id="0"/>
    </w:p>
    <w:p>
      <w:pPr>
        <w:tabs>
          <w:tab w:val="left" w:pos="5274"/>
        </w:tabs>
        <w:spacing w:line="360" w:lineRule="auto"/>
        <w:ind w:firstLine="640" w:firstLineChars="200"/>
        <w:rPr>
          <w:rFonts w:ascii="仿宋" w:hAnsi="仿宋" w:eastAsia="仿宋"/>
          <w:sz w:val="32"/>
          <w:szCs w:val="32"/>
        </w:rPr>
      </w:pPr>
      <w:r>
        <w:rPr>
          <w:rFonts w:ascii="仿宋" w:hAnsi="仿宋" w:eastAsia="仿宋"/>
          <w:sz w:val="32"/>
          <w:szCs w:val="32"/>
        </w:rPr>
        <w:tab/>
      </w: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w:t>
      </w:r>
      <w:r>
        <w:rPr>
          <w:rFonts w:hint="eastAsia" w:ascii="仿宋" w:hAnsi="仿宋" w:eastAsia="仿宋"/>
          <w:sz w:val="32"/>
          <w:szCs w:val="32"/>
          <w:lang w:eastAsia="zh-CN"/>
        </w:rPr>
        <w:t>《中华人民共和国预算法》</w:t>
      </w:r>
      <w:r>
        <w:rPr>
          <w:rFonts w:hint="eastAsia" w:ascii="仿宋" w:hAnsi="仿宋" w:eastAsia="仿宋"/>
          <w:sz w:val="32"/>
          <w:szCs w:val="32"/>
        </w:rPr>
        <w:t>、《地方预决算公开操作规程》等文件规定，现将我单位预算信息公开如下：</w:t>
      </w:r>
    </w:p>
    <w:p>
      <w:pPr>
        <w:jc w:val="center"/>
        <w:outlineLvl w:val="0"/>
        <w:rPr>
          <w:rFonts w:ascii="方正小标宋_GBK" w:eastAsia="方正小标宋_GBK"/>
          <w:sz w:val="44"/>
        </w:rPr>
      </w:pPr>
      <w:r>
        <w:rPr>
          <w:rFonts w:hint="eastAsia" w:ascii="方正小标宋_GBK" w:eastAsia="方正小标宋_GBK"/>
          <w:sz w:val="44"/>
        </w:rPr>
        <w:t>第一部分</w:t>
      </w:r>
      <w:r>
        <w:rPr>
          <w:rFonts w:ascii="方正小标宋_GBK" w:eastAsia="方正小标宋_GBK"/>
          <w:sz w:val="44"/>
        </w:rPr>
        <w:t>:单位职责及机构设置情况</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一、单位职责</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1）执行本级代表大会的决议和上级国家行政机关的决定和命令，发布决定和命令。</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2）制定并落实本行政区域内的经济发展计划，加强公共设施的建设和管理，发展各项服务事业。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3）加强水利建设、土地使用管理和环境综合整治，合理利用自然资源，保护、改善生态和生活环境。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4）依法管理镇财政，执行本级预算。</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5）管理和发展文化、教育、科学、广播、体育、卫生等事业。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6）保护社会主义的全民所有财产和劳动群众的集体所有财产，保护公民个人所有的合法财产，保护公民的人身权利、民主权</w:t>
      </w:r>
      <w:r>
        <w:rPr>
          <w:rFonts w:hint="eastAsia" w:ascii="仿宋" w:hAnsi="仿宋" w:eastAsia="仿宋"/>
          <w:sz w:val="32"/>
          <w:szCs w:val="32"/>
          <w:lang w:val="en-US" w:eastAsia="zh-CN"/>
        </w:rPr>
        <w:t>利</w:t>
      </w:r>
      <w:r>
        <w:rPr>
          <w:rFonts w:ascii="仿宋" w:hAnsi="仿宋" w:eastAsia="仿宋"/>
          <w:sz w:val="32"/>
          <w:szCs w:val="32"/>
        </w:rPr>
        <w:t>和其他权利，保护各种经济的合法权益。</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二、机构设置</w:t>
      </w:r>
    </w:p>
    <w:tbl>
      <w:tblPr>
        <w:tblStyle w:val="10"/>
        <w:tblW w:w="1006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2"/>
        <w:gridCol w:w="2692"/>
        <w:gridCol w:w="1701"/>
        <w:gridCol w:w="1418"/>
        <w:gridCol w:w="32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tblHeader/>
          <w:jc w:val="center"/>
        </w:trPr>
        <w:tc>
          <w:tcPr>
            <w:tcW w:w="992" w:type="dxa"/>
            <w:tcBorders>
              <w:top w:val="single" w:color="auto" w:sz="4" w:space="0"/>
              <w:left w:val="single" w:color="auto" w:sz="4" w:space="0"/>
              <w:bottom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序号</w:t>
            </w:r>
          </w:p>
        </w:tc>
        <w:tc>
          <w:tcPr>
            <w:tcW w:w="2692"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单位名称</w:t>
            </w:r>
          </w:p>
        </w:tc>
        <w:tc>
          <w:tcPr>
            <w:tcW w:w="1701"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单位性质</w:t>
            </w:r>
          </w:p>
        </w:tc>
        <w:tc>
          <w:tcPr>
            <w:tcW w:w="1418"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单位规格</w:t>
            </w:r>
          </w:p>
        </w:tc>
        <w:tc>
          <w:tcPr>
            <w:tcW w:w="3260"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1</w:t>
            </w:r>
          </w:p>
          <w:p>
            <w:pPr>
              <w:jc w:val="center"/>
              <w:rPr>
                <w:rFonts w:ascii="仿宋_GB2312" w:hAnsi="仿宋" w:eastAsia="仿宋_GB2312"/>
                <w:bCs/>
                <w:sz w:val="24"/>
                <w:szCs w:val="24"/>
              </w:rPr>
            </w:pP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综合</w:t>
            </w:r>
            <w:r>
              <w:rPr>
                <w:rFonts w:ascii="仿宋_GB2312" w:hAnsi="仿宋" w:eastAsia="仿宋_GB2312"/>
                <w:bCs/>
                <w:sz w:val="24"/>
                <w:szCs w:val="24"/>
              </w:rPr>
              <w:t>行政执法工作</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2</w:t>
            </w: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行政</w:t>
            </w:r>
            <w:r>
              <w:rPr>
                <w:rFonts w:ascii="仿宋_GB2312" w:hAnsi="仿宋" w:eastAsia="仿宋_GB2312"/>
                <w:bCs/>
                <w:sz w:val="24"/>
                <w:szCs w:val="24"/>
              </w:rPr>
              <w:t>综合服务中心</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3</w:t>
            </w:r>
          </w:p>
          <w:p>
            <w:pPr>
              <w:jc w:val="center"/>
              <w:rPr>
                <w:rFonts w:ascii="仿宋_GB2312" w:hAnsi="仿宋" w:eastAsia="仿宋_GB2312"/>
                <w:bCs/>
                <w:sz w:val="24"/>
                <w:szCs w:val="24"/>
              </w:rPr>
            </w:pP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农业</w:t>
            </w:r>
            <w:r>
              <w:rPr>
                <w:rFonts w:ascii="仿宋_GB2312" w:hAnsi="仿宋" w:eastAsia="仿宋_GB2312"/>
                <w:bCs/>
                <w:sz w:val="24"/>
                <w:szCs w:val="24"/>
              </w:rPr>
              <w:t>综合服务中心</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4</w:t>
            </w: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退役</w:t>
            </w:r>
            <w:r>
              <w:rPr>
                <w:rFonts w:ascii="仿宋_GB2312" w:hAnsi="仿宋" w:eastAsia="仿宋_GB2312"/>
                <w:bCs/>
                <w:sz w:val="24"/>
                <w:szCs w:val="24"/>
              </w:rPr>
              <w:t>军人服务站</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bl>
    <w:p>
      <w:pPr>
        <w:spacing w:line="360" w:lineRule="auto"/>
        <w:rPr>
          <w:rFonts w:ascii="仿宋" w:hAnsi="仿宋" w:eastAsia="仿宋"/>
          <w:b/>
          <w:sz w:val="32"/>
          <w:szCs w:val="32"/>
        </w:rPr>
      </w:pPr>
    </w:p>
    <w:p>
      <w:pPr>
        <w:jc w:val="center"/>
        <w:outlineLvl w:val="0"/>
        <w:rPr>
          <w:rFonts w:ascii="方正小标宋_GBK" w:eastAsia="方正小标宋_GBK"/>
          <w:sz w:val="44"/>
        </w:rPr>
      </w:pPr>
      <w:r>
        <w:rPr>
          <w:rFonts w:hint="eastAsia" w:ascii="方正小标宋_GBK" w:eastAsia="方正小标宋_GBK"/>
          <w:sz w:val="44"/>
        </w:rPr>
        <w:t>第二部分：单位预算安排的总体情况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按照预算管理有关规定，目前我区单位预算的编制实行综合预算制度，即全部收入和支出都反映</w:t>
      </w:r>
      <w:r>
        <w:rPr>
          <w:rFonts w:ascii="仿宋" w:hAnsi="仿宋" w:eastAsia="仿宋"/>
          <w:sz w:val="32"/>
          <w:szCs w:val="32"/>
        </w:rPr>
        <w:t>在</w:t>
      </w:r>
      <w:r>
        <w:rPr>
          <w:rFonts w:hint="eastAsia" w:ascii="仿宋" w:hAnsi="仿宋" w:eastAsia="仿宋"/>
          <w:sz w:val="32"/>
          <w:szCs w:val="32"/>
        </w:rPr>
        <w:t>预算中。我单位及所属事业单位的收支包含在单位预算中。</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一、收入说明</w:t>
      </w:r>
    </w:p>
    <w:p>
      <w:pPr>
        <w:spacing w:line="360" w:lineRule="auto"/>
        <w:ind w:firstLine="640" w:firstLineChars="200"/>
        <w:rPr>
          <w:rFonts w:ascii="仿宋" w:hAnsi="仿宋" w:eastAsia="仿宋"/>
          <w:sz w:val="32"/>
          <w:szCs w:val="32"/>
        </w:rPr>
      </w:pPr>
      <w:r>
        <w:rPr>
          <w:rFonts w:ascii="仿宋" w:hAnsi="仿宋" w:eastAsia="仿宋"/>
          <w:sz w:val="32"/>
          <w:szCs w:val="32"/>
        </w:rPr>
        <w:t>2022年预算收入为</w:t>
      </w:r>
      <w:r>
        <w:rPr>
          <w:rFonts w:hint="eastAsia" w:ascii="仿宋" w:hAnsi="仿宋" w:eastAsia="仿宋"/>
          <w:sz w:val="32"/>
          <w:szCs w:val="32"/>
        </w:rPr>
        <w:t>975.46</w:t>
      </w:r>
      <w:r>
        <w:rPr>
          <w:rFonts w:ascii="仿宋" w:hAnsi="仿宋" w:eastAsia="仿宋"/>
          <w:sz w:val="32"/>
          <w:szCs w:val="32"/>
        </w:rPr>
        <w:t>万元,其中：一般公共预算收入</w:t>
      </w:r>
      <w:r>
        <w:rPr>
          <w:rFonts w:hint="eastAsia" w:ascii="仿宋" w:hAnsi="仿宋" w:eastAsia="仿宋"/>
          <w:sz w:val="32"/>
          <w:szCs w:val="32"/>
        </w:rPr>
        <w:t>975.46</w:t>
      </w:r>
      <w:r>
        <w:rPr>
          <w:rFonts w:ascii="仿宋" w:hAnsi="仿宋" w:eastAsia="仿宋"/>
          <w:sz w:val="32"/>
          <w:szCs w:val="32"/>
        </w:rPr>
        <w:t>万元，基金预算收入</w:t>
      </w:r>
      <w:r>
        <w:rPr>
          <w:rFonts w:hint="eastAsia" w:ascii="仿宋" w:hAnsi="仿宋" w:eastAsia="仿宋"/>
          <w:sz w:val="32"/>
          <w:szCs w:val="32"/>
        </w:rPr>
        <w:t>0</w:t>
      </w:r>
      <w:r>
        <w:rPr>
          <w:rFonts w:ascii="仿宋" w:hAnsi="仿宋" w:eastAsia="仿宋"/>
          <w:sz w:val="32"/>
          <w:szCs w:val="32"/>
        </w:rPr>
        <w:t>万元，财政专户收入0万元，其他来源收入</w:t>
      </w:r>
      <w:r>
        <w:rPr>
          <w:rFonts w:hint="eastAsia" w:ascii="仿宋" w:hAnsi="仿宋" w:eastAsia="仿宋"/>
          <w:sz w:val="32"/>
          <w:szCs w:val="32"/>
        </w:rPr>
        <w:t>0</w:t>
      </w:r>
      <w:r>
        <w:rPr>
          <w:rFonts w:ascii="仿宋" w:hAnsi="仿宋" w:eastAsia="仿宋"/>
          <w:sz w:val="32"/>
          <w:szCs w:val="32"/>
        </w:rPr>
        <w:t>万元。</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二、支出说明</w:t>
      </w:r>
    </w:p>
    <w:p>
      <w:pPr>
        <w:spacing w:line="360" w:lineRule="auto"/>
        <w:ind w:firstLine="640" w:firstLineChars="200"/>
        <w:rPr>
          <w:rFonts w:ascii="仿宋" w:hAnsi="仿宋" w:eastAsia="仿宋"/>
          <w:sz w:val="32"/>
          <w:szCs w:val="32"/>
        </w:rPr>
      </w:pPr>
      <w:r>
        <w:rPr>
          <w:rFonts w:ascii="仿宋" w:hAnsi="仿宋" w:eastAsia="仿宋"/>
          <w:sz w:val="32"/>
          <w:szCs w:val="32"/>
        </w:rPr>
        <w:t>2022年单位支出预算：</w:t>
      </w:r>
      <w:r>
        <w:rPr>
          <w:rFonts w:hint="eastAsia" w:ascii="仿宋" w:hAnsi="仿宋" w:eastAsia="仿宋"/>
          <w:sz w:val="32"/>
          <w:szCs w:val="32"/>
        </w:rPr>
        <w:t>975.46</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基本支出975.46万元</w:t>
      </w:r>
    </w:p>
    <w:p>
      <w:pPr>
        <w:spacing w:line="360" w:lineRule="auto"/>
        <w:ind w:firstLine="640" w:firstLineChars="200"/>
        <w:rPr>
          <w:rFonts w:ascii="仿宋" w:hAnsi="仿宋" w:eastAsia="仿宋"/>
          <w:sz w:val="32"/>
          <w:szCs w:val="32"/>
        </w:rPr>
      </w:pPr>
      <w:r>
        <w:rPr>
          <w:rFonts w:ascii="仿宋" w:hAnsi="仿宋" w:eastAsia="仿宋"/>
          <w:sz w:val="32"/>
          <w:szCs w:val="32"/>
        </w:rPr>
        <w:t>其中：人员经费</w:t>
      </w:r>
      <w:r>
        <w:rPr>
          <w:rFonts w:hint="eastAsia" w:ascii="仿宋" w:hAnsi="仿宋" w:eastAsia="仿宋"/>
          <w:sz w:val="32"/>
          <w:szCs w:val="32"/>
        </w:rPr>
        <w:t>942.39</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ascii="仿宋" w:hAnsi="仿宋" w:eastAsia="仿宋"/>
          <w:sz w:val="32"/>
          <w:szCs w:val="32"/>
        </w:rPr>
        <w:t>日常公用经费</w:t>
      </w:r>
      <w:r>
        <w:rPr>
          <w:rFonts w:hint="eastAsia" w:ascii="仿宋" w:hAnsi="仿宋" w:eastAsia="仿宋"/>
          <w:sz w:val="32"/>
          <w:szCs w:val="32"/>
        </w:rPr>
        <w:t>33.07</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项目支出0</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ascii="仿宋" w:hAnsi="仿宋" w:eastAsia="仿宋"/>
          <w:sz w:val="32"/>
          <w:szCs w:val="32"/>
        </w:rPr>
        <w:t>其中：本级支出</w:t>
      </w:r>
      <w:r>
        <w:rPr>
          <w:rFonts w:hint="eastAsia" w:ascii="仿宋" w:hAnsi="仿宋" w:eastAsia="仿宋"/>
          <w:sz w:val="32"/>
          <w:szCs w:val="32"/>
        </w:rPr>
        <w:t>0</w:t>
      </w:r>
      <w:r>
        <w:rPr>
          <w:rFonts w:ascii="仿宋" w:hAnsi="仿宋" w:eastAsia="仿宋"/>
          <w:sz w:val="32"/>
          <w:szCs w:val="32"/>
        </w:rPr>
        <w:t>万元</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三、比上年增减情况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本年度预算收支安排975.46万元，较上年增加546.72</w:t>
      </w:r>
      <w:r>
        <w:rPr>
          <w:rFonts w:ascii="仿宋" w:hAnsi="仿宋" w:eastAsia="仿宋"/>
          <w:sz w:val="32"/>
          <w:szCs w:val="32"/>
        </w:rPr>
        <w:t>万元。其中:基本支出增加</w:t>
      </w:r>
      <w:r>
        <w:rPr>
          <w:rFonts w:hint="eastAsia" w:ascii="仿宋" w:hAnsi="仿宋" w:eastAsia="仿宋"/>
          <w:sz w:val="32"/>
          <w:szCs w:val="32"/>
        </w:rPr>
        <w:t>546.72</w:t>
      </w:r>
      <w:r>
        <w:rPr>
          <w:rFonts w:ascii="仿宋" w:hAnsi="仿宋" w:eastAsia="仿宋"/>
          <w:sz w:val="32"/>
          <w:szCs w:val="32"/>
        </w:rPr>
        <w:t>万元，主要原因是</w:t>
      </w:r>
      <w:r>
        <w:rPr>
          <w:rFonts w:hint="eastAsia" w:ascii="仿宋" w:hAnsi="仿宋" w:eastAsia="仿宋"/>
          <w:sz w:val="32"/>
          <w:szCs w:val="32"/>
        </w:rPr>
        <w:t>人员经费</w:t>
      </w:r>
      <w:r>
        <w:rPr>
          <w:rFonts w:ascii="仿宋" w:hAnsi="仿宋" w:eastAsia="仿宋"/>
          <w:sz w:val="32"/>
          <w:szCs w:val="32"/>
        </w:rPr>
        <w:t>增</w:t>
      </w:r>
      <w:r>
        <w:rPr>
          <w:rFonts w:hint="eastAsia" w:ascii="仿宋" w:hAnsi="仿宋" w:eastAsia="仿宋"/>
          <w:sz w:val="32"/>
          <w:szCs w:val="32"/>
        </w:rPr>
        <w:t>加及</w:t>
      </w:r>
      <w:r>
        <w:rPr>
          <w:rFonts w:ascii="仿宋" w:hAnsi="仿宋" w:eastAsia="仿宋"/>
          <w:sz w:val="32"/>
          <w:szCs w:val="32"/>
        </w:rPr>
        <w:t>增资</w:t>
      </w:r>
      <w:r>
        <w:rPr>
          <w:rFonts w:hint="eastAsia" w:ascii="仿宋" w:hAnsi="仿宋" w:eastAsia="仿宋"/>
          <w:sz w:val="32"/>
          <w:szCs w:val="32"/>
        </w:rPr>
        <w:t>。</w:t>
      </w:r>
      <w:r>
        <w:rPr>
          <w:rFonts w:ascii="仿宋" w:hAnsi="仿宋" w:eastAsia="仿宋"/>
          <w:sz w:val="32"/>
          <w:szCs w:val="32"/>
        </w:rPr>
        <w:t xml:space="preserve"> </w:t>
      </w:r>
    </w:p>
    <w:p>
      <w:pPr>
        <w:jc w:val="center"/>
        <w:outlineLvl w:val="0"/>
        <w:rPr>
          <w:rFonts w:ascii="方正小标宋_GBK" w:eastAsia="方正小标宋_GBK"/>
          <w:sz w:val="44"/>
        </w:rPr>
      </w:pPr>
      <w:r>
        <w:rPr>
          <w:rFonts w:hint="eastAsia" w:ascii="方正小标宋_GBK" w:eastAsia="方正小标宋_GBK"/>
          <w:sz w:val="44"/>
        </w:rPr>
        <w:t>第三部分：机关运行经费安排情况</w:t>
      </w:r>
    </w:p>
    <w:p>
      <w:pPr>
        <w:spacing w:line="360" w:lineRule="auto"/>
        <w:ind w:firstLine="640" w:firstLineChars="200"/>
        <w:rPr>
          <w:rFonts w:ascii="仿宋" w:hAnsi="仿宋" w:eastAsia="仿宋"/>
          <w:b/>
          <w:sz w:val="32"/>
          <w:szCs w:val="32"/>
        </w:rPr>
      </w:pPr>
      <w:r>
        <w:rPr>
          <w:rFonts w:ascii="仿宋" w:hAnsi="仿宋" w:eastAsia="仿宋"/>
          <w:sz w:val="32"/>
          <w:szCs w:val="32"/>
        </w:rPr>
        <w:t>2022年我单位机关运行经费安排</w:t>
      </w:r>
      <w:r>
        <w:rPr>
          <w:rFonts w:hint="eastAsia" w:ascii="仿宋" w:hAnsi="仿宋" w:eastAsia="仿宋"/>
          <w:sz w:val="32"/>
          <w:szCs w:val="32"/>
        </w:rPr>
        <w:t>33.07</w:t>
      </w:r>
      <w:r>
        <w:rPr>
          <w:rFonts w:ascii="仿宋" w:hAnsi="仿宋" w:eastAsia="仿宋"/>
          <w:sz w:val="32"/>
          <w:szCs w:val="32"/>
        </w:rPr>
        <w:t>万元，其中办公费</w:t>
      </w:r>
      <w:r>
        <w:rPr>
          <w:rFonts w:hint="eastAsia" w:ascii="仿宋" w:hAnsi="仿宋" w:eastAsia="仿宋"/>
          <w:sz w:val="32"/>
          <w:szCs w:val="32"/>
        </w:rPr>
        <w:t>19.12</w:t>
      </w:r>
      <w:r>
        <w:rPr>
          <w:rFonts w:ascii="仿宋" w:hAnsi="仿宋" w:eastAsia="仿宋"/>
          <w:sz w:val="32"/>
          <w:szCs w:val="32"/>
        </w:rPr>
        <w:t>万元，邮电费</w:t>
      </w:r>
      <w:r>
        <w:rPr>
          <w:rFonts w:hint="eastAsia" w:ascii="仿宋" w:hAnsi="仿宋" w:eastAsia="仿宋"/>
          <w:sz w:val="32"/>
          <w:szCs w:val="32"/>
        </w:rPr>
        <w:t>0.86</w:t>
      </w:r>
      <w:r>
        <w:rPr>
          <w:rFonts w:ascii="仿宋" w:hAnsi="仿宋" w:eastAsia="仿宋"/>
          <w:sz w:val="32"/>
          <w:szCs w:val="32"/>
        </w:rPr>
        <w:t>万元，工会经费、福利费</w:t>
      </w:r>
      <w:r>
        <w:rPr>
          <w:rFonts w:hint="eastAsia" w:ascii="仿宋" w:hAnsi="仿宋" w:eastAsia="仿宋"/>
          <w:sz w:val="32"/>
          <w:szCs w:val="32"/>
        </w:rPr>
        <w:t>13.1</w:t>
      </w:r>
      <w:r>
        <w:rPr>
          <w:rFonts w:ascii="仿宋" w:hAnsi="仿宋" w:eastAsia="仿宋"/>
          <w:sz w:val="32"/>
          <w:szCs w:val="32"/>
        </w:rPr>
        <w:t>万元。</w:t>
      </w:r>
    </w:p>
    <w:p>
      <w:pPr>
        <w:jc w:val="center"/>
        <w:outlineLvl w:val="0"/>
        <w:rPr>
          <w:rFonts w:ascii="方正小标宋_GBK" w:eastAsia="方正小标宋_GBK"/>
          <w:sz w:val="44"/>
        </w:rPr>
      </w:pPr>
      <w:r>
        <w:rPr>
          <w:rFonts w:hint="eastAsia" w:ascii="方正小标宋_GBK" w:eastAsia="方正小标宋_GBK"/>
          <w:sz w:val="44"/>
        </w:rPr>
        <w:t>第四部分：财政拨款“三公”经费预算情况及增减变化原因</w:t>
      </w:r>
    </w:p>
    <w:tbl>
      <w:tblPr>
        <w:tblStyle w:val="10"/>
        <w:tblW w:w="14174" w:type="dxa"/>
        <w:tblInd w:w="0" w:type="dxa"/>
        <w:tblLayout w:type="fixed"/>
        <w:tblCellMar>
          <w:top w:w="0" w:type="dxa"/>
          <w:left w:w="108" w:type="dxa"/>
          <w:bottom w:w="0" w:type="dxa"/>
          <w:right w:w="108" w:type="dxa"/>
        </w:tblCellMar>
      </w:tblPr>
      <w:tblGrid>
        <w:gridCol w:w="14174"/>
      </w:tblGrid>
      <w:tr>
        <w:tblPrEx>
          <w:tblLayout w:type="fixed"/>
          <w:tblCellMar>
            <w:top w:w="0" w:type="dxa"/>
            <w:left w:w="108" w:type="dxa"/>
            <w:bottom w:w="0" w:type="dxa"/>
            <w:right w:w="108" w:type="dxa"/>
          </w:tblCellMar>
        </w:tblPrEx>
        <w:trPr>
          <w:trHeight w:val="405" w:hRule="atLeast"/>
        </w:trPr>
        <w:tc>
          <w:tcPr>
            <w:tcW w:w="14174" w:type="dxa"/>
            <w:tcBorders>
              <w:top w:val="nil"/>
              <w:left w:val="nil"/>
              <w:bottom w:val="nil"/>
              <w:right w:val="nil"/>
            </w:tcBorders>
            <w:shd w:val="clear" w:color="auto" w:fill="auto"/>
            <w:vAlign w:val="center"/>
          </w:tcPr>
          <w:tbl>
            <w:tblPr>
              <w:tblStyle w:val="10"/>
              <w:tblW w:w="8195" w:type="dxa"/>
              <w:jc w:val="center"/>
              <w:tblInd w:w="0" w:type="dxa"/>
              <w:tblLayout w:type="fixed"/>
              <w:tblCellMar>
                <w:top w:w="0" w:type="dxa"/>
                <w:left w:w="108" w:type="dxa"/>
                <w:bottom w:w="0" w:type="dxa"/>
                <w:right w:w="108" w:type="dxa"/>
              </w:tblCellMar>
            </w:tblPr>
            <w:tblGrid>
              <w:gridCol w:w="2163"/>
              <w:gridCol w:w="1276"/>
              <w:gridCol w:w="1418"/>
              <w:gridCol w:w="941"/>
              <w:gridCol w:w="2397"/>
            </w:tblGrid>
            <w:tr>
              <w:tblPrEx>
                <w:tblLayout w:type="fixed"/>
                <w:tblCellMar>
                  <w:top w:w="0" w:type="dxa"/>
                  <w:left w:w="108" w:type="dxa"/>
                  <w:bottom w:w="0" w:type="dxa"/>
                  <w:right w:w="108" w:type="dxa"/>
                </w:tblCellMar>
              </w:tblPrEx>
              <w:trPr>
                <w:trHeight w:val="405" w:hRule="atLeast"/>
                <w:jc w:val="center"/>
              </w:trPr>
              <w:tc>
                <w:tcPr>
                  <w:tcW w:w="8195" w:type="dxa"/>
                  <w:gridSpan w:val="5"/>
                  <w:tcBorders>
                    <w:top w:val="nil"/>
                    <w:left w:val="nil"/>
                    <w:bottom w:val="nil"/>
                    <w:right w:val="nil"/>
                  </w:tcBorders>
                  <w:vAlign w:val="center"/>
                </w:tcPr>
                <w:p>
                  <w:pPr>
                    <w:spacing w:line="360" w:lineRule="auto"/>
                    <w:rPr>
                      <w:rFonts w:ascii="黑体" w:hAnsi="黑体" w:eastAsia="黑体" w:cs="宋体"/>
                      <w:kern w:val="0"/>
                      <w:sz w:val="32"/>
                      <w:szCs w:val="32"/>
                    </w:rPr>
                  </w:pPr>
                </w:p>
              </w:tc>
            </w:tr>
            <w:tr>
              <w:tblPrEx>
                <w:tblLayout w:type="fixed"/>
                <w:tblCellMar>
                  <w:top w:w="0" w:type="dxa"/>
                  <w:left w:w="108" w:type="dxa"/>
                  <w:bottom w:w="0" w:type="dxa"/>
                  <w:right w:w="108" w:type="dxa"/>
                </w:tblCellMar>
              </w:tblPrEx>
              <w:trPr>
                <w:trHeight w:val="221" w:hRule="atLeast"/>
                <w:jc w:val="center"/>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941"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right"/>
                    <w:rPr>
                      <w:rFonts w:ascii="宋体" w:hAnsi="宋体" w:cs="宋体"/>
                      <w:kern w:val="0"/>
                      <w:sz w:val="24"/>
                      <w:szCs w:val="24"/>
                    </w:rPr>
                  </w:pPr>
                  <w:r>
                    <w:rPr>
                      <w:rFonts w:hint="eastAsia" w:ascii="宋体" w:hAnsi="宋体" w:cs="宋体"/>
                      <w:kern w:val="0"/>
                      <w:sz w:val="24"/>
                      <w:szCs w:val="24"/>
                    </w:rPr>
                    <w:t>单位：万元</w:t>
                  </w:r>
                </w:p>
              </w:tc>
            </w:tr>
            <w:tr>
              <w:tblPrEx>
                <w:tblLayout w:type="fixed"/>
                <w:tblCellMar>
                  <w:top w:w="0" w:type="dxa"/>
                  <w:left w:w="108" w:type="dxa"/>
                  <w:bottom w:w="0" w:type="dxa"/>
                  <w:right w:w="108" w:type="dxa"/>
                </w:tblCellMar>
              </w:tblPrEx>
              <w:trPr>
                <w:trHeight w:val="285"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项目名称</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2021</w:t>
                  </w:r>
                  <w:r>
                    <w:rPr>
                      <w:rFonts w:hint="eastAsia" w:ascii="仿宋_GB2312" w:hAnsi="宋体" w:eastAsia="仿宋_GB2312" w:cs="宋体"/>
                      <w:b/>
                      <w:kern w:val="0"/>
                      <w:sz w:val="24"/>
                      <w:szCs w:val="24"/>
                    </w:rPr>
                    <w:t>年度预算</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2022</w:t>
                  </w:r>
                  <w:r>
                    <w:rPr>
                      <w:rFonts w:hint="eastAsia" w:ascii="仿宋_GB2312" w:hAnsi="宋体" w:eastAsia="仿宋_GB2312" w:cs="宋体"/>
                      <w:b/>
                      <w:kern w:val="0"/>
                      <w:sz w:val="24"/>
                      <w:szCs w:val="24"/>
                    </w:rPr>
                    <w:t>年度预算</w:t>
                  </w:r>
                </w:p>
              </w:tc>
              <w:tc>
                <w:tcPr>
                  <w:tcW w:w="941"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增减金额</w:t>
                  </w:r>
                </w:p>
              </w:tc>
              <w:tc>
                <w:tcPr>
                  <w:tcW w:w="2397"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变化原因</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因公出国经费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公务用车购置经费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570"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公务用车运行经费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85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公务接待费支出</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1140"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合计</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941"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left"/>
                    <w:rPr>
                      <w:rFonts w:ascii="宋体" w:hAnsi="宋体" w:cs="宋体"/>
                      <w:kern w:val="0"/>
                      <w:sz w:val="24"/>
                      <w:szCs w:val="24"/>
                    </w:rPr>
                  </w:pPr>
                </w:p>
              </w:tc>
            </w:tr>
          </w:tbl>
          <w:p>
            <w:pPr>
              <w:widowControl/>
              <w:spacing w:line="520" w:lineRule="exact"/>
              <w:ind w:right="480"/>
              <w:rPr>
                <w:rFonts w:ascii="仿宋" w:hAnsi="仿宋" w:eastAsia="仿宋" w:cs="宋体"/>
                <w:kern w:val="0"/>
                <w:sz w:val="24"/>
                <w:szCs w:val="24"/>
              </w:rPr>
            </w:pPr>
          </w:p>
        </w:tc>
      </w:tr>
    </w:tbl>
    <w:p>
      <w:pPr>
        <w:spacing w:line="360" w:lineRule="auto"/>
        <w:rPr>
          <w:rFonts w:ascii="黑体" w:hAnsi="黑体" w:eastAsia="黑体" w:cs="Times New Roman"/>
          <w:sz w:val="32"/>
          <w:szCs w:val="32"/>
        </w:rPr>
      </w:pPr>
    </w:p>
    <w:p>
      <w:pPr>
        <w:spacing w:line="360" w:lineRule="auto"/>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第五部分：预算绩效信息</w:t>
      </w:r>
    </w:p>
    <w:p>
      <w:pPr>
        <w:spacing w:line="360" w:lineRule="auto"/>
        <w:jc w:val="center"/>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单位整体</w:t>
      </w:r>
      <w:r>
        <w:rPr>
          <w:rFonts w:ascii="方正小标宋_GBK" w:eastAsia="方正小标宋_GBK"/>
          <w:sz w:val="44"/>
        </w:rPr>
        <w:t>绩效目标</w:t>
      </w:r>
    </w:p>
    <w:p>
      <w:pPr>
        <w:spacing w:beforeLines="50" w:afterLines="50"/>
        <w:ind w:firstLine="560" w:firstLineChars="200"/>
        <w:jc w:val="left"/>
        <w:outlineLvl w:val="1"/>
        <w:rPr>
          <w:rFonts w:ascii="Times New Roman" w:hAnsi="宋体" w:eastAsia="宋体"/>
          <w:sz w:val="28"/>
        </w:rPr>
      </w:pPr>
      <w:r>
        <w:rPr>
          <w:rFonts w:hint="eastAsia" w:ascii="方正黑体_GBK" w:eastAsia="方正黑体_GBK"/>
          <w:sz w:val="28"/>
        </w:rPr>
        <w:t>一、总体绩效目标</w:t>
      </w:r>
      <w:r>
        <w:rPr>
          <w:rFonts w:ascii="方正黑体_GBK" w:eastAsia="方正黑体_GBK"/>
          <w:sz w:val="28"/>
        </w:rPr>
        <w:fldChar w:fldCharType="begin"/>
      </w:r>
      <w:r>
        <w:rPr>
          <w:rFonts w:hint="eastAsia" w:ascii="方正黑体_GBK" w:eastAsia="方正黑体_GBK"/>
          <w:sz w:val="28"/>
        </w:rPr>
        <w:instrText xml:space="preserve">TC 总体绩效目标 \f A \l 1</w:instrText>
      </w:r>
      <w:r>
        <w:rPr>
          <w:rFonts w:ascii="方正黑体_GBK" w:eastAsia="方正黑体_GBK"/>
          <w:sz w:val="28"/>
        </w:rPr>
        <w:fldChar w:fldCharType="end"/>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以习近平新时代中国特色社会主义思想为指导，全面贯彻落实党的十九届二中、三中、四中全会以及中央经济工作会议精神，深入落实习近平总书记、省、市、区对政府乡村工作的重要精神，主动适应新形势、新任务、新要求，不断增强做好工作的责任感和使命感，全面提升</w:t>
      </w:r>
      <w:r>
        <w:rPr>
          <w:rFonts w:ascii="Times New Roman" w:eastAsia="方正仿宋_GBK"/>
          <w:sz w:val="28"/>
        </w:rPr>
        <w:t>“</w:t>
      </w:r>
      <w:r>
        <w:rPr>
          <w:rFonts w:hint="eastAsia" w:ascii="Times New Roman" w:hAnsi="微软雅黑" w:eastAsia="方正仿宋_GBK" w:cs="微软雅黑"/>
          <w:sz w:val="28"/>
        </w:rPr>
        <w:t>四个服务</w:t>
      </w:r>
      <w:r>
        <w:rPr>
          <w:rFonts w:ascii="Times New Roman" w:eastAsia="方正仿宋_GBK"/>
          <w:sz w:val="28"/>
        </w:rPr>
        <w:t>”</w:t>
      </w:r>
      <w:r>
        <w:rPr>
          <w:rFonts w:hint="eastAsia" w:ascii="Times New Roman" w:hAnsi="微软雅黑" w:eastAsia="方正仿宋_GBK" w:cs="微软雅黑"/>
          <w:sz w:val="28"/>
        </w:rPr>
        <w:t>能力和水平，提高政务服务与管理水平，站位全局谋划工作，精准高效提供服务。加强党的基层组织建设，增强为民服务能力水平，民主表决，科学决策，坚持以人为本，把维护群众利益、改善民生作为工作的着力点。制定、落实乡经济发展规划；组织实施社会主义法制与民主教育；维护社会秩序稳定；加强公共设施建设和管理，保护、改善生态和群众生活环境。健全机制推动落实，担当作为锤炼作风，全力攻坚克难，全面提高乡镇工作制度化、规范化水平，加强体制机制建设，改进运转保障工作，确保乡政府运转通畅、高效快捷努力开创工作新局面。</w:t>
      </w:r>
    </w:p>
    <w:p/>
    <w:p>
      <w:pPr>
        <w:jc w:val="center"/>
        <w:outlineLvl w:val="0"/>
        <w:rPr>
          <w:rFonts w:ascii="方正小标宋_GBK" w:eastAsia="方正小标宋_GBK"/>
          <w:sz w:val="44"/>
        </w:rPr>
      </w:pPr>
      <w:r>
        <w:rPr>
          <w:rFonts w:hint="eastAsia" w:ascii="方正小标宋_GBK" w:eastAsia="方正小标宋_GBK"/>
          <w:sz w:val="44"/>
        </w:rPr>
        <w:t>第六部分：政府采购预算情况</w:t>
      </w:r>
    </w:p>
    <w:p>
      <w:pPr>
        <w:spacing w:line="360" w:lineRule="auto"/>
        <w:ind w:firstLine="640" w:firstLineChars="200"/>
        <w:rPr>
          <w:rFonts w:ascii="仿宋" w:hAnsi="仿宋" w:eastAsia="仿宋"/>
          <w:sz w:val="32"/>
          <w:szCs w:val="32"/>
        </w:rPr>
      </w:pPr>
      <w:r>
        <w:rPr>
          <w:rFonts w:ascii="仿宋" w:hAnsi="仿宋" w:eastAsia="仿宋"/>
          <w:sz w:val="32"/>
          <w:szCs w:val="32"/>
        </w:rPr>
        <w:t>2022年，我单位无政府采购预算，空表列示。</w:t>
      </w:r>
    </w:p>
    <w:p>
      <w:pPr>
        <w:spacing w:line="360" w:lineRule="auto"/>
        <w:rPr>
          <w:rFonts w:ascii="仿宋" w:hAnsi="仿宋" w:eastAsia="仿宋"/>
          <w:sz w:val="32"/>
          <w:szCs w:val="32"/>
        </w:rPr>
      </w:pPr>
      <w:r>
        <w:rPr>
          <w:rFonts w:hint="eastAsia" w:ascii="仿宋" w:hAnsi="仿宋" w:eastAsia="仿宋"/>
          <w:sz w:val="32"/>
          <w:szCs w:val="32"/>
        </w:rPr>
        <w:t xml:space="preserve">    保定市徐水区户木乡人民政府</w:t>
      </w:r>
    </w:p>
    <w:tbl>
      <w:tblPr>
        <w:tblStyle w:val="10"/>
        <w:tblW w:w="1316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1"/>
        <w:gridCol w:w="764"/>
        <w:gridCol w:w="1134"/>
        <w:gridCol w:w="1134"/>
        <w:gridCol w:w="992"/>
        <w:gridCol w:w="851"/>
        <w:gridCol w:w="834"/>
        <w:gridCol w:w="709"/>
        <w:gridCol w:w="992"/>
        <w:gridCol w:w="1134"/>
        <w:gridCol w:w="851"/>
        <w:gridCol w:w="850"/>
        <w:gridCol w:w="851"/>
        <w:gridCol w:w="8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985" w:type="dxa"/>
            <w:gridSpan w:val="2"/>
            <w:vAlign w:val="center"/>
          </w:tcPr>
          <w:p>
            <w:pPr>
              <w:spacing w:line="700" w:lineRule="exact"/>
              <w:jc w:val="center"/>
              <w:rPr>
                <w:rFonts w:ascii="方正书宋_GBK" w:eastAsia="方正书宋_GBK"/>
                <w:b/>
              </w:rPr>
            </w:pPr>
            <w:r>
              <w:rPr>
                <w:rFonts w:hint="eastAsia" w:ascii="宋体" w:hAnsi="宋体" w:cs="宋体"/>
                <w:b/>
              </w:rPr>
              <w:t>政府采购项目来源</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采购物品名称</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政府采购目录序号</w:t>
            </w:r>
          </w:p>
        </w:tc>
        <w:tc>
          <w:tcPr>
            <w:tcW w:w="992" w:type="dxa"/>
            <w:vMerge w:val="restart"/>
            <w:vAlign w:val="center"/>
          </w:tcPr>
          <w:p>
            <w:pPr>
              <w:spacing w:line="700" w:lineRule="exact"/>
              <w:jc w:val="center"/>
              <w:rPr>
                <w:rFonts w:ascii="方正书宋_GBK" w:eastAsia="方正书宋_GBK"/>
                <w:b/>
              </w:rPr>
            </w:pPr>
            <w:r>
              <w:rPr>
                <w:rFonts w:hint="eastAsia" w:ascii="宋体" w:hAnsi="宋体" w:cs="宋体"/>
                <w:b/>
              </w:rPr>
              <w:t>数量单位</w:t>
            </w:r>
          </w:p>
        </w:tc>
        <w:tc>
          <w:tcPr>
            <w:tcW w:w="851" w:type="dxa"/>
            <w:vMerge w:val="restart"/>
            <w:vAlign w:val="center"/>
          </w:tcPr>
          <w:p>
            <w:pPr>
              <w:spacing w:line="700" w:lineRule="exact"/>
              <w:jc w:val="center"/>
              <w:rPr>
                <w:rFonts w:ascii="方正书宋_GBK" w:eastAsia="方正书宋_GBK"/>
                <w:b/>
              </w:rPr>
            </w:pPr>
            <w:r>
              <w:rPr>
                <w:rFonts w:hint="eastAsia" w:ascii="宋体" w:hAnsi="宋体" w:cs="宋体"/>
                <w:b/>
              </w:rPr>
              <w:t>数量</w:t>
            </w:r>
          </w:p>
        </w:tc>
        <w:tc>
          <w:tcPr>
            <w:tcW w:w="834" w:type="dxa"/>
            <w:vMerge w:val="restart"/>
            <w:vAlign w:val="center"/>
          </w:tcPr>
          <w:p>
            <w:pPr>
              <w:spacing w:line="700" w:lineRule="exact"/>
              <w:jc w:val="center"/>
              <w:rPr>
                <w:rFonts w:ascii="方正书宋_GBK" w:eastAsia="方正书宋_GBK"/>
                <w:b/>
              </w:rPr>
            </w:pPr>
            <w:r>
              <w:rPr>
                <w:rFonts w:hint="eastAsia" w:ascii="宋体" w:hAnsi="宋体" w:cs="宋体"/>
                <w:b/>
              </w:rPr>
              <w:t>单价</w:t>
            </w:r>
          </w:p>
        </w:tc>
        <w:tc>
          <w:tcPr>
            <w:tcW w:w="6237" w:type="dxa"/>
            <w:gridSpan w:val="7"/>
            <w:vAlign w:val="center"/>
          </w:tcPr>
          <w:p>
            <w:pPr>
              <w:spacing w:line="700" w:lineRule="exact"/>
              <w:jc w:val="center"/>
              <w:rPr>
                <w:rFonts w:ascii="方正书宋_GBK" w:eastAsia="方正书宋_GBK"/>
                <w:b/>
              </w:rPr>
            </w:pPr>
            <w:r>
              <w:rPr>
                <w:rFonts w:hint="eastAsia" w:ascii="宋体" w:hAnsi="宋体" w:cs="宋体"/>
                <w:b/>
              </w:rPr>
              <w:t>政府采购金额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221" w:type="dxa"/>
            <w:vMerge w:val="restart"/>
            <w:vAlign w:val="center"/>
          </w:tcPr>
          <w:p>
            <w:pPr>
              <w:spacing w:line="700" w:lineRule="exact"/>
              <w:jc w:val="center"/>
              <w:rPr>
                <w:rFonts w:ascii="方正书宋_GBK" w:eastAsia="方正书宋_GBK"/>
                <w:b/>
              </w:rPr>
            </w:pPr>
            <w:r>
              <w:rPr>
                <w:rFonts w:hint="eastAsia" w:ascii="宋体" w:hAnsi="宋体" w:cs="宋体"/>
                <w:b/>
              </w:rPr>
              <w:t>项目名称</w:t>
            </w:r>
          </w:p>
        </w:tc>
        <w:tc>
          <w:tcPr>
            <w:tcW w:w="764" w:type="dxa"/>
            <w:vMerge w:val="restart"/>
            <w:vAlign w:val="center"/>
          </w:tcPr>
          <w:p>
            <w:pPr>
              <w:spacing w:line="700" w:lineRule="exact"/>
              <w:jc w:val="center"/>
              <w:rPr>
                <w:rFonts w:ascii="方正书宋_GBK" w:eastAsia="方正书宋_GBK"/>
                <w:b/>
              </w:rPr>
            </w:pPr>
            <w:r>
              <w:rPr>
                <w:rFonts w:hint="eastAsia" w:ascii="宋体" w:hAnsi="宋体" w:cs="宋体"/>
                <w:b/>
              </w:rPr>
              <w:t>预算资金</w:t>
            </w: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restart"/>
            <w:vAlign w:val="center"/>
          </w:tcPr>
          <w:p>
            <w:pPr>
              <w:spacing w:line="700" w:lineRule="exact"/>
              <w:jc w:val="center"/>
              <w:rPr>
                <w:rFonts w:ascii="方正书宋_GBK" w:eastAsia="方正书宋_GBK"/>
                <w:b/>
              </w:rPr>
            </w:pPr>
            <w:r>
              <w:rPr>
                <w:rFonts w:hint="eastAsia" w:ascii="宋体" w:hAnsi="宋体" w:cs="宋体"/>
                <w:b/>
              </w:rPr>
              <w:t>总计</w:t>
            </w:r>
          </w:p>
        </w:tc>
        <w:tc>
          <w:tcPr>
            <w:tcW w:w="4678" w:type="dxa"/>
            <w:gridSpan w:val="5"/>
            <w:vAlign w:val="center"/>
          </w:tcPr>
          <w:p>
            <w:pPr>
              <w:spacing w:line="700" w:lineRule="exact"/>
              <w:jc w:val="center"/>
              <w:rPr>
                <w:rFonts w:ascii="方正书宋_GBK" w:eastAsia="方正书宋_GBK"/>
                <w:b/>
              </w:rPr>
            </w:pPr>
            <w:r>
              <w:rPr>
                <w:rFonts w:hint="eastAsia" w:ascii="宋体" w:hAnsi="宋体" w:cs="宋体"/>
                <w:b/>
              </w:rPr>
              <w:t>当年单位预算安排资金</w:t>
            </w:r>
          </w:p>
        </w:tc>
        <w:tc>
          <w:tcPr>
            <w:tcW w:w="850" w:type="dxa"/>
            <w:vMerge w:val="restart"/>
            <w:vAlign w:val="center"/>
          </w:tcPr>
          <w:p>
            <w:pPr>
              <w:spacing w:line="700" w:lineRule="exact"/>
              <w:jc w:val="center"/>
              <w:rPr>
                <w:rFonts w:ascii="方正书宋_GBK" w:eastAsia="方正书宋_GBK"/>
                <w:b/>
              </w:rPr>
            </w:pPr>
            <w:r>
              <w:rPr>
                <w:rFonts w:hint="eastAsia" w:ascii="宋体" w:hAnsi="宋体" w:cs="宋体"/>
                <w:b/>
              </w:rPr>
              <w:t>其他渠道资金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221" w:type="dxa"/>
            <w:vMerge w:val="continue"/>
            <w:vAlign w:val="center"/>
          </w:tcPr>
          <w:p>
            <w:pPr>
              <w:spacing w:line="700" w:lineRule="exact"/>
              <w:jc w:val="left"/>
              <w:outlineLvl w:val="0"/>
            </w:pPr>
          </w:p>
        </w:tc>
        <w:tc>
          <w:tcPr>
            <w:tcW w:w="76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continue"/>
            <w:vAlign w:val="center"/>
          </w:tcPr>
          <w:p>
            <w:pPr>
              <w:spacing w:line="700" w:lineRule="exact"/>
              <w:jc w:val="left"/>
              <w:outlineLvl w:val="0"/>
            </w:pPr>
          </w:p>
        </w:tc>
        <w:tc>
          <w:tcPr>
            <w:tcW w:w="992" w:type="dxa"/>
            <w:vAlign w:val="center"/>
          </w:tcPr>
          <w:p>
            <w:pPr>
              <w:spacing w:line="700" w:lineRule="exact"/>
              <w:jc w:val="center"/>
              <w:rPr>
                <w:rFonts w:ascii="方正书宋_GBK" w:eastAsia="方正书宋_GBK"/>
                <w:b/>
              </w:rPr>
            </w:pPr>
            <w:r>
              <w:rPr>
                <w:rFonts w:hint="eastAsia" w:ascii="宋体" w:hAnsi="宋体" w:cs="宋体"/>
                <w:b/>
              </w:rPr>
              <w:t>合计</w:t>
            </w:r>
          </w:p>
        </w:tc>
        <w:tc>
          <w:tcPr>
            <w:tcW w:w="1134" w:type="dxa"/>
            <w:vAlign w:val="center"/>
          </w:tcPr>
          <w:p>
            <w:pPr>
              <w:spacing w:line="700" w:lineRule="exact"/>
              <w:jc w:val="center"/>
              <w:rPr>
                <w:rFonts w:ascii="方正书宋_GBK" w:eastAsia="方正书宋_GBK"/>
                <w:b/>
              </w:rPr>
            </w:pPr>
            <w:r>
              <w:rPr>
                <w:rFonts w:hint="eastAsia" w:ascii="宋体" w:hAnsi="宋体" w:cs="宋体"/>
                <w:b/>
              </w:rPr>
              <w:t>一般公共预算拨款</w:t>
            </w:r>
          </w:p>
        </w:tc>
        <w:tc>
          <w:tcPr>
            <w:tcW w:w="851" w:type="dxa"/>
            <w:vAlign w:val="center"/>
          </w:tcPr>
          <w:p>
            <w:pPr>
              <w:spacing w:line="700" w:lineRule="exact"/>
              <w:jc w:val="center"/>
              <w:rPr>
                <w:rFonts w:ascii="方正书宋_GBK" w:eastAsia="方正书宋_GBK"/>
                <w:b/>
              </w:rPr>
            </w:pPr>
            <w:r>
              <w:rPr>
                <w:rFonts w:hint="eastAsia" w:ascii="宋体" w:hAnsi="宋体" w:cs="宋体"/>
                <w:b/>
              </w:rPr>
              <w:t>基金预算拨款</w:t>
            </w:r>
          </w:p>
        </w:tc>
        <w:tc>
          <w:tcPr>
            <w:tcW w:w="850" w:type="dxa"/>
            <w:vAlign w:val="center"/>
          </w:tcPr>
          <w:p>
            <w:pPr>
              <w:spacing w:line="700" w:lineRule="exact"/>
              <w:jc w:val="center"/>
              <w:rPr>
                <w:rFonts w:ascii="方正书宋_GBK" w:eastAsia="方正书宋_GBK"/>
                <w:b/>
              </w:rPr>
            </w:pPr>
            <w:r>
              <w:rPr>
                <w:rFonts w:hint="eastAsia" w:ascii="宋体" w:hAnsi="宋体" w:cs="宋体"/>
                <w:b/>
              </w:rPr>
              <w:t>财政专户核拨</w:t>
            </w:r>
          </w:p>
        </w:tc>
        <w:tc>
          <w:tcPr>
            <w:tcW w:w="851" w:type="dxa"/>
            <w:vAlign w:val="center"/>
          </w:tcPr>
          <w:p>
            <w:pPr>
              <w:spacing w:line="700" w:lineRule="exact"/>
              <w:jc w:val="center"/>
              <w:rPr>
                <w:rFonts w:ascii="方正书宋_GBK" w:eastAsia="方正书宋_GBK"/>
                <w:b/>
              </w:rPr>
            </w:pPr>
            <w:r>
              <w:rPr>
                <w:rFonts w:hint="eastAsia" w:ascii="宋体" w:hAnsi="宋体" w:cs="宋体"/>
                <w:b/>
              </w:rPr>
              <w:t>其他来源收入</w:t>
            </w:r>
          </w:p>
        </w:tc>
        <w:tc>
          <w:tcPr>
            <w:tcW w:w="850" w:type="dxa"/>
            <w:vMerge w:val="continue"/>
            <w:vAlign w:val="center"/>
          </w:tcPr>
          <w:p>
            <w:pPr>
              <w:spacing w:line="700" w:lineRule="exact"/>
              <w:jc w:val="left"/>
              <w:outlineLvl w:val="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164" w:hRule="atLeast"/>
          <w:jc w:val="center"/>
        </w:trPr>
        <w:tc>
          <w:tcPr>
            <w:tcW w:w="1221" w:type="dxa"/>
            <w:vAlign w:val="center"/>
          </w:tcPr>
          <w:p>
            <w:pPr>
              <w:spacing w:line="700" w:lineRule="exact"/>
              <w:jc w:val="center"/>
              <w:rPr>
                <w:rFonts w:ascii="方正书宋_GBK" w:eastAsia="方正书宋_GBK"/>
                <w:b/>
              </w:rPr>
            </w:pPr>
          </w:p>
        </w:tc>
        <w:tc>
          <w:tcPr>
            <w:tcW w:w="764" w:type="dxa"/>
            <w:vAlign w:val="center"/>
          </w:tcPr>
          <w:p>
            <w:pPr>
              <w:spacing w:line="700" w:lineRule="exact"/>
              <w:jc w:val="righ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992" w:type="dxa"/>
            <w:vAlign w:val="center"/>
          </w:tcPr>
          <w:p>
            <w:pPr>
              <w:spacing w:line="700" w:lineRule="exact"/>
              <w:jc w:val="lef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34" w:type="dxa"/>
            <w:vAlign w:val="center"/>
          </w:tcPr>
          <w:p/>
        </w:tc>
        <w:tc>
          <w:tcPr>
            <w:tcW w:w="709" w:type="dxa"/>
            <w:vAlign w:val="center"/>
          </w:tcPr>
          <w:p>
            <w:pPr>
              <w:spacing w:line="700" w:lineRule="exact"/>
              <w:jc w:val="right"/>
              <w:rPr>
                <w:rFonts w:ascii="方正书宋_GBK" w:eastAsia="方正书宋_GBK"/>
                <w:b/>
              </w:rPr>
            </w:pPr>
          </w:p>
        </w:tc>
        <w:tc>
          <w:tcPr>
            <w:tcW w:w="992" w:type="dxa"/>
            <w:vAlign w:val="center"/>
          </w:tcPr>
          <w:p>
            <w:pPr>
              <w:spacing w:line="700" w:lineRule="exact"/>
              <w:jc w:val="right"/>
              <w:rPr>
                <w:rFonts w:ascii="方正书宋_GBK" w:eastAsia="方正书宋_GBK"/>
                <w:b/>
              </w:rPr>
            </w:pPr>
          </w:p>
        </w:tc>
        <w:tc>
          <w:tcPr>
            <w:tcW w:w="1134"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039" w:hRule="atLeast"/>
          <w:jc w:val="center"/>
        </w:trPr>
        <w:tc>
          <w:tcPr>
            <w:tcW w:w="1221" w:type="dxa"/>
            <w:vAlign w:val="center"/>
          </w:tcPr>
          <w:p>
            <w:pPr>
              <w:spacing w:line="700" w:lineRule="exact"/>
              <w:jc w:val="left"/>
              <w:rPr>
                <w:rFonts w:ascii="方正书宋_GBK" w:eastAsia="方正书宋_GBK"/>
              </w:rPr>
            </w:pPr>
          </w:p>
        </w:tc>
        <w:tc>
          <w:tcPr>
            <w:tcW w:w="764" w:type="dxa"/>
            <w:vAlign w:val="center"/>
          </w:tcPr>
          <w:p>
            <w:pPr>
              <w:spacing w:line="700" w:lineRule="exact"/>
              <w:jc w:val="righ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992" w:type="dxa"/>
            <w:vAlign w:val="center"/>
          </w:tcPr>
          <w:p>
            <w:pPr>
              <w:spacing w:line="700" w:lineRule="exact"/>
              <w:jc w:val="lef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34" w:type="dxa"/>
            <w:vAlign w:val="center"/>
          </w:tcPr>
          <w:p>
            <w:pPr>
              <w:spacing w:line="700" w:lineRule="exact"/>
              <w:jc w:val="right"/>
              <w:rPr>
                <w:rFonts w:ascii="方正书宋_GBK" w:eastAsia="方正书宋_GBK"/>
              </w:rPr>
            </w:pPr>
          </w:p>
        </w:tc>
        <w:tc>
          <w:tcPr>
            <w:tcW w:w="709" w:type="dxa"/>
            <w:vAlign w:val="center"/>
          </w:tcPr>
          <w:p>
            <w:pPr>
              <w:spacing w:line="700" w:lineRule="exact"/>
              <w:jc w:val="right"/>
              <w:rPr>
                <w:rFonts w:ascii="方正书宋_GBK" w:eastAsia="方正书宋_GBK"/>
              </w:rPr>
            </w:pPr>
          </w:p>
        </w:tc>
        <w:tc>
          <w:tcPr>
            <w:tcW w:w="992" w:type="dxa"/>
            <w:vAlign w:val="center"/>
          </w:tcPr>
          <w:p>
            <w:pPr>
              <w:spacing w:line="700" w:lineRule="exact"/>
              <w:jc w:val="right"/>
              <w:rPr>
                <w:rFonts w:ascii="方正书宋_GBK" w:eastAsia="方正书宋_GBK"/>
              </w:rPr>
            </w:pPr>
          </w:p>
        </w:tc>
        <w:tc>
          <w:tcPr>
            <w:tcW w:w="1134"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r>
    </w:tbl>
    <w:p>
      <w:pPr>
        <w:spacing w:line="360" w:lineRule="auto"/>
        <w:rPr>
          <w:rFonts w:ascii="仿宋" w:hAnsi="仿宋" w:eastAsia="仿宋"/>
          <w:sz w:val="32"/>
          <w:szCs w:val="32"/>
        </w:rPr>
        <w:sectPr>
          <w:footerReference r:id="rId3" w:type="default"/>
          <w:pgSz w:w="16838" w:h="11906" w:orient="landscape"/>
          <w:pgMar w:top="1797" w:right="1440" w:bottom="1797" w:left="1440" w:header="851" w:footer="992" w:gutter="0"/>
          <w:cols w:space="425" w:num="1"/>
          <w:docGrid w:type="linesAndChars" w:linePitch="312" w:charSpace="0"/>
        </w:sectPr>
      </w:pPr>
    </w:p>
    <w:p>
      <w:pPr>
        <w:spacing w:line="360" w:lineRule="auto"/>
        <w:rPr>
          <w:rFonts w:ascii="仿宋" w:hAnsi="仿宋" w:eastAsia="仿宋"/>
          <w:sz w:val="32"/>
          <w:szCs w:val="32"/>
        </w:rPr>
      </w:pPr>
    </w:p>
    <w:p>
      <w:pPr>
        <w:jc w:val="center"/>
        <w:outlineLvl w:val="0"/>
        <w:rPr>
          <w:rFonts w:ascii="方正小标宋_GBK" w:eastAsia="方正小标宋_GBK"/>
          <w:sz w:val="44"/>
        </w:rPr>
      </w:pPr>
      <w:r>
        <w:rPr>
          <w:rFonts w:hint="eastAsia" w:ascii="方正小标宋_GBK" w:eastAsia="方正小标宋_GBK"/>
          <w:sz w:val="44"/>
        </w:rPr>
        <w:t>第七部分：国有资产信息</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上年末我单位固定资产总金额0万元（详见下表）。</w:t>
      </w:r>
      <w:r>
        <w:rPr>
          <w:rFonts w:ascii="仿宋" w:hAnsi="仿宋" w:eastAsia="仿宋"/>
          <w:sz w:val="32"/>
          <w:szCs w:val="32"/>
        </w:rPr>
        <w:t>本年度拟购置固定资产总额为</w:t>
      </w:r>
      <w:r>
        <w:rPr>
          <w:rFonts w:hint="eastAsia" w:ascii="仿宋" w:hAnsi="仿宋" w:eastAsia="仿宋"/>
          <w:sz w:val="32"/>
          <w:szCs w:val="32"/>
        </w:rPr>
        <w:t>0</w:t>
      </w:r>
      <w:r>
        <w:rPr>
          <w:rFonts w:ascii="仿宋" w:hAnsi="仿宋" w:eastAsia="仿宋"/>
          <w:sz w:val="32"/>
          <w:szCs w:val="32"/>
        </w:rPr>
        <w:t>万元</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我单位本年度无国有资产购置计划，拟购置金额为</w:t>
      </w:r>
      <w:r>
        <w:rPr>
          <w:rFonts w:ascii="仿宋" w:hAnsi="仿宋" w:eastAsia="仿宋"/>
          <w:sz w:val="32"/>
          <w:szCs w:val="32"/>
        </w:rPr>
        <w:t>0。</w:t>
      </w:r>
    </w:p>
    <w:tbl>
      <w:tblPr>
        <w:tblStyle w:val="10"/>
        <w:tblW w:w="10084" w:type="dxa"/>
        <w:jc w:val="center"/>
        <w:tblInd w:w="0" w:type="dxa"/>
        <w:tblLayout w:type="fixed"/>
        <w:tblCellMar>
          <w:top w:w="0" w:type="dxa"/>
          <w:left w:w="108" w:type="dxa"/>
          <w:bottom w:w="0" w:type="dxa"/>
          <w:right w:w="108" w:type="dxa"/>
        </w:tblCellMar>
      </w:tblPr>
      <w:tblGrid>
        <w:gridCol w:w="4788"/>
        <w:gridCol w:w="1035"/>
        <w:gridCol w:w="4261"/>
      </w:tblGrid>
      <w:tr>
        <w:tblPrEx>
          <w:tblLayout w:type="fixed"/>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vAlign w:val="center"/>
          </w:tcPr>
          <w:p>
            <w:pPr>
              <w:widowControl/>
              <w:jc w:val="center"/>
              <w:rPr>
                <w:rFonts w:ascii="宋体" w:hAnsi="宋体" w:cs="宋体"/>
                <w:kern w:val="0"/>
                <w:sz w:val="28"/>
                <w:szCs w:val="28"/>
              </w:rPr>
            </w:pPr>
            <w:r>
              <w:rPr>
                <w:rFonts w:hint="eastAsia" w:ascii="宋体" w:hAnsi="宋体"/>
                <w:sz w:val="32"/>
                <w:szCs w:val="32"/>
              </w:rPr>
              <w:t>固定资产占用情况表</w:t>
            </w:r>
          </w:p>
        </w:tc>
      </w:tr>
      <w:tr>
        <w:tblPrEx>
          <w:tblLayout w:type="fixed"/>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vAlign w:val="center"/>
          </w:tcPr>
          <w:p>
            <w:pPr>
              <w:widowControl/>
              <w:jc w:val="center"/>
              <w:rPr>
                <w:rFonts w:ascii="仿宋_GB2312" w:hAnsi="仿宋" w:eastAsia="仿宋_GB2312" w:cs="宋体"/>
                <w:kern w:val="0"/>
                <w:sz w:val="28"/>
                <w:szCs w:val="28"/>
              </w:rPr>
            </w:pPr>
            <w:r>
              <w:rPr>
                <w:rFonts w:hint="eastAsia" w:ascii="仿宋_GB2312" w:hAnsi="仿宋" w:eastAsia="仿宋_GB2312" w:cs="宋体"/>
                <w:bCs/>
                <w:kern w:val="0"/>
                <w:sz w:val="28"/>
                <w:szCs w:val="28"/>
              </w:rPr>
              <w:t>截止时间：</w:t>
            </w:r>
            <w:r>
              <w:rPr>
                <w:rFonts w:ascii="仿宋_GB2312" w:hAnsi="仿宋" w:eastAsia="仿宋_GB2312" w:cs="宋体"/>
                <w:bCs/>
                <w:color w:val="FF0000"/>
                <w:kern w:val="0"/>
                <w:sz w:val="28"/>
                <w:szCs w:val="28"/>
              </w:rPr>
              <w:t>2021</w:t>
            </w:r>
            <w:r>
              <w:rPr>
                <w:rFonts w:hint="eastAsia" w:ascii="仿宋_GB2312" w:hAnsi="仿宋" w:eastAsia="仿宋_GB2312" w:cs="宋体"/>
                <w:bCs/>
                <w:color w:val="FF0000"/>
                <w:kern w:val="0"/>
                <w:sz w:val="28"/>
                <w:szCs w:val="28"/>
              </w:rPr>
              <w:t>年12月31日</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项　　目</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数量</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价值（单位：万元）</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固定资产总额</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其中：办公用房（平方米）</w:t>
            </w:r>
          </w:p>
        </w:tc>
        <w:tc>
          <w:tcPr>
            <w:tcW w:w="1035"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2、车辆（台、辆）</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bl>
    <w:p>
      <w:pPr>
        <w:spacing w:line="360" w:lineRule="auto"/>
        <w:rPr>
          <w:rFonts w:ascii="黑体" w:hAnsi="黑体" w:eastAsia="黑体" w:cs="Times New Roman"/>
          <w:sz w:val="32"/>
          <w:szCs w:val="32"/>
        </w:rPr>
      </w:pPr>
    </w:p>
    <w:p>
      <w:pPr>
        <w:jc w:val="center"/>
        <w:outlineLvl w:val="0"/>
        <w:rPr>
          <w:rFonts w:ascii="方正小标宋_GBK" w:eastAsia="方正小标宋_GBK"/>
          <w:sz w:val="44"/>
        </w:rPr>
      </w:pPr>
    </w:p>
    <w:p>
      <w:pPr>
        <w:jc w:val="center"/>
        <w:outlineLvl w:val="0"/>
        <w:rPr>
          <w:rFonts w:ascii="方正小标宋_GBK" w:eastAsia="方正小标宋_GBK"/>
          <w:sz w:val="44"/>
        </w:rPr>
      </w:pPr>
    </w:p>
    <w:p>
      <w:pPr>
        <w:jc w:val="center"/>
        <w:outlineLvl w:val="0"/>
        <w:rPr>
          <w:rFonts w:ascii="方正小标宋_GBK" w:eastAsia="方正小标宋_GBK"/>
          <w:sz w:val="44"/>
        </w:rPr>
      </w:pPr>
      <w:r>
        <w:rPr>
          <w:rFonts w:hint="eastAsia" w:ascii="方正小标宋_GBK" w:eastAsia="方正小标宋_GBK"/>
          <w:sz w:val="44"/>
        </w:rPr>
        <w:t>第八部分：名词解释</w:t>
      </w:r>
    </w:p>
    <w:p>
      <w:pPr>
        <w:spacing w:line="360" w:lineRule="auto"/>
        <w:ind w:firstLine="640" w:firstLineChars="200"/>
        <w:rPr>
          <w:rFonts w:ascii="仿宋" w:hAnsi="仿宋" w:eastAsia="仿宋"/>
          <w:sz w:val="32"/>
          <w:szCs w:val="32"/>
        </w:rPr>
      </w:pPr>
      <w:r>
        <w:rPr>
          <w:rFonts w:ascii="仿宋" w:hAnsi="仿宋" w:eastAsia="仿宋"/>
          <w:sz w:val="32"/>
          <w:szCs w:val="32"/>
        </w:rPr>
        <w:t>1、一般公共预算财政拨款收入：指区级财政当年拨付的资金。</w:t>
      </w:r>
    </w:p>
    <w:p>
      <w:pPr>
        <w:spacing w:line="360" w:lineRule="auto"/>
        <w:ind w:firstLine="640" w:firstLineChars="200"/>
        <w:rPr>
          <w:rFonts w:ascii="仿宋" w:hAnsi="仿宋" w:eastAsia="仿宋"/>
          <w:sz w:val="32"/>
          <w:szCs w:val="32"/>
        </w:rPr>
      </w:pPr>
      <w:r>
        <w:rPr>
          <w:rFonts w:ascii="仿宋" w:hAnsi="仿宋" w:eastAsia="仿宋"/>
          <w:sz w:val="32"/>
          <w:szCs w:val="32"/>
        </w:rPr>
        <w:t>2、其他收入：指除上述“财政拨款收入”、“事业收入”等以外的收入。</w:t>
      </w:r>
    </w:p>
    <w:p>
      <w:pPr>
        <w:spacing w:line="360" w:lineRule="auto"/>
        <w:ind w:firstLine="640" w:firstLineChars="20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pPr>
        <w:spacing w:line="360" w:lineRule="auto"/>
        <w:ind w:firstLine="640" w:firstLineChars="20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pPr>
        <w:spacing w:line="360" w:lineRule="auto"/>
        <w:ind w:firstLine="640" w:firstLineChars="200"/>
        <w:rPr>
          <w:rFonts w:ascii="仿宋" w:hAnsi="仿宋" w:eastAsia="仿宋"/>
          <w:sz w:val="32"/>
          <w:szCs w:val="32"/>
        </w:rPr>
      </w:pPr>
      <w:r>
        <w:rPr>
          <w:rFonts w:ascii="仿宋" w:hAnsi="仿宋" w:eastAsia="仿宋"/>
          <w:sz w:val="32"/>
          <w:szCs w:val="32"/>
        </w:rPr>
        <w:t>5、“三公”经费：纳入区级财政预算管理的“三公”经费，是指区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360" w:lineRule="auto"/>
        <w:ind w:firstLine="640" w:firstLineChars="20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60" w:lineRule="auto"/>
        <w:jc w:val="center"/>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第九部分：其他需说明的事项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我单位无其他需说明的事项。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roma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方正书宋_GBK">
    <w:altName w:val="宋体"/>
    <w:panose1 w:val="00000000000000000000"/>
    <w:charset w:val="86"/>
    <w:family w:val="roman"/>
    <w:pitch w:val="default"/>
    <w:sig w:usb0="00000000" w:usb1="00000000" w:usb2="00000000" w:usb3="00000000" w:csb0="00000000" w:csb1="00000000"/>
  </w:font>
  <w:font w:name="等线 Light">
    <w:panose1 w:val="02010600030101010101"/>
    <w:charset w:val="86"/>
    <w:family w:val="roman"/>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172596"/>
    </w:sdtPr>
    <w:sdtContent>
      <w:p>
        <w:pPr>
          <w:pStyle w:val="3"/>
          <w:jc w:val="center"/>
        </w:pPr>
        <w:r>
          <w:fldChar w:fldCharType="begin"/>
        </w:r>
        <w:r>
          <w:instrText xml:space="preserve">PAGE   \* MERGEFORMAT</w:instrText>
        </w:r>
        <w:r>
          <w:fldChar w:fldCharType="separate"/>
        </w:r>
        <w:r>
          <w:rPr>
            <w:lang w:val="zh-CN"/>
          </w:rPr>
          <w:t>9</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5F1F"/>
    <w:rsid w:val="00004059"/>
    <w:rsid w:val="00013B8A"/>
    <w:rsid w:val="00016725"/>
    <w:rsid w:val="00044FBC"/>
    <w:rsid w:val="00046D81"/>
    <w:rsid w:val="00055F1F"/>
    <w:rsid w:val="000577EF"/>
    <w:rsid w:val="00057F18"/>
    <w:rsid w:val="00070EBE"/>
    <w:rsid w:val="000A445D"/>
    <w:rsid w:val="000C178B"/>
    <w:rsid w:val="000C7BE6"/>
    <w:rsid w:val="00115C60"/>
    <w:rsid w:val="00131DEC"/>
    <w:rsid w:val="00136AB3"/>
    <w:rsid w:val="00146277"/>
    <w:rsid w:val="001462BD"/>
    <w:rsid w:val="00152380"/>
    <w:rsid w:val="00155720"/>
    <w:rsid w:val="001638BE"/>
    <w:rsid w:val="00163DF6"/>
    <w:rsid w:val="00164810"/>
    <w:rsid w:val="00172C7A"/>
    <w:rsid w:val="00181777"/>
    <w:rsid w:val="001B4688"/>
    <w:rsid w:val="001B6235"/>
    <w:rsid w:val="001C13B2"/>
    <w:rsid w:val="001C2890"/>
    <w:rsid w:val="001F4875"/>
    <w:rsid w:val="00201E04"/>
    <w:rsid w:val="00212335"/>
    <w:rsid w:val="002918C6"/>
    <w:rsid w:val="00291EF3"/>
    <w:rsid w:val="00296524"/>
    <w:rsid w:val="002B28EA"/>
    <w:rsid w:val="002E01F6"/>
    <w:rsid w:val="002F1ACB"/>
    <w:rsid w:val="002F530F"/>
    <w:rsid w:val="00305E97"/>
    <w:rsid w:val="00310532"/>
    <w:rsid w:val="0032782B"/>
    <w:rsid w:val="00340B3D"/>
    <w:rsid w:val="0034253A"/>
    <w:rsid w:val="003669CF"/>
    <w:rsid w:val="00367A30"/>
    <w:rsid w:val="003A06D2"/>
    <w:rsid w:val="003A4557"/>
    <w:rsid w:val="003A6366"/>
    <w:rsid w:val="003C2317"/>
    <w:rsid w:val="003C442E"/>
    <w:rsid w:val="003C7D10"/>
    <w:rsid w:val="003D1092"/>
    <w:rsid w:val="003D37CD"/>
    <w:rsid w:val="003E5531"/>
    <w:rsid w:val="003E555C"/>
    <w:rsid w:val="003E6AF3"/>
    <w:rsid w:val="0040243C"/>
    <w:rsid w:val="00406BD1"/>
    <w:rsid w:val="0040714F"/>
    <w:rsid w:val="00426C19"/>
    <w:rsid w:val="00450FD9"/>
    <w:rsid w:val="00453CE0"/>
    <w:rsid w:val="00470736"/>
    <w:rsid w:val="00470BBB"/>
    <w:rsid w:val="00475E62"/>
    <w:rsid w:val="0048611E"/>
    <w:rsid w:val="004A39AC"/>
    <w:rsid w:val="004B6929"/>
    <w:rsid w:val="004E2F43"/>
    <w:rsid w:val="004E3572"/>
    <w:rsid w:val="004F3C52"/>
    <w:rsid w:val="00510A1E"/>
    <w:rsid w:val="005158E2"/>
    <w:rsid w:val="00522F16"/>
    <w:rsid w:val="00524204"/>
    <w:rsid w:val="005416AD"/>
    <w:rsid w:val="00550049"/>
    <w:rsid w:val="00553F7E"/>
    <w:rsid w:val="00570142"/>
    <w:rsid w:val="00586C35"/>
    <w:rsid w:val="005B1B6F"/>
    <w:rsid w:val="005B6CCB"/>
    <w:rsid w:val="005C54AA"/>
    <w:rsid w:val="005C7B89"/>
    <w:rsid w:val="006269FD"/>
    <w:rsid w:val="0062788A"/>
    <w:rsid w:val="00641F8A"/>
    <w:rsid w:val="0066383B"/>
    <w:rsid w:val="006A6FA2"/>
    <w:rsid w:val="006B5117"/>
    <w:rsid w:val="006C62DF"/>
    <w:rsid w:val="006F5104"/>
    <w:rsid w:val="006F6549"/>
    <w:rsid w:val="006F6E44"/>
    <w:rsid w:val="00735B02"/>
    <w:rsid w:val="00754F38"/>
    <w:rsid w:val="007657C8"/>
    <w:rsid w:val="00767A77"/>
    <w:rsid w:val="00771E49"/>
    <w:rsid w:val="00782208"/>
    <w:rsid w:val="00791938"/>
    <w:rsid w:val="007A5999"/>
    <w:rsid w:val="007C7FD7"/>
    <w:rsid w:val="007F3746"/>
    <w:rsid w:val="0080340E"/>
    <w:rsid w:val="00833132"/>
    <w:rsid w:val="00845C67"/>
    <w:rsid w:val="00861CB5"/>
    <w:rsid w:val="0086454E"/>
    <w:rsid w:val="008672EA"/>
    <w:rsid w:val="00891680"/>
    <w:rsid w:val="008A0099"/>
    <w:rsid w:val="008A0B5F"/>
    <w:rsid w:val="008A4DAC"/>
    <w:rsid w:val="008B2954"/>
    <w:rsid w:val="008B5402"/>
    <w:rsid w:val="008D11BC"/>
    <w:rsid w:val="0090527E"/>
    <w:rsid w:val="00905BB7"/>
    <w:rsid w:val="0090620C"/>
    <w:rsid w:val="00912DA4"/>
    <w:rsid w:val="00916B98"/>
    <w:rsid w:val="009302B8"/>
    <w:rsid w:val="00930431"/>
    <w:rsid w:val="009305C6"/>
    <w:rsid w:val="00957C03"/>
    <w:rsid w:val="009752AE"/>
    <w:rsid w:val="00982F3D"/>
    <w:rsid w:val="00983232"/>
    <w:rsid w:val="009A278A"/>
    <w:rsid w:val="009B0E17"/>
    <w:rsid w:val="009B6368"/>
    <w:rsid w:val="009F63C4"/>
    <w:rsid w:val="00A16957"/>
    <w:rsid w:val="00A52947"/>
    <w:rsid w:val="00A6155C"/>
    <w:rsid w:val="00A6716A"/>
    <w:rsid w:val="00A8079E"/>
    <w:rsid w:val="00A90328"/>
    <w:rsid w:val="00A92D66"/>
    <w:rsid w:val="00AA4262"/>
    <w:rsid w:val="00AB5A90"/>
    <w:rsid w:val="00AB7449"/>
    <w:rsid w:val="00AD0028"/>
    <w:rsid w:val="00AE4AA5"/>
    <w:rsid w:val="00AE7FA9"/>
    <w:rsid w:val="00AF3895"/>
    <w:rsid w:val="00B147EB"/>
    <w:rsid w:val="00B22155"/>
    <w:rsid w:val="00B76AA9"/>
    <w:rsid w:val="00B80FAB"/>
    <w:rsid w:val="00B81C88"/>
    <w:rsid w:val="00BA5C83"/>
    <w:rsid w:val="00BB1EF8"/>
    <w:rsid w:val="00BC3428"/>
    <w:rsid w:val="00BC6A7D"/>
    <w:rsid w:val="00BD4829"/>
    <w:rsid w:val="00BD6002"/>
    <w:rsid w:val="00BD719F"/>
    <w:rsid w:val="00BF5442"/>
    <w:rsid w:val="00C177A5"/>
    <w:rsid w:val="00C27EB4"/>
    <w:rsid w:val="00C35FEE"/>
    <w:rsid w:val="00C50535"/>
    <w:rsid w:val="00C52D50"/>
    <w:rsid w:val="00C6153C"/>
    <w:rsid w:val="00C906EF"/>
    <w:rsid w:val="00CC7D74"/>
    <w:rsid w:val="00D02F97"/>
    <w:rsid w:val="00D45530"/>
    <w:rsid w:val="00D45A0E"/>
    <w:rsid w:val="00D45D23"/>
    <w:rsid w:val="00D723D1"/>
    <w:rsid w:val="00D80C60"/>
    <w:rsid w:val="00D8525F"/>
    <w:rsid w:val="00D973F4"/>
    <w:rsid w:val="00DA0C4D"/>
    <w:rsid w:val="00DA5DA7"/>
    <w:rsid w:val="00DE3935"/>
    <w:rsid w:val="00DE45F7"/>
    <w:rsid w:val="00DE6B32"/>
    <w:rsid w:val="00DF26B8"/>
    <w:rsid w:val="00E12C68"/>
    <w:rsid w:val="00E2325B"/>
    <w:rsid w:val="00E24075"/>
    <w:rsid w:val="00E270C9"/>
    <w:rsid w:val="00E35F38"/>
    <w:rsid w:val="00E46F27"/>
    <w:rsid w:val="00E509CC"/>
    <w:rsid w:val="00E56DC0"/>
    <w:rsid w:val="00E71A04"/>
    <w:rsid w:val="00E90DA6"/>
    <w:rsid w:val="00E96342"/>
    <w:rsid w:val="00EA0352"/>
    <w:rsid w:val="00EA2FEA"/>
    <w:rsid w:val="00EA56CB"/>
    <w:rsid w:val="00EA7853"/>
    <w:rsid w:val="00EF2724"/>
    <w:rsid w:val="00F000B1"/>
    <w:rsid w:val="00F012D3"/>
    <w:rsid w:val="00F044C3"/>
    <w:rsid w:val="00F10D04"/>
    <w:rsid w:val="00F169E3"/>
    <w:rsid w:val="00F35D4B"/>
    <w:rsid w:val="00F3746B"/>
    <w:rsid w:val="00F572CB"/>
    <w:rsid w:val="00F621AF"/>
    <w:rsid w:val="00F8024E"/>
    <w:rsid w:val="00F82447"/>
    <w:rsid w:val="00F868E5"/>
    <w:rsid w:val="00FA47EC"/>
    <w:rsid w:val="00FB2F32"/>
    <w:rsid w:val="00FC3191"/>
    <w:rsid w:val="00FD08C0"/>
    <w:rsid w:val="00FE0F1F"/>
    <w:rsid w:val="00FF61F3"/>
    <w:rsid w:val="0A214432"/>
    <w:rsid w:val="0E5363F7"/>
    <w:rsid w:val="27733670"/>
    <w:rsid w:val="5D506E2B"/>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semiHidden="0"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4"/>
    <w:basedOn w:val="1"/>
    <w:next w:val="1"/>
    <w:unhideWhenUsed/>
    <w:qFormat/>
    <w:uiPriority w:val="39"/>
    <w:pPr>
      <w:ind w:left="1260" w:leftChars="600"/>
    </w:pPr>
    <w:rPr>
      <w:rFonts w:ascii="等线" w:hAnsi="等线" w:eastAsia="等线" w:cs="Times New Roman"/>
    </w:rPr>
  </w:style>
  <w:style w:type="paragraph" w:styleId="6">
    <w:name w:val="toc 2"/>
    <w:basedOn w:val="1"/>
    <w:next w:val="1"/>
    <w:unhideWhenUsed/>
    <w:uiPriority w:val="39"/>
    <w:pPr>
      <w:ind w:left="420" w:leftChars="200"/>
    </w:pPr>
    <w:rPr>
      <w:rFonts w:ascii="等线" w:hAnsi="等线" w:eastAsia="等线" w:cs="Times New Roman"/>
    </w:rPr>
  </w:style>
  <w:style w:type="character" w:styleId="8">
    <w:name w:val="page number"/>
    <w:unhideWhenUsed/>
    <w:qFormat/>
    <w:uiPriority w:val="99"/>
  </w:style>
  <w:style w:type="character" w:styleId="9">
    <w:name w:val="Hyperlink"/>
    <w:unhideWhenUsed/>
    <w:qFormat/>
    <w:uiPriority w:val="99"/>
    <w:rPr>
      <w:color w:val="0563C1"/>
      <w:u w:val="single"/>
    </w:rPr>
  </w:style>
  <w:style w:type="character" w:customStyle="1" w:styleId="11">
    <w:name w:val="页眉 Char"/>
    <w:basedOn w:val="7"/>
    <w:link w:val="4"/>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2ABAD0-CB97-473A-A42C-7DAA8AF7864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377</Words>
  <Characters>2152</Characters>
  <Lines>17</Lines>
  <Paragraphs>5</Paragraphs>
  <ScaleCrop>false</ScaleCrop>
  <LinksUpToDate>false</LinksUpToDate>
  <CharactersWithSpaces>2524</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2019-02-15T06:58:00Z</dcterms:created>
  <dc:creator>Windows 用户</dc:creator>
  <cp:lastModifiedBy>lenovo</cp:lastModifiedBy>
  <cp:lastPrinted>2021-04-14T02:06:00Z</cp:lastPrinted>
  <dcterms:modified xsi:type="dcterms:W3CDTF">2026-08-26T06:31:19Z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y fmtid="{D5CDD505-2E9C-101B-9397-08002B2CF9AE}" pid="3" name="ICV">
    <vt:lpwstr>76EAFEA3433E47EF9BBEB116C4FC5C2C</vt:lpwstr>
  </property>
</Properties>
</file>