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eastAsia="宋体"/>
          <w:b/>
          <w:sz w:val="44"/>
          <w:szCs w:val="44"/>
        </w:rPr>
      </w:pPr>
      <w:r>
        <w:rPr>
          <w:rFonts w:hint="eastAsia" w:ascii="宋体" w:hAnsi="宋体" w:eastAsia="宋体"/>
          <w:b/>
          <w:sz w:val="44"/>
          <w:szCs w:val="44"/>
        </w:rPr>
        <w:t>保定市徐水区水利局</w:t>
      </w:r>
    </w:p>
    <w:p>
      <w:pPr>
        <w:spacing w:line="360" w:lineRule="auto"/>
        <w:jc w:val="center"/>
        <w:rPr>
          <w:rFonts w:ascii="宋体" w:hAnsi="宋体" w:eastAsia="宋体"/>
          <w:b/>
          <w:sz w:val="44"/>
          <w:szCs w:val="44"/>
        </w:rPr>
      </w:pPr>
      <w:r>
        <w:rPr>
          <w:rFonts w:ascii="宋体" w:hAnsi="宋体" w:eastAsia="宋体"/>
          <w:b/>
          <w:sz w:val="44"/>
          <w:szCs w:val="44"/>
        </w:rPr>
        <w:t>2019年部门预算公开说明</w:t>
      </w:r>
    </w:p>
    <w:p>
      <w:pPr>
        <w:spacing w:line="360" w:lineRule="auto"/>
        <w:ind w:firstLine="640" w:firstLineChars="200"/>
        <w:rPr>
          <w:rFonts w:ascii="仿宋" w:hAnsi="仿宋" w:eastAsia="仿宋"/>
          <w:sz w:val="32"/>
          <w:szCs w:val="32"/>
        </w:rPr>
      </w:pPr>
    </w:p>
    <w:p>
      <w:pPr>
        <w:spacing w:line="360" w:lineRule="auto"/>
        <w:ind w:firstLine="640" w:firstLineChars="200"/>
        <w:rPr>
          <w:rFonts w:ascii="仿宋" w:hAnsi="仿宋" w:eastAsia="仿宋"/>
          <w:sz w:val="32"/>
          <w:szCs w:val="32"/>
        </w:rPr>
      </w:pPr>
      <w:r>
        <w:rPr>
          <w:rFonts w:hint="eastAsia" w:ascii="仿宋" w:hAnsi="仿宋" w:eastAsia="仿宋"/>
          <w:sz w:val="32"/>
          <w:szCs w:val="32"/>
        </w:rPr>
        <w:t>按照《中华人民共和国预算法》、《地方预决算公开操作规程》等文件规定，现将我部门预算信息公开如下：</w:t>
      </w:r>
    </w:p>
    <w:p>
      <w:pPr>
        <w:spacing w:line="360" w:lineRule="auto"/>
        <w:jc w:val="center"/>
        <w:rPr>
          <w:rFonts w:ascii="黑体" w:hAnsi="黑体" w:eastAsia="黑体" w:cs="Times New Roman"/>
          <w:sz w:val="32"/>
          <w:szCs w:val="32"/>
        </w:rPr>
      </w:pPr>
      <w:r>
        <w:rPr>
          <w:rFonts w:hint="eastAsia" w:ascii="黑体" w:hAnsi="黑体" w:eastAsia="黑体" w:cs="Times New Roman"/>
          <w:sz w:val="32"/>
          <w:szCs w:val="32"/>
        </w:rPr>
        <w:t>第一部分</w:t>
      </w:r>
      <w:r>
        <w:rPr>
          <w:rFonts w:ascii="黑体" w:hAnsi="黑体" w:eastAsia="黑体" w:cs="Times New Roman"/>
          <w:sz w:val="32"/>
          <w:szCs w:val="32"/>
        </w:rPr>
        <w:t>:部门职责及机构设置情况</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一、部门职责</w:t>
      </w:r>
    </w:p>
    <w:p>
      <w:pPr>
        <w:pStyle w:val="10"/>
        <w:widowControl/>
        <w:spacing w:line="600" w:lineRule="exact"/>
        <w:ind w:firstLine="640" w:firstLineChars="200"/>
        <w:jc w:val="both"/>
        <w:rPr>
          <w:rFonts w:ascii="仿宋" w:hAnsi="仿宋" w:eastAsia="仿宋" w:cstheme="minorBidi"/>
          <w:kern w:val="2"/>
          <w:sz w:val="32"/>
          <w:szCs w:val="32"/>
        </w:rPr>
      </w:pPr>
      <w:r>
        <w:rPr>
          <w:rFonts w:hint="eastAsia" w:ascii="仿宋" w:hAnsi="仿宋" w:eastAsia="仿宋" w:cstheme="minorBidi"/>
          <w:kern w:val="2"/>
          <w:sz w:val="32"/>
          <w:szCs w:val="32"/>
        </w:rPr>
        <w:t>根据保定市徐水区人民政府办公室《关于印发徐水县水利局主要职责、内设机构和人员编制规定的通知》（徐政办[2018]67号），现将我部门概况说明如下：</w:t>
      </w:r>
    </w:p>
    <w:p>
      <w:pPr>
        <w:spacing w:line="360" w:lineRule="auto"/>
        <w:ind w:firstLine="640" w:firstLineChars="200"/>
        <w:rPr>
          <w:rFonts w:ascii="仿宋" w:hAnsi="仿宋" w:eastAsia="仿宋"/>
          <w:sz w:val="32"/>
          <w:szCs w:val="32"/>
        </w:rPr>
      </w:pPr>
      <w:r>
        <w:rPr>
          <w:rFonts w:hint="eastAsia" w:ascii="仿宋" w:hAnsi="仿宋" w:eastAsia="仿宋"/>
          <w:sz w:val="32"/>
          <w:szCs w:val="32"/>
        </w:rPr>
        <w:t>1、拟订全区水利工作的方针政策、发展战略、中长期发展规划和年度计划，组织起草有关水事规章制度并监督实施。</w:t>
      </w:r>
    </w:p>
    <w:p>
      <w:pPr>
        <w:spacing w:line="360" w:lineRule="auto"/>
        <w:ind w:firstLine="640" w:firstLineChars="200"/>
        <w:rPr>
          <w:rFonts w:ascii="仿宋" w:hAnsi="仿宋" w:eastAsia="仿宋"/>
          <w:sz w:val="32"/>
          <w:szCs w:val="32"/>
        </w:rPr>
      </w:pPr>
      <w:r>
        <w:rPr>
          <w:rFonts w:hint="eastAsia" w:ascii="仿宋" w:hAnsi="仿宋" w:eastAsia="仿宋"/>
          <w:sz w:val="32"/>
          <w:szCs w:val="32"/>
        </w:rPr>
        <w:t>2、统一管理全区水资源（含空中水、地表水、地下水）。组织拟订水中长期计划、水量分配方案并监督实施；组织有关国民经济总体规划、城市规划及重大建设项目的水资源和防洪论证工作；组织实施取水许可和水资源税改工作。</w:t>
      </w:r>
    </w:p>
    <w:p>
      <w:pPr>
        <w:spacing w:line="360" w:lineRule="auto"/>
        <w:ind w:firstLine="640" w:firstLineChars="200"/>
        <w:rPr>
          <w:rFonts w:ascii="仿宋" w:hAnsi="仿宋" w:eastAsia="仿宋"/>
          <w:sz w:val="32"/>
          <w:szCs w:val="32"/>
        </w:rPr>
      </w:pPr>
      <w:r>
        <w:rPr>
          <w:rFonts w:hint="eastAsia" w:ascii="仿宋" w:hAnsi="仿宋" w:eastAsia="仿宋"/>
          <w:sz w:val="32"/>
          <w:szCs w:val="32"/>
        </w:rPr>
        <w:t>3、拟订全区用水计划和节约用水管理办法，编制节约用水规划，拟订有关标准，组织、指导和监督全区节约用水工作。</w:t>
      </w:r>
    </w:p>
    <w:p>
      <w:pPr>
        <w:spacing w:line="360" w:lineRule="auto"/>
        <w:ind w:firstLine="640" w:firstLineChars="200"/>
        <w:rPr>
          <w:rFonts w:ascii="仿宋" w:hAnsi="仿宋" w:eastAsia="仿宋"/>
          <w:sz w:val="32"/>
          <w:szCs w:val="32"/>
        </w:rPr>
      </w:pPr>
      <w:r>
        <w:rPr>
          <w:rFonts w:hint="eastAsia" w:ascii="仿宋" w:hAnsi="仿宋" w:eastAsia="仿宋"/>
          <w:sz w:val="32"/>
          <w:szCs w:val="32"/>
        </w:rPr>
        <w:t>4、按照国家资源与环境保护有关法律法规和标准，拟订和实施水资源保护规划；配合有关部门水功能区划分和向下不同功能区域排污的控制。</w:t>
      </w:r>
    </w:p>
    <w:p>
      <w:pPr>
        <w:spacing w:line="360" w:lineRule="auto"/>
        <w:ind w:firstLine="640" w:firstLineChars="200"/>
        <w:rPr>
          <w:rFonts w:ascii="仿宋" w:hAnsi="仿宋" w:eastAsia="仿宋"/>
          <w:sz w:val="32"/>
          <w:szCs w:val="32"/>
        </w:rPr>
      </w:pPr>
      <w:r>
        <w:rPr>
          <w:rFonts w:hint="eastAsia" w:ascii="仿宋" w:hAnsi="仿宋" w:eastAsia="仿宋"/>
          <w:sz w:val="32"/>
          <w:szCs w:val="32"/>
        </w:rPr>
        <w:t>5、组织、指导水政监督和水行政执法；协调并仲裁部门间、乡镇间水事纠纷。</w:t>
      </w:r>
    </w:p>
    <w:p>
      <w:pPr>
        <w:spacing w:line="360" w:lineRule="auto"/>
        <w:ind w:firstLine="640" w:firstLineChars="200"/>
        <w:outlineLvl w:val="0"/>
        <w:rPr>
          <w:rFonts w:ascii="仿宋" w:hAnsi="仿宋" w:eastAsia="仿宋"/>
          <w:sz w:val="32"/>
          <w:szCs w:val="32"/>
        </w:rPr>
      </w:pPr>
      <w:r>
        <w:rPr>
          <w:rFonts w:hint="eastAsia" w:ascii="仿宋" w:hAnsi="仿宋" w:eastAsia="仿宋"/>
          <w:sz w:val="32"/>
          <w:szCs w:val="32"/>
        </w:rPr>
        <w:t>6、拟订全区水利行业经济调节措施；对水利资金的使用进行宏观调节；指导水利行业供水、水电及多种经营工作；贯彻执行国家有关水利的资产、价费、信贷、财务等政策，配合有关部门制定本行业政策措施并组织实施，按照国家有关规定监督管理水利系统国家资产。</w:t>
      </w:r>
    </w:p>
    <w:p>
      <w:pPr>
        <w:spacing w:line="360" w:lineRule="auto"/>
        <w:ind w:firstLine="640" w:firstLineChars="200"/>
        <w:outlineLvl w:val="0"/>
        <w:rPr>
          <w:rFonts w:ascii="仿宋" w:hAnsi="仿宋" w:eastAsia="仿宋"/>
          <w:sz w:val="32"/>
          <w:szCs w:val="32"/>
        </w:rPr>
      </w:pPr>
      <w:r>
        <w:rPr>
          <w:rFonts w:hint="eastAsia" w:ascii="仿宋" w:hAnsi="仿宋" w:eastAsia="仿宋"/>
          <w:sz w:val="32"/>
          <w:szCs w:val="32"/>
        </w:rPr>
        <w:t>7、负责全区大中型水利基建项目建议书、可行性报告的立项申请和报批；组织重点水利科学研究和技术推广；主管水利行业技术质量标准和水利工程规程、规范并监督实施。</w:t>
      </w:r>
    </w:p>
    <w:p>
      <w:pPr>
        <w:spacing w:line="360" w:lineRule="auto"/>
        <w:ind w:firstLine="640" w:firstLineChars="200"/>
        <w:outlineLvl w:val="0"/>
        <w:rPr>
          <w:rFonts w:ascii="仿宋" w:hAnsi="仿宋" w:eastAsia="仿宋"/>
          <w:sz w:val="32"/>
          <w:szCs w:val="32"/>
        </w:rPr>
      </w:pPr>
      <w:r>
        <w:rPr>
          <w:rFonts w:hint="eastAsia" w:ascii="仿宋" w:hAnsi="仿宋" w:eastAsia="仿宋"/>
          <w:sz w:val="32"/>
          <w:szCs w:val="32"/>
        </w:rPr>
        <w:t>8、组织、指导全区水利设施、水域的管理与保护；组织指导主要河道、水域的治理和开发，负责全区水利工程建设的行业管理，组织、指导水库、水电站、大坝的安全监督。</w:t>
      </w:r>
    </w:p>
    <w:p>
      <w:pPr>
        <w:spacing w:line="360" w:lineRule="auto"/>
        <w:ind w:firstLine="640" w:firstLineChars="200"/>
        <w:outlineLvl w:val="0"/>
        <w:rPr>
          <w:rFonts w:ascii="仿宋" w:hAnsi="仿宋" w:eastAsia="仿宋"/>
          <w:sz w:val="32"/>
          <w:szCs w:val="32"/>
        </w:rPr>
      </w:pPr>
      <w:r>
        <w:rPr>
          <w:rFonts w:hint="eastAsia" w:ascii="仿宋" w:hAnsi="仿宋" w:eastAsia="仿宋"/>
          <w:sz w:val="32"/>
          <w:szCs w:val="32"/>
        </w:rPr>
        <w:t>9、指导全区农村水利工作；组织协调城乡供水和农村水利社会化服务体系建设。</w:t>
      </w:r>
    </w:p>
    <w:p>
      <w:pPr>
        <w:spacing w:line="360" w:lineRule="auto"/>
        <w:ind w:firstLine="640" w:firstLineChars="200"/>
        <w:outlineLvl w:val="0"/>
        <w:rPr>
          <w:rFonts w:ascii="仿宋" w:hAnsi="仿宋" w:eastAsia="仿宋"/>
          <w:sz w:val="32"/>
          <w:szCs w:val="32"/>
        </w:rPr>
      </w:pPr>
      <w:r>
        <w:rPr>
          <w:rFonts w:hint="eastAsia" w:ascii="仿宋" w:hAnsi="仿宋" w:eastAsia="仿宋"/>
          <w:sz w:val="32"/>
          <w:szCs w:val="32"/>
        </w:rPr>
        <w:t>10、组织全区水土保持工作；研究制定水土保持规划，组织水土流失的监测和综合防治。</w:t>
      </w:r>
    </w:p>
    <w:p>
      <w:pPr>
        <w:spacing w:line="360" w:lineRule="auto"/>
        <w:ind w:firstLine="640" w:firstLineChars="200"/>
        <w:outlineLvl w:val="0"/>
        <w:rPr>
          <w:rFonts w:ascii="仿宋" w:hAnsi="仿宋" w:eastAsia="仿宋"/>
          <w:sz w:val="32"/>
          <w:szCs w:val="32"/>
        </w:rPr>
      </w:pPr>
      <w:r>
        <w:rPr>
          <w:rFonts w:hint="eastAsia" w:ascii="仿宋" w:hAnsi="仿宋" w:eastAsia="仿宋"/>
          <w:sz w:val="32"/>
          <w:szCs w:val="32"/>
        </w:rPr>
        <w:t>11、负责全区水利科技、职工教育及对外技术经济合作与交流。</w:t>
      </w:r>
    </w:p>
    <w:p>
      <w:pPr>
        <w:spacing w:line="360" w:lineRule="auto"/>
        <w:ind w:firstLine="640" w:firstLineChars="200"/>
        <w:outlineLvl w:val="0"/>
        <w:rPr>
          <w:rFonts w:ascii="仿宋" w:hAnsi="仿宋" w:eastAsia="仿宋"/>
          <w:sz w:val="32"/>
          <w:szCs w:val="32"/>
        </w:rPr>
      </w:pPr>
      <w:r>
        <w:rPr>
          <w:rFonts w:hint="eastAsia" w:ascii="仿宋" w:hAnsi="仿宋" w:eastAsia="仿宋"/>
          <w:sz w:val="32"/>
          <w:szCs w:val="32"/>
        </w:rPr>
        <w:t>12、负责管理全区水利科技、职工教育及对外技术经济合作与交流，指导全区水利队伍建设。</w:t>
      </w:r>
    </w:p>
    <w:p>
      <w:pPr>
        <w:spacing w:line="360" w:lineRule="auto"/>
        <w:ind w:firstLine="640" w:firstLineChars="200"/>
        <w:rPr>
          <w:rFonts w:ascii="仿宋" w:hAnsi="仿宋" w:eastAsia="仿宋"/>
          <w:sz w:val="32"/>
          <w:szCs w:val="32"/>
        </w:rPr>
      </w:pPr>
      <w:r>
        <w:rPr>
          <w:rFonts w:hint="eastAsia" w:ascii="仿宋" w:hAnsi="仿宋" w:eastAsia="仿宋"/>
          <w:sz w:val="32"/>
          <w:szCs w:val="32"/>
        </w:rPr>
        <w:t>13、负责主要行洪河道、蓄滞洪区和防洪保护区的洪水影响评价工作；配合全区防汛抗旱工作，对主要河道和重要水利工程实施防汛抗旱调度。</w:t>
      </w:r>
    </w:p>
    <w:p>
      <w:pPr>
        <w:spacing w:line="360" w:lineRule="auto"/>
        <w:ind w:firstLine="640" w:firstLineChars="200"/>
        <w:rPr>
          <w:rFonts w:ascii="仿宋" w:hAnsi="仿宋" w:eastAsia="仿宋"/>
          <w:sz w:val="32"/>
          <w:szCs w:val="32"/>
        </w:rPr>
      </w:pPr>
      <w:r>
        <w:rPr>
          <w:rFonts w:hint="eastAsia" w:ascii="仿宋" w:hAnsi="仿宋" w:eastAsia="仿宋"/>
          <w:sz w:val="32"/>
          <w:szCs w:val="32"/>
        </w:rPr>
        <w:t>14、负责对水库、灌区的统一管理，协调各水库、灌区与有关乡（镇）之间的关系。</w:t>
      </w:r>
    </w:p>
    <w:p>
      <w:pPr>
        <w:spacing w:line="360" w:lineRule="auto"/>
        <w:ind w:firstLine="640" w:firstLineChars="200"/>
        <w:rPr>
          <w:rFonts w:ascii="仿宋" w:hAnsi="仿宋" w:eastAsia="仿宋"/>
          <w:sz w:val="32"/>
          <w:szCs w:val="32"/>
        </w:rPr>
      </w:pPr>
      <w:r>
        <w:rPr>
          <w:rFonts w:hint="eastAsia" w:ascii="仿宋" w:hAnsi="仿宋" w:eastAsia="仿宋"/>
          <w:sz w:val="32"/>
          <w:szCs w:val="32"/>
        </w:rPr>
        <w:t>15、负责全区水库移民工作。</w:t>
      </w:r>
    </w:p>
    <w:p>
      <w:pPr>
        <w:spacing w:line="360" w:lineRule="auto"/>
        <w:ind w:firstLine="640" w:firstLineChars="200"/>
        <w:rPr>
          <w:rFonts w:ascii="仿宋" w:hAnsi="仿宋" w:eastAsia="仿宋"/>
          <w:sz w:val="32"/>
          <w:szCs w:val="32"/>
        </w:rPr>
      </w:pPr>
      <w:r>
        <w:rPr>
          <w:rFonts w:hint="eastAsia" w:ascii="仿宋" w:hAnsi="仿宋" w:eastAsia="仿宋"/>
          <w:sz w:val="32"/>
          <w:szCs w:val="32"/>
        </w:rPr>
        <w:t>16、负责协调全区南水北调配套工程运行管理有关工作。</w:t>
      </w:r>
    </w:p>
    <w:p>
      <w:pPr>
        <w:spacing w:line="360" w:lineRule="auto"/>
        <w:ind w:firstLine="640" w:firstLineChars="200"/>
        <w:rPr>
          <w:rFonts w:ascii="仿宋" w:hAnsi="仿宋" w:eastAsia="仿宋"/>
          <w:sz w:val="32"/>
          <w:szCs w:val="32"/>
        </w:rPr>
      </w:pPr>
      <w:r>
        <w:rPr>
          <w:rFonts w:hint="eastAsia" w:ascii="仿宋" w:hAnsi="仿宋" w:eastAsia="仿宋"/>
          <w:sz w:val="32"/>
          <w:szCs w:val="32"/>
        </w:rPr>
        <w:t>17、承办区政府交办的其他事项。</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二、机构设置</w:t>
      </w:r>
    </w:p>
    <w:tbl>
      <w:tblPr>
        <w:tblStyle w:val="5"/>
        <w:tblW w:w="9796" w:type="dxa"/>
        <w:tblInd w:w="93" w:type="dxa"/>
        <w:tblLayout w:type="autofit"/>
        <w:tblCellMar>
          <w:top w:w="0" w:type="dxa"/>
          <w:left w:w="108" w:type="dxa"/>
          <w:bottom w:w="0" w:type="dxa"/>
          <w:right w:w="108" w:type="dxa"/>
        </w:tblCellMar>
      </w:tblPr>
      <w:tblGrid>
        <w:gridCol w:w="1080"/>
        <w:gridCol w:w="2904"/>
        <w:gridCol w:w="1536"/>
        <w:gridCol w:w="1900"/>
        <w:gridCol w:w="2376"/>
      </w:tblGrid>
      <w:tr>
        <w:tblPrEx>
          <w:tblCellMar>
            <w:top w:w="0" w:type="dxa"/>
            <w:left w:w="108" w:type="dxa"/>
            <w:bottom w:w="0" w:type="dxa"/>
            <w:right w:w="108" w:type="dxa"/>
          </w:tblCellMar>
        </w:tblPrEx>
        <w:trPr>
          <w:trHeight w:val="810" w:hRule="atLeast"/>
        </w:trPr>
        <w:tc>
          <w:tcPr>
            <w:tcW w:w="9796" w:type="dxa"/>
            <w:gridSpan w:val="5"/>
            <w:tcBorders>
              <w:top w:val="nil"/>
              <w:left w:val="nil"/>
              <w:bottom w:val="single" w:color="auto" w:sz="4" w:space="0"/>
              <w:right w:val="nil"/>
            </w:tcBorders>
            <w:shd w:val="clear" w:color="auto" w:fill="auto"/>
            <w:noWrap/>
            <w:vAlign w:val="center"/>
          </w:tcPr>
          <w:p>
            <w:pPr>
              <w:widowControl/>
              <w:jc w:val="center"/>
              <w:rPr>
                <w:rFonts w:ascii="仿宋_GB2312" w:hAnsi="宋体" w:eastAsia="仿宋_GB2312" w:cs="宋体"/>
                <w:color w:val="000000"/>
                <w:kern w:val="0"/>
                <w:sz w:val="28"/>
                <w:szCs w:val="28"/>
              </w:rPr>
            </w:pPr>
            <w:r>
              <w:rPr>
                <w:rFonts w:hint="eastAsia" w:ascii="黑体" w:hAnsi="黑体" w:eastAsia="黑体"/>
                <w:kern w:val="0"/>
                <w:sz w:val="32"/>
                <w:szCs w:val="32"/>
              </w:rPr>
              <w:t>部门机构设置情况</w:t>
            </w:r>
          </w:p>
        </w:tc>
      </w:tr>
      <w:tr>
        <w:tblPrEx>
          <w:tblCellMar>
            <w:top w:w="0" w:type="dxa"/>
            <w:left w:w="108" w:type="dxa"/>
            <w:bottom w:w="0" w:type="dxa"/>
            <w:right w:w="108" w:type="dxa"/>
          </w:tblCellMar>
        </w:tblPrEx>
        <w:trPr>
          <w:trHeight w:val="720" w:hRule="atLeast"/>
        </w:trPr>
        <w:tc>
          <w:tcPr>
            <w:tcW w:w="108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90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单位名称</w:t>
            </w:r>
          </w:p>
        </w:tc>
        <w:tc>
          <w:tcPr>
            <w:tcW w:w="153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单位性质</w:t>
            </w:r>
          </w:p>
        </w:tc>
        <w:tc>
          <w:tcPr>
            <w:tcW w:w="19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单位规格</w:t>
            </w:r>
          </w:p>
        </w:tc>
        <w:tc>
          <w:tcPr>
            <w:tcW w:w="237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经费保障形式</w:t>
            </w:r>
          </w:p>
        </w:tc>
      </w:tr>
      <w:tr>
        <w:tblPrEx>
          <w:tblCellMar>
            <w:top w:w="0" w:type="dxa"/>
            <w:left w:w="108" w:type="dxa"/>
            <w:bottom w:w="0" w:type="dxa"/>
            <w:right w:w="108" w:type="dxa"/>
          </w:tblCellMar>
        </w:tblPrEx>
        <w:trPr>
          <w:trHeight w:val="624" w:hRule="atLeast"/>
        </w:trPr>
        <w:tc>
          <w:tcPr>
            <w:tcW w:w="1080"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color w:val="000000"/>
                <w:kern w:val="0"/>
                <w:sz w:val="28"/>
                <w:szCs w:val="28"/>
              </w:rPr>
            </w:pPr>
          </w:p>
        </w:tc>
        <w:tc>
          <w:tcPr>
            <w:tcW w:w="2904"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color w:val="000000"/>
                <w:kern w:val="0"/>
                <w:sz w:val="28"/>
                <w:szCs w:val="28"/>
              </w:rPr>
            </w:pPr>
          </w:p>
        </w:tc>
        <w:tc>
          <w:tcPr>
            <w:tcW w:w="153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color w:val="000000"/>
                <w:kern w:val="0"/>
                <w:sz w:val="28"/>
                <w:szCs w:val="28"/>
              </w:rPr>
            </w:pPr>
          </w:p>
        </w:tc>
        <w:tc>
          <w:tcPr>
            <w:tcW w:w="1900"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color w:val="000000"/>
                <w:kern w:val="0"/>
                <w:sz w:val="28"/>
                <w:szCs w:val="28"/>
              </w:rPr>
            </w:pPr>
          </w:p>
        </w:tc>
        <w:tc>
          <w:tcPr>
            <w:tcW w:w="237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color w:val="000000"/>
                <w:kern w:val="0"/>
                <w:sz w:val="28"/>
                <w:szCs w:val="28"/>
              </w:rPr>
            </w:pP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1</w:t>
            </w:r>
          </w:p>
        </w:tc>
        <w:tc>
          <w:tcPr>
            <w:tcW w:w="2904" w:type="dxa"/>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保定市徐水区水利局</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行政</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正科级</w:t>
            </w:r>
          </w:p>
        </w:tc>
        <w:tc>
          <w:tcPr>
            <w:tcW w:w="23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财政拨款</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2</w:t>
            </w:r>
          </w:p>
        </w:tc>
        <w:tc>
          <w:tcPr>
            <w:tcW w:w="2904" w:type="dxa"/>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河道工程修建维护管理费征费站</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事业</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股级</w:t>
            </w:r>
          </w:p>
        </w:tc>
        <w:tc>
          <w:tcPr>
            <w:tcW w:w="23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3</w:t>
            </w:r>
          </w:p>
        </w:tc>
        <w:tc>
          <w:tcPr>
            <w:tcW w:w="2904" w:type="dxa"/>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水土保持监督检查站</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事业</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股级</w:t>
            </w:r>
          </w:p>
        </w:tc>
        <w:tc>
          <w:tcPr>
            <w:tcW w:w="2376" w:type="dxa"/>
            <w:tcBorders>
              <w:top w:val="nil"/>
              <w:left w:val="nil"/>
              <w:bottom w:val="single" w:color="auto" w:sz="4" w:space="0"/>
              <w:right w:val="single" w:color="auto" w:sz="4" w:space="0"/>
            </w:tcBorders>
            <w:shd w:val="clear" w:color="auto" w:fill="auto"/>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4</w:t>
            </w:r>
          </w:p>
        </w:tc>
        <w:tc>
          <w:tcPr>
            <w:tcW w:w="2904" w:type="dxa"/>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于庄渠道管理所</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事业</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股级</w:t>
            </w:r>
          </w:p>
        </w:tc>
        <w:tc>
          <w:tcPr>
            <w:tcW w:w="2376" w:type="dxa"/>
            <w:tcBorders>
              <w:top w:val="nil"/>
              <w:left w:val="nil"/>
              <w:bottom w:val="single" w:color="auto" w:sz="4" w:space="0"/>
              <w:right w:val="single" w:color="auto" w:sz="4" w:space="0"/>
            </w:tcBorders>
            <w:shd w:val="clear" w:color="auto" w:fill="auto"/>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5</w:t>
            </w:r>
          </w:p>
        </w:tc>
        <w:tc>
          <w:tcPr>
            <w:tcW w:w="2904" w:type="dxa"/>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迪城扬水机站</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事业</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股级</w:t>
            </w:r>
          </w:p>
        </w:tc>
        <w:tc>
          <w:tcPr>
            <w:tcW w:w="2376" w:type="dxa"/>
            <w:tcBorders>
              <w:top w:val="nil"/>
              <w:left w:val="nil"/>
              <w:bottom w:val="single" w:color="auto" w:sz="4" w:space="0"/>
              <w:right w:val="single" w:color="auto" w:sz="4" w:space="0"/>
            </w:tcBorders>
            <w:shd w:val="clear" w:color="auto" w:fill="auto"/>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6</w:t>
            </w:r>
          </w:p>
        </w:tc>
        <w:tc>
          <w:tcPr>
            <w:tcW w:w="2904" w:type="dxa"/>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陈梁庄扬水机站</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事业</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股级</w:t>
            </w:r>
          </w:p>
        </w:tc>
        <w:tc>
          <w:tcPr>
            <w:tcW w:w="2376" w:type="dxa"/>
            <w:tcBorders>
              <w:top w:val="nil"/>
              <w:left w:val="nil"/>
              <w:bottom w:val="single" w:color="auto" w:sz="4" w:space="0"/>
              <w:right w:val="single" w:color="auto" w:sz="4" w:space="0"/>
            </w:tcBorders>
            <w:shd w:val="clear" w:color="auto" w:fill="auto"/>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7</w:t>
            </w:r>
          </w:p>
        </w:tc>
        <w:tc>
          <w:tcPr>
            <w:tcW w:w="2904" w:type="dxa"/>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中心水利站</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事业</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股级</w:t>
            </w:r>
          </w:p>
        </w:tc>
        <w:tc>
          <w:tcPr>
            <w:tcW w:w="2376" w:type="dxa"/>
            <w:tcBorders>
              <w:top w:val="nil"/>
              <w:left w:val="nil"/>
              <w:bottom w:val="single" w:color="auto" w:sz="4" w:space="0"/>
              <w:right w:val="single" w:color="auto" w:sz="4" w:space="0"/>
            </w:tcBorders>
            <w:shd w:val="clear" w:color="auto" w:fill="auto"/>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8</w:t>
            </w:r>
          </w:p>
        </w:tc>
        <w:tc>
          <w:tcPr>
            <w:tcW w:w="2904" w:type="dxa"/>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县城河道管理所</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事业</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股级</w:t>
            </w:r>
          </w:p>
        </w:tc>
        <w:tc>
          <w:tcPr>
            <w:tcW w:w="2376" w:type="dxa"/>
            <w:tcBorders>
              <w:top w:val="nil"/>
              <w:left w:val="nil"/>
              <w:bottom w:val="single" w:color="auto" w:sz="4" w:space="0"/>
              <w:right w:val="single" w:color="auto" w:sz="4" w:space="0"/>
            </w:tcBorders>
            <w:shd w:val="clear" w:color="auto" w:fill="auto"/>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9</w:t>
            </w:r>
          </w:p>
        </w:tc>
        <w:tc>
          <w:tcPr>
            <w:tcW w:w="2904" w:type="dxa"/>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利民渠道管理所</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事业</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股级</w:t>
            </w:r>
          </w:p>
        </w:tc>
        <w:tc>
          <w:tcPr>
            <w:tcW w:w="2376" w:type="dxa"/>
            <w:tcBorders>
              <w:top w:val="nil"/>
              <w:left w:val="nil"/>
              <w:bottom w:val="single" w:color="auto" w:sz="4" w:space="0"/>
              <w:right w:val="single" w:color="auto" w:sz="4" w:space="0"/>
            </w:tcBorders>
            <w:shd w:val="clear" w:color="auto" w:fill="auto"/>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10</w:t>
            </w:r>
          </w:p>
        </w:tc>
        <w:tc>
          <w:tcPr>
            <w:tcW w:w="2904" w:type="dxa"/>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南留橡胶坝管理所</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事业</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股级</w:t>
            </w:r>
          </w:p>
        </w:tc>
        <w:tc>
          <w:tcPr>
            <w:tcW w:w="2376" w:type="dxa"/>
            <w:tcBorders>
              <w:top w:val="nil"/>
              <w:left w:val="nil"/>
              <w:bottom w:val="single" w:color="auto" w:sz="4" w:space="0"/>
              <w:right w:val="single" w:color="auto" w:sz="4" w:space="0"/>
            </w:tcBorders>
            <w:shd w:val="clear" w:color="auto" w:fill="auto"/>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11</w:t>
            </w:r>
          </w:p>
        </w:tc>
        <w:tc>
          <w:tcPr>
            <w:tcW w:w="2904" w:type="dxa"/>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瀑河水库管理处</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事业</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股级</w:t>
            </w:r>
          </w:p>
        </w:tc>
        <w:tc>
          <w:tcPr>
            <w:tcW w:w="2376" w:type="dxa"/>
            <w:tcBorders>
              <w:top w:val="nil"/>
              <w:left w:val="nil"/>
              <w:bottom w:val="single" w:color="auto" w:sz="4" w:space="0"/>
              <w:right w:val="single" w:color="auto" w:sz="4" w:space="0"/>
            </w:tcBorders>
            <w:shd w:val="clear" w:color="auto" w:fill="auto"/>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12</w:t>
            </w:r>
          </w:p>
        </w:tc>
        <w:tc>
          <w:tcPr>
            <w:tcW w:w="2904" w:type="dxa"/>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大因扬水机站</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事业</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股级</w:t>
            </w:r>
          </w:p>
        </w:tc>
        <w:tc>
          <w:tcPr>
            <w:tcW w:w="2376" w:type="dxa"/>
            <w:tcBorders>
              <w:top w:val="nil"/>
              <w:left w:val="nil"/>
              <w:bottom w:val="single" w:color="auto" w:sz="4" w:space="0"/>
              <w:right w:val="single" w:color="auto" w:sz="4" w:space="0"/>
            </w:tcBorders>
            <w:shd w:val="clear" w:color="auto" w:fill="auto"/>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13</w:t>
            </w:r>
          </w:p>
        </w:tc>
        <w:tc>
          <w:tcPr>
            <w:tcW w:w="2904" w:type="dxa"/>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水政水资源综合管理办公室</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事业</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股级</w:t>
            </w:r>
          </w:p>
        </w:tc>
        <w:tc>
          <w:tcPr>
            <w:tcW w:w="2376" w:type="dxa"/>
            <w:tcBorders>
              <w:top w:val="nil"/>
              <w:left w:val="nil"/>
              <w:bottom w:val="single" w:color="auto" w:sz="4" w:space="0"/>
              <w:right w:val="single" w:color="auto" w:sz="4" w:space="0"/>
            </w:tcBorders>
            <w:shd w:val="clear" w:color="auto" w:fill="auto"/>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14</w:t>
            </w:r>
          </w:p>
        </w:tc>
        <w:tc>
          <w:tcPr>
            <w:tcW w:w="2904" w:type="dxa"/>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盘山渠道管理所</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事业</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股级</w:t>
            </w:r>
          </w:p>
        </w:tc>
        <w:tc>
          <w:tcPr>
            <w:tcW w:w="2376" w:type="dxa"/>
            <w:tcBorders>
              <w:top w:val="nil"/>
              <w:left w:val="nil"/>
              <w:bottom w:val="single" w:color="auto" w:sz="4" w:space="0"/>
              <w:right w:val="single" w:color="auto" w:sz="4" w:space="0"/>
            </w:tcBorders>
            <w:shd w:val="clear" w:color="auto" w:fill="auto"/>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15</w:t>
            </w:r>
          </w:p>
        </w:tc>
        <w:tc>
          <w:tcPr>
            <w:tcW w:w="2904" w:type="dxa"/>
            <w:tcBorders>
              <w:top w:val="nil"/>
              <w:left w:val="nil"/>
              <w:bottom w:val="single" w:color="auto" w:sz="4" w:space="0"/>
              <w:right w:val="single" w:color="auto" w:sz="4" w:space="0"/>
            </w:tcBorders>
            <w:shd w:val="clear" w:color="auto" w:fill="auto"/>
            <w:vAlign w:val="center"/>
          </w:tcPr>
          <w:p>
            <w:pPr>
              <w:widowControl/>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曲水水库管理所</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事业</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股级</w:t>
            </w:r>
          </w:p>
        </w:tc>
        <w:tc>
          <w:tcPr>
            <w:tcW w:w="2376" w:type="dxa"/>
            <w:tcBorders>
              <w:top w:val="nil"/>
              <w:left w:val="nil"/>
              <w:bottom w:val="single" w:color="auto" w:sz="4" w:space="0"/>
              <w:right w:val="single" w:color="auto" w:sz="4" w:space="0"/>
            </w:tcBorders>
            <w:shd w:val="clear" w:color="auto" w:fill="auto"/>
          </w:tcPr>
          <w:p>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财政性资金基本保证</w:t>
            </w:r>
          </w:p>
        </w:tc>
      </w:tr>
    </w:tbl>
    <w:p>
      <w:pPr>
        <w:spacing w:line="360" w:lineRule="auto"/>
        <w:rPr>
          <w:rFonts w:ascii="仿宋" w:hAnsi="仿宋" w:eastAsia="仿宋"/>
          <w:b/>
          <w:sz w:val="32"/>
          <w:szCs w:val="32"/>
        </w:rPr>
      </w:pPr>
    </w:p>
    <w:p>
      <w:pPr>
        <w:spacing w:line="360" w:lineRule="auto"/>
        <w:jc w:val="center"/>
        <w:rPr>
          <w:rFonts w:ascii="黑体" w:hAnsi="黑体" w:eastAsia="黑体" w:cs="Times New Roman"/>
          <w:sz w:val="32"/>
          <w:szCs w:val="32"/>
        </w:rPr>
      </w:pPr>
      <w:r>
        <w:rPr>
          <w:rFonts w:hint="eastAsia" w:ascii="黑体" w:hAnsi="黑体" w:eastAsia="黑体" w:cs="Times New Roman"/>
          <w:sz w:val="32"/>
          <w:szCs w:val="32"/>
        </w:rPr>
        <w:t>第二部分：部门预算安排的总体情况</w:t>
      </w:r>
      <w:r>
        <w:rPr>
          <w:rFonts w:ascii="黑体" w:hAnsi="黑体" w:eastAsia="黑体" w:cs="Times New Roman"/>
          <w:sz w:val="32"/>
          <w:szCs w:val="32"/>
        </w:rPr>
        <w:t xml:space="preserve"> </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按照预算管理有关规定，目前我区部门预算的编制实行综合预算制度，即全部收入和支出都反映</w:t>
      </w:r>
      <w:r>
        <w:rPr>
          <w:rFonts w:ascii="仿宋" w:hAnsi="仿宋" w:eastAsia="仿宋"/>
          <w:sz w:val="32"/>
          <w:szCs w:val="32"/>
        </w:rPr>
        <w:t>在</w:t>
      </w:r>
      <w:r>
        <w:rPr>
          <w:rFonts w:hint="eastAsia" w:ascii="仿宋" w:hAnsi="仿宋" w:eastAsia="仿宋"/>
          <w:sz w:val="32"/>
          <w:szCs w:val="32"/>
        </w:rPr>
        <w:t>预算中。我部门及所属事业单位的收支包含在部门预算中。</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一、收入说明</w:t>
      </w:r>
    </w:p>
    <w:p>
      <w:pPr>
        <w:spacing w:line="360" w:lineRule="auto"/>
        <w:ind w:firstLine="640" w:firstLineChars="200"/>
        <w:rPr>
          <w:rFonts w:ascii="仿宋" w:hAnsi="仿宋" w:eastAsia="仿宋"/>
          <w:sz w:val="32"/>
          <w:szCs w:val="32"/>
        </w:rPr>
      </w:pPr>
      <w:r>
        <w:rPr>
          <w:rFonts w:ascii="仿宋" w:hAnsi="仿宋" w:eastAsia="仿宋"/>
          <w:sz w:val="32"/>
          <w:szCs w:val="32"/>
        </w:rPr>
        <w:t>2019年预算收入为</w:t>
      </w:r>
      <w:r>
        <w:rPr>
          <w:rFonts w:hint="eastAsia" w:ascii="仿宋" w:hAnsi="仿宋" w:eastAsia="仿宋"/>
          <w:sz w:val="32"/>
          <w:szCs w:val="32"/>
        </w:rPr>
        <w:t>5997.57</w:t>
      </w:r>
      <w:r>
        <w:rPr>
          <w:rFonts w:ascii="仿宋" w:hAnsi="仿宋" w:eastAsia="仿宋"/>
          <w:sz w:val="32"/>
          <w:szCs w:val="32"/>
        </w:rPr>
        <w:t>万元,其中：一般公共预算收入</w:t>
      </w:r>
      <w:r>
        <w:rPr>
          <w:rFonts w:hint="eastAsia" w:ascii="仿宋" w:hAnsi="仿宋" w:eastAsia="仿宋"/>
          <w:sz w:val="32"/>
          <w:szCs w:val="32"/>
        </w:rPr>
        <w:t>4661.20</w:t>
      </w:r>
      <w:r>
        <w:rPr>
          <w:rFonts w:ascii="仿宋" w:hAnsi="仿宋" w:eastAsia="仿宋"/>
          <w:sz w:val="32"/>
          <w:szCs w:val="32"/>
        </w:rPr>
        <w:t>万元，基金预算收入</w:t>
      </w:r>
      <w:r>
        <w:rPr>
          <w:rFonts w:hint="eastAsia" w:ascii="仿宋" w:hAnsi="仿宋" w:eastAsia="仿宋"/>
          <w:sz w:val="32"/>
          <w:szCs w:val="32"/>
        </w:rPr>
        <w:t>1336.36</w:t>
      </w:r>
      <w:r>
        <w:rPr>
          <w:rFonts w:ascii="仿宋" w:hAnsi="仿宋" w:eastAsia="仿宋"/>
          <w:sz w:val="32"/>
          <w:szCs w:val="32"/>
        </w:rPr>
        <w:t>万元，财政专户收入</w:t>
      </w:r>
      <w:r>
        <w:rPr>
          <w:rFonts w:hint="eastAsia" w:ascii="仿宋" w:hAnsi="仿宋" w:eastAsia="仿宋"/>
          <w:sz w:val="32"/>
          <w:szCs w:val="32"/>
        </w:rPr>
        <w:t>0</w:t>
      </w:r>
      <w:r>
        <w:rPr>
          <w:rFonts w:ascii="仿宋" w:hAnsi="仿宋" w:eastAsia="仿宋"/>
          <w:sz w:val="32"/>
          <w:szCs w:val="32"/>
        </w:rPr>
        <w:t>万元，其他来源收入</w:t>
      </w:r>
      <w:r>
        <w:rPr>
          <w:rFonts w:hint="eastAsia" w:ascii="仿宋" w:hAnsi="仿宋" w:eastAsia="仿宋"/>
          <w:sz w:val="32"/>
          <w:szCs w:val="32"/>
        </w:rPr>
        <w:t>0</w:t>
      </w:r>
      <w:r>
        <w:rPr>
          <w:rFonts w:ascii="仿宋" w:hAnsi="仿宋" w:eastAsia="仿宋"/>
          <w:sz w:val="32"/>
          <w:szCs w:val="32"/>
        </w:rPr>
        <w:t>万元。</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二、支出说明</w:t>
      </w:r>
    </w:p>
    <w:p>
      <w:pPr>
        <w:spacing w:line="360" w:lineRule="auto"/>
        <w:ind w:firstLine="640" w:firstLineChars="200"/>
        <w:rPr>
          <w:rFonts w:ascii="仿宋" w:hAnsi="仿宋" w:eastAsia="仿宋"/>
          <w:sz w:val="32"/>
          <w:szCs w:val="32"/>
        </w:rPr>
      </w:pPr>
      <w:r>
        <w:rPr>
          <w:rFonts w:ascii="仿宋" w:hAnsi="仿宋" w:eastAsia="仿宋"/>
          <w:sz w:val="32"/>
          <w:szCs w:val="32"/>
        </w:rPr>
        <w:t>2019年部门支出预算：</w:t>
      </w:r>
      <w:r>
        <w:rPr>
          <w:rFonts w:hint="eastAsia" w:ascii="仿宋" w:hAnsi="仿宋" w:eastAsia="仿宋"/>
          <w:sz w:val="32"/>
          <w:szCs w:val="32"/>
        </w:rPr>
        <w:t>5997.57</w:t>
      </w:r>
      <w:r>
        <w:rPr>
          <w:rFonts w:ascii="仿宋" w:hAnsi="仿宋" w:eastAsia="仿宋"/>
          <w:sz w:val="32"/>
          <w:szCs w:val="32"/>
        </w:rPr>
        <w:t>万元</w:t>
      </w:r>
      <w:r>
        <w:rPr>
          <w:rFonts w:hint="eastAsia" w:ascii="仿宋" w:hAnsi="仿宋" w:eastAsia="仿宋"/>
          <w:sz w:val="32"/>
          <w:szCs w:val="32"/>
        </w:rPr>
        <w:t>。</w:t>
      </w:r>
    </w:p>
    <w:p>
      <w:pPr>
        <w:spacing w:line="360" w:lineRule="auto"/>
        <w:ind w:firstLine="640" w:firstLineChars="200"/>
        <w:rPr>
          <w:rFonts w:ascii="仿宋" w:hAnsi="仿宋" w:eastAsia="仿宋"/>
          <w:sz w:val="32"/>
          <w:szCs w:val="32"/>
        </w:rPr>
      </w:pPr>
      <w:r>
        <w:rPr>
          <w:rFonts w:hint="eastAsia" w:ascii="仿宋" w:hAnsi="仿宋" w:eastAsia="仿宋"/>
          <w:sz w:val="32"/>
          <w:szCs w:val="32"/>
        </w:rPr>
        <w:t>基本支出3383.04万元：</w:t>
      </w:r>
    </w:p>
    <w:p>
      <w:pPr>
        <w:spacing w:line="360" w:lineRule="auto"/>
        <w:ind w:firstLine="640" w:firstLineChars="200"/>
        <w:rPr>
          <w:rFonts w:ascii="仿宋" w:hAnsi="仿宋" w:eastAsia="仿宋"/>
          <w:sz w:val="32"/>
          <w:szCs w:val="32"/>
        </w:rPr>
      </w:pPr>
      <w:r>
        <w:rPr>
          <w:rFonts w:ascii="仿宋" w:hAnsi="仿宋" w:eastAsia="仿宋"/>
          <w:sz w:val="32"/>
          <w:szCs w:val="32"/>
        </w:rPr>
        <w:t xml:space="preserve">    其中：人员经费</w:t>
      </w:r>
      <w:r>
        <w:rPr>
          <w:rFonts w:hint="eastAsia" w:ascii="仿宋" w:hAnsi="仿宋" w:eastAsia="仿宋"/>
          <w:sz w:val="32"/>
          <w:szCs w:val="32"/>
        </w:rPr>
        <w:t>3252.32</w:t>
      </w:r>
      <w:r>
        <w:rPr>
          <w:rFonts w:ascii="仿宋" w:hAnsi="仿宋" w:eastAsia="仿宋"/>
          <w:sz w:val="32"/>
          <w:szCs w:val="32"/>
        </w:rPr>
        <w:t>万元</w:t>
      </w:r>
      <w:r>
        <w:rPr>
          <w:rFonts w:hint="eastAsia" w:ascii="仿宋" w:hAnsi="仿宋" w:eastAsia="仿宋"/>
          <w:sz w:val="32"/>
          <w:szCs w:val="32"/>
        </w:rPr>
        <w:t>，</w:t>
      </w:r>
    </w:p>
    <w:p>
      <w:pPr>
        <w:spacing w:line="360" w:lineRule="auto"/>
        <w:ind w:firstLine="640" w:firstLineChars="200"/>
        <w:rPr>
          <w:rFonts w:ascii="仿宋" w:hAnsi="仿宋" w:eastAsia="仿宋"/>
          <w:sz w:val="32"/>
          <w:szCs w:val="32"/>
        </w:rPr>
      </w:pPr>
      <w:r>
        <w:rPr>
          <w:rFonts w:ascii="仿宋" w:hAnsi="仿宋" w:eastAsia="仿宋"/>
          <w:sz w:val="32"/>
          <w:szCs w:val="32"/>
        </w:rPr>
        <w:t xml:space="preserve">          日常公用经费</w:t>
      </w:r>
      <w:r>
        <w:rPr>
          <w:rFonts w:hint="eastAsia" w:ascii="仿宋" w:hAnsi="仿宋" w:eastAsia="仿宋"/>
          <w:sz w:val="32"/>
          <w:szCs w:val="32"/>
        </w:rPr>
        <w:t>130.72</w:t>
      </w:r>
      <w:r>
        <w:rPr>
          <w:rFonts w:ascii="仿宋" w:hAnsi="仿宋" w:eastAsia="仿宋"/>
          <w:sz w:val="32"/>
          <w:szCs w:val="32"/>
        </w:rPr>
        <w:t>万元</w:t>
      </w:r>
      <w:r>
        <w:rPr>
          <w:rFonts w:hint="eastAsia" w:ascii="仿宋" w:hAnsi="仿宋" w:eastAsia="仿宋"/>
          <w:sz w:val="32"/>
          <w:szCs w:val="32"/>
        </w:rPr>
        <w:t>。</w:t>
      </w:r>
    </w:p>
    <w:p>
      <w:pPr>
        <w:spacing w:line="360" w:lineRule="auto"/>
        <w:ind w:firstLine="640" w:firstLineChars="200"/>
        <w:rPr>
          <w:rFonts w:ascii="仿宋" w:hAnsi="仿宋" w:eastAsia="仿宋"/>
          <w:sz w:val="32"/>
          <w:szCs w:val="32"/>
        </w:rPr>
      </w:pPr>
      <w:r>
        <w:rPr>
          <w:rFonts w:hint="eastAsia" w:ascii="仿宋" w:hAnsi="仿宋" w:eastAsia="仿宋"/>
          <w:sz w:val="32"/>
          <w:szCs w:val="32"/>
        </w:rPr>
        <w:t>项目支出2614.53</w:t>
      </w:r>
      <w:r>
        <w:rPr>
          <w:rFonts w:ascii="仿宋" w:hAnsi="仿宋" w:eastAsia="仿宋"/>
          <w:sz w:val="32"/>
          <w:szCs w:val="32"/>
        </w:rPr>
        <w:t>万元</w:t>
      </w:r>
      <w:r>
        <w:rPr>
          <w:rFonts w:hint="eastAsia" w:ascii="仿宋" w:hAnsi="仿宋" w:eastAsia="仿宋"/>
          <w:sz w:val="32"/>
          <w:szCs w:val="32"/>
        </w:rPr>
        <w:t>：</w:t>
      </w:r>
    </w:p>
    <w:p>
      <w:pPr>
        <w:spacing w:line="360" w:lineRule="auto"/>
        <w:ind w:firstLine="640" w:firstLineChars="200"/>
        <w:rPr>
          <w:rFonts w:ascii="仿宋" w:hAnsi="仿宋" w:eastAsia="仿宋"/>
          <w:sz w:val="32"/>
          <w:szCs w:val="32"/>
        </w:rPr>
      </w:pPr>
      <w:r>
        <w:rPr>
          <w:rFonts w:ascii="仿宋" w:hAnsi="仿宋" w:eastAsia="仿宋"/>
          <w:sz w:val="32"/>
          <w:szCs w:val="32"/>
        </w:rPr>
        <w:t xml:space="preserve">    其中：本级支出</w:t>
      </w:r>
      <w:r>
        <w:rPr>
          <w:rFonts w:hint="eastAsia" w:ascii="仿宋" w:hAnsi="仿宋" w:eastAsia="仿宋"/>
          <w:sz w:val="32"/>
          <w:szCs w:val="32"/>
        </w:rPr>
        <w:t>2614.53</w:t>
      </w:r>
      <w:r>
        <w:rPr>
          <w:rFonts w:ascii="仿宋" w:hAnsi="仿宋" w:eastAsia="仿宋"/>
          <w:sz w:val="32"/>
          <w:szCs w:val="32"/>
        </w:rPr>
        <w:t>万元</w:t>
      </w:r>
      <w:r>
        <w:rPr>
          <w:rFonts w:hint="eastAsia" w:ascii="仿宋" w:hAnsi="仿宋" w:eastAsia="仿宋"/>
          <w:sz w:val="32"/>
          <w:szCs w:val="32"/>
        </w:rPr>
        <w:t>。</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三、比上年增减情况</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本年度预算收支安排5997.57万元，较上年增加863.20</w:t>
      </w:r>
      <w:r>
        <w:rPr>
          <w:rFonts w:ascii="仿宋" w:hAnsi="仿宋" w:eastAsia="仿宋"/>
          <w:sz w:val="32"/>
          <w:szCs w:val="32"/>
        </w:rPr>
        <w:t>万元。其中:基本支出增加</w:t>
      </w:r>
      <w:r>
        <w:rPr>
          <w:rFonts w:hint="eastAsia" w:ascii="仿宋" w:hAnsi="仿宋" w:eastAsia="仿宋"/>
          <w:sz w:val="32"/>
          <w:szCs w:val="32"/>
        </w:rPr>
        <w:t>674.76</w:t>
      </w:r>
      <w:r>
        <w:rPr>
          <w:rFonts w:ascii="仿宋" w:hAnsi="仿宋" w:eastAsia="仿宋"/>
          <w:sz w:val="32"/>
          <w:szCs w:val="32"/>
        </w:rPr>
        <w:t>万元，主要原因是</w:t>
      </w:r>
      <w:r>
        <w:rPr>
          <w:rFonts w:hint="eastAsia" w:ascii="仿宋" w:hAnsi="仿宋" w:eastAsia="仿宋"/>
          <w:sz w:val="32"/>
          <w:szCs w:val="32"/>
        </w:rPr>
        <w:t>增加职业年金缴费84.52万元，其他工资福利支出616.09万元</w:t>
      </w:r>
      <w:r>
        <w:rPr>
          <w:rFonts w:ascii="仿宋" w:hAnsi="仿宋" w:eastAsia="仿宋"/>
          <w:sz w:val="32"/>
          <w:szCs w:val="32"/>
        </w:rPr>
        <w:t>；项目支出增加</w:t>
      </w:r>
      <w:r>
        <w:rPr>
          <w:rFonts w:hint="eastAsia" w:ascii="仿宋" w:hAnsi="仿宋" w:eastAsia="仿宋"/>
          <w:sz w:val="32"/>
          <w:szCs w:val="32"/>
        </w:rPr>
        <w:t>188.43</w:t>
      </w:r>
      <w:r>
        <w:rPr>
          <w:rFonts w:ascii="仿宋" w:hAnsi="仿宋" w:eastAsia="仿宋"/>
          <w:sz w:val="32"/>
          <w:szCs w:val="32"/>
        </w:rPr>
        <w:t>万元，主要原因是</w:t>
      </w:r>
      <w:r>
        <w:rPr>
          <w:rFonts w:hint="eastAsia" w:ascii="仿宋" w:hAnsi="仿宋" w:eastAsia="仿宋"/>
          <w:sz w:val="32"/>
          <w:szCs w:val="32"/>
        </w:rPr>
        <w:t>2019年项目较2018年有所增加</w:t>
      </w:r>
      <w:r>
        <w:rPr>
          <w:rFonts w:ascii="仿宋" w:hAnsi="仿宋" w:eastAsia="仿宋"/>
          <w:sz w:val="32"/>
          <w:szCs w:val="32"/>
        </w:rPr>
        <w:t>。</w:t>
      </w:r>
    </w:p>
    <w:p>
      <w:pPr>
        <w:spacing w:line="360" w:lineRule="auto"/>
        <w:ind w:firstLine="640" w:firstLineChars="200"/>
        <w:rPr>
          <w:rFonts w:ascii="仿宋" w:hAnsi="仿宋" w:eastAsia="仿宋"/>
          <w:sz w:val="32"/>
          <w:szCs w:val="32"/>
        </w:rPr>
      </w:pPr>
    </w:p>
    <w:p>
      <w:pPr>
        <w:spacing w:line="360" w:lineRule="auto"/>
        <w:jc w:val="center"/>
        <w:rPr>
          <w:rFonts w:ascii="黑体" w:hAnsi="黑体" w:eastAsia="黑体" w:cs="Times New Roman"/>
          <w:sz w:val="32"/>
          <w:szCs w:val="32"/>
        </w:rPr>
      </w:pPr>
      <w:r>
        <w:rPr>
          <w:rFonts w:hint="eastAsia" w:ascii="黑体" w:hAnsi="黑体" w:eastAsia="黑体" w:cs="Times New Roman"/>
          <w:sz w:val="32"/>
          <w:szCs w:val="32"/>
        </w:rPr>
        <w:t>第三部分：机关运行经费安排情况</w:t>
      </w:r>
    </w:p>
    <w:p>
      <w:pPr>
        <w:spacing w:line="360" w:lineRule="auto"/>
        <w:ind w:firstLine="640" w:firstLineChars="200"/>
        <w:rPr>
          <w:rFonts w:ascii="黑体" w:hAnsi="黑体" w:eastAsia="黑体" w:cs="Times New Roman"/>
          <w:sz w:val="32"/>
          <w:szCs w:val="32"/>
        </w:rPr>
      </w:pPr>
      <w:r>
        <w:rPr>
          <w:rFonts w:ascii="仿宋" w:hAnsi="仿宋" w:eastAsia="仿宋"/>
          <w:sz w:val="32"/>
          <w:szCs w:val="32"/>
        </w:rPr>
        <w:t>2019年我部门机关运行经费安排</w:t>
      </w:r>
      <w:r>
        <w:rPr>
          <w:rFonts w:hint="eastAsia" w:ascii="仿宋" w:hAnsi="仿宋" w:eastAsia="仿宋"/>
          <w:sz w:val="32"/>
          <w:szCs w:val="32"/>
        </w:rPr>
        <w:t>130.72</w:t>
      </w:r>
      <w:r>
        <w:rPr>
          <w:rFonts w:ascii="仿宋" w:hAnsi="仿宋" w:eastAsia="仿宋"/>
          <w:sz w:val="32"/>
          <w:szCs w:val="32"/>
        </w:rPr>
        <w:t>万元，其中办公费</w:t>
      </w:r>
      <w:r>
        <w:rPr>
          <w:rFonts w:hint="eastAsia" w:ascii="仿宋" w:hAnsi="仿宋" w:eastAsia="仿宋"/>
          <w:sz w:val="32"/>
          <w:szCs w:val="32"/>
        </w:rPr>
        <w:t>42.61</w:t>
      </w:r>
      <w:r>
        <w:rPr>
          <w:rFonts w:ascii="仿宋" w:hAnsi="仿宋" w:eastAsia="仿宋"/>
          <w:sz w:val="32"/>
          <w:szCs w:val="32"/>
        </w:rPr>
        <w:t>万元，邮电费</w:t>
      </w:r>
      <w:r>
        <w:rPr>
          <w:rFonts w:hint="eastAsia" w:ascii="仿宋" w:hAnsi="仿宋" w:eastAsia="仿宋"/>
          <w:sz w:val="32"/>
          <w:szCs w:val="32"/>
        </w:rPr>
        <w:t>8.28</w:t>
      </w:r>
      <w:r>
        <w:rPr>
          <w:rFonts w:ascii="仿宋" w:hAnsi="仿宋" w:eastAsia="仿宋"/>
          <w:sz w:val="32"/>
          <w:szCs w:val="32"/>
        </w:rPr>
        <w:t>万元，工会经费、福利费</w:t>
      </w:r>
      <w:r>
        <w:rPr>
          <w:rFonts w:hint="eastAsia" w:ascii="仿宋" w:hAnsi="仿宋" w:eastAsia="仿宋"/>
          <w:sz w:val="32"/>
          <w:szCs w:val="32"/>
        </w:rPr>
        <w:t>49.91</w:t>
      </w:r>
      <w:r>
        <w:rPr>
          <w:rFonts w:ascii="仿宋" w:hAnsi="仿宋" w:eastAsia="仿宋"/>
          <w:sz w:val="32"/>
          <w:szCs w:val="32"/>
        </w:rPr>
        <w:t>万元，公务用车运行维护费</w:t>
      </w:r>
      <w:r>
        <w:rPr>
          <w:rFonts w:hint="eastAsia" w:ascii="仿宋" w:hAnsi="仿宋" w:eastAsia="仿宋"/>
          <w:sz w:val="32"/>
          <w:szCs w:val="32"/>
        </w:rPr>
        <w:t>6</w:t>
      </w:r>
      <w:r>
        <w:rPr>
          <w:rFonts w:ascii="仿宋" w:hAnsi="仿宋" w:eastAsia="仿宋"/>
          <w:sz w:val="32"/>
          <w:szCs w:val="32"/>
        </w:rPr>
        <w:t>万元</w:t>
      </w:r>
      <w:r>
        <w:rPr>
          <w:rFonts w:hint="eastAsia" w:ascii="仿宋" w:hAnsi="仿宋" w:eastAsia="仿宋"/>
          <w:sz w:val="32"/>
          <w:szCs w:val="32"/>
        </w:rPr>
        <w:t>，取暖费16.74万元，其他交通费用5.46万元，</w:t>
      </w:r>
      <w:r>
        <w:rPr>
          <w:rFonts w:ascii="仿宋" w:hAnsi="仿宋" w:eastAsia="仿宋"/>
          <w:sz w:val="32"/>
          <w:szCs w:val="32"/>
        </w:rPr>
        <w:t>其他</w:t>
      </w:r>
      <w:r>
        <w:rPr>
          <w:rFonts w:hint="eastAsia" w:ascii="仿宋" w:hAnsi="仿宋" w:eastAsia="仿宋"/>
          <w:sz w:val="32"/>
          <w:szCs w:val="32"/>
        </w:rPr>
        <w:t>商品和服务</w:t>
      </w:r>
      <w:r>
        <w:rPr>
          <w:rFonts w:ascii="仿宋" w:hAnsi="仿宋" w:eastAsia="仿宋"/>
          <w:sz w:val="32"/>
          <w:szCs w:val="32"/>
        </w:rPr>
        <w:t>支出</w:t>
      </w:r>
      <w:r>
        <w:rPr>
          <w:rFonts w:hint="eastAsia" w:ascii="仿宋" w:hAnsi="仿宋" w:eastAsia="仿宋"/>
          <w:sz w:val="32"/>
          <w:szCs w:val="32"/>
        </w:rPr>
        <w:t>1.72</w:t>
      </w:r>
      <w:r>
        <w:rPr>
          <w:rFonts w:ascii="仿宋" w:hAnsi="仿宋" w:eastAsia="仿宋"/>
          <w:sz w:val="32"/>
          <w:szCs w:val="32"/>
        </w:rPr>
        <w:t>万元。</w:t>
      </w:r>
    </w:p>
    <w:p>
      <w:pPr>
        <w:spacing w:line="360" w:lineRule="auto"/>
        <w:jc w:val="center"/>
        <w:rPr>
          <w:rFonts w:ascii="黑体" w:hAnsi="黑体" w:eastAsia="黑体" w:cs="Times New Roman"/>
          <w:sz w:val="32"/>
          <w:szCs w:val="32"/>
        </w:rPr>
      </w:pPr>
    </w:p>
    <w:p>
      <w:pPr>
        <w:spacing w:line="360" w:lineRule="auto"/>
        <w:jc w:val="center"/>
        <w:rPr>
          <w:rFonts w:ascii="黑体" w:hAnsi="黑体" w:eastAsia="黑体" w:cs="Times New Roman"/>
          <w:sz w:val="32"/>
          <w:szCs w:val="32"/>
        </w:rPr>
      </w:pPr>
      <w:r>
        <w:rPr>
          <w:rFonts w:hint="eastAsia" w:ascii="黑体" w:hAnsi="黑体" w:eastAsia="黑体" w:cs="Times New Roman"/>
          <w:sz w:val="32"/>
          <w:szCs w:val="32"/>
        </w:rPr>
        <w:t>第四部分：财政拨款“三公”经费预算情况及增减变化原因</w:t>
      </w:r>
    </w:p>
    <w:tbl>
      <w:tblPr>
        <w:tblStyle w:val="5"/>
        <w:tblW w:w="5000" w:type="pct"/>
        <w:tblInd w:w="0" w:type="dxa"/>
        <w:tblLayout w:type="autofit"/>
        <w:tblCellMar>
          <w:top w:w="0" w:type="dxa"/>
          <w:left w:w="108" w:type="dxa"/>
          <w:bottom w:w="0" w:type="dxa"/>
          <w:right w:w="108" w:type="dxa"/>
        </w:tblCellMar>
      </w:tblPr>
      <w:tblGrid>
        <w:gridCol w:w="8522"/>
      </w:tblGrid>
      <w:tr>
        <w:tblPrEx>
          <w:tblCellMar>
            <w:top w:w="0" w:type="dxa"/>
            <w:left w:w="108" w:type="dxa"/>
            <w:bottom w:w="0" w:type="dxa"/>
            <w:right w:w="108" w:type="dxa"/>
          </w:tblCellMar>
        </w:tblPrEx>
        <w:trPr>
          <w:trHeight w:val="405" w:hRule="atLeast"/>
        </w:trPr>
        <w:tc>
          <w:tcPr>
            <w:tcW w:w="5000" w:type="pct"/>
            <w:tcBorders>
              <w:top w:val="nil"/>
              <w:left w:val="nil"/>
              <w:bottom w:val="nil"/>
              <w:right w:val="nil"/>
            </w:tcBorders>
            <w:shd w:val="clear" w:color="auto" w:fill="auto"/>
            <w:noWrap/>
            <w:vAlign w:val="center"/>
          </w:tcPr>
          <w:p>
            <w:pPr>
              <w:widowControl/>
              <w:spacing w:line="520" w:lineRule="exact"/>
              <w:rPr>
                <w:rFonts w:ascii="黑体" w:hAnsi="黑体" w:eastAsia="黑体"/>
                <w:sz w:val="32"/>
                <w:szCs w:val="32"/>
              </w:rPr>
            </w:pPr>
          </w:p>
          <w:tbl>
            <w:tblPr>
              <w:tblStyle w:val="5"/>
              <w:tblW w:w="0" w:type="auto"/>
              <w:tblInd w:w="0" w:type="dxa"/>
              <w:tblLayout w:type="autofit"/>
              <w:tblCellMar>
                <w:top w:w="0" w:type="dxa"/>
                <w:left w:w="108" w:type="dxa"/>
                <w:bottom w:w="0" w:type="dxa"/>
                <w:right w:w="108" w:type="dxa"/>
              </w:tblCellMar>
            </w:tblPr>
            <w:tblGrid>
              <w:gridCol w:w="2163"/>
              <w:gridCol w:w="1276"/>
              <w:gridCol w:w="1418"/>
              <w:gridCol w:w="836"/>
              <w:gridCol w:w="2397"/>
            </w:tblGrid>
            <w:tr>
              <w:tblPrEx>
                <w:tblCellMar>
                  <w:top w:w="0" w:type="dxa"/>
                  <w:left w:w="108" w:type="dxa"/>
                  <w:bottom w:w="0" w:type="dxa"/>
                  <w:right w:w="108" w:type="dxa"/>
                </w:tblCellMar>
              </w:tblPrEx>
              <w:trPr>
                <w:trHeight w:val="405" w:hRule="atLeast"/>
              </w:trPr>
              <w:tc>
                <w:tcPr>
                  <w:tcW w:w="8090" w:type="dxa"/>
                  <w:gridSpan w:val="5"/>
                  <w:tcBorders>
                    <w:top w:val="nil"/>
                    <w:left w:val="nil"/>
                    <w:bottom w:val="nil"/>
                    <w:right w:val="nil"/>
                  </w:tcBorders>
                  <w:vAlign w:val="center"/>
                </w:tcPr>
                <w:p>
                  <w:pPr>
                    <w:widowControl/>
                    <w:spacing w:line="520" w:lineRule="exact"/>
                    <w:jc w:val="center"/>
                    <w:rPr>
                      <w:rFonts w:ascii="黑体" w:hAnsi="黑体" w:eastAsia="黑体" w:cs="宋体"/>
                      <w:kern w:val="0"/>
                      <w:sz w:val="32"/>
                      <w:szCs w:val="32"/>
                    </w:rPr>
                  </w:pPr>
                  <w:r>
                    <w:rPr>
                      <w:rFonts w:hint="eastAsia" w:ascii="黑体" w:hAnsi="黑体" w:eastAsia="黑体"/>
                      <w:sz w:val="32"/>
                      <w:szCs w:val="32"/>
                    </w:rPr>
                    <w:t>“三公”经费预算情况及增减变化原因</w:t>
                  </w:r>
                </w:p>
              </w:tc>
            </w:tr>
            <w:tr>
              <w:tblPrEx>
                <w:tblCellMar>
                  <w:top w:w="0" w:type="dxa"/>
                  <w:left w:w="108" w:type="dxa"/>
                  <w:bottom w:w="0" w:type="dxa"/>
                  <w:right w:w="108" w:type="dxa"/>
                </w:tblCellMar>
              </w:tblPrEx>
              <w:trPr>
                <w:trHeight w:val="221" w:hRule="atLeast"/>
              </w:trPr>
              <w:tc>
                <w:tcPr>
                  <w:tcW w:w="2163" w:type="dxa"/>
                  <w:tcBorders>
                    <w:top w:val="nil"/>
                    <w:left w:val="nil"/>
                    <w:bottom w:val="nil"/>
                    <w:right w:val="nil"/>
                  </w:tcBorders>
                  <w:vAlign w:val="center"/>
                </w:tcPr>
                <w:p>
                  <w:pPr>
                    <w:widowControl/>
                    <w:jc w:val="left"/>
                    <w:rPr>
                      <w:rFonts w:ascii="宋体" w:hAnsi="宋体" w:cs="宋体"/>
                      <w:kern w:val="0"/>
                      <w:sz w:val="24"/>
                      <w:szCs w:val="24"/>
                    </w:rPr>
                  </w:pPr>
                </w:p>
              </w:tc>
              <w:tc>
                <w:tcPr>
                  <w:tcW w:w="1276" w:type="dxa"/>
                  <w:tcBorders>
                    <w:top w:val="nil"/>
                    <w:left w:val="nil"/>
                    <w:bottom w:val="nil"/>
                    <w:right w:val="nil"/>
                  </w:tcBorders>
                  <w:vAlign w:val="center"/>
                </w:tcPr>
                <w:p>
                  <w:pPr>
                    <w:widowControl/>
                    <w:jc w:val="left"/>
                    <w:rPr>
                      <w:rFonts w:ascii="宋体" w:hAnsi="宋体" w:cs="宋体"/>
                      <w:kern w:val="0"/>
                      <w:sz w:val="24"/>
                      <w:szCs w:val="24"/>
                    </w:rPr>
                  </w:pPr>
                </w:p>
              </w:tc>
              <w:tc>
                <w:tcPr>
                  <w:tcW w:w="1418" w:type="dxa"/>
                  <w:tcBorders>
                    <w:top w:val="nil"/>
                    <w:left w:val="nil"/>
                    <w:bottom w:val="nil"/>
                    <w:right w:val="nil"/>
                  </w:tcBorders>
                  <w:vAlign w:val="center"/>
                </w:tcPr>
                <w:p>
                  <w:pPr>
                    <w:widowControl/>
                    <w:jc w:val="left"/>
                    <w:rPr>
                      <w:rFonts w:ascii="宋体" w:hAnsi="宋体" w:cs="宋体"/>
                      <w:kern w:val="0"/>
                      <w:sz w:val="24"/>
                      <w:szCs w:val="24"/>
                    </w:rPr>
                  </w:pPr>
                </w:p>
              </w:tc>
              <w:tc>
                <w:tcPr>
                  <w:tcW w:w="836" w:type="dxa"/>
                  <w:tcBorders>
                    <w:top w:val="nil"/>
                    <w:left w:val="nil"/>
                    <w:bottom w:val="nil"/>
                    <w:right w:val="nil"/>
                  </w:tcBorders>
                  <w:vAlign w:val="center"/>
                </w:tcPr>
                <w:p>
                  <w:pPr>
                    <w:widowControl/>
                    <w:jc w:val="left"/>
                    <w:rPr>
                      <w:rFonts w:ascii="宋体" w:hAnsi="宋体" w:cs="宋体"/>
                      <w:kern w:val="0"/>
                      <w:sz w:val="24"/>
                      <w:szCs w:val="24"/>
                    </w:rPr>
                  </w:pPr>
                </w:p>
              </w:tc>
              <w:tc>
                <w:tcPr>
                  <w:tcW w:w="2397" w:type="dxa"/>
                  <w:tcBorders>
                    <w:top w:val="nil"/>
                    <w:left w:val="nil"/>
                    <w:bottom w:val="nil"/>
                    <w:right w:val="nil"/>
                  </w:tcBorders>
                  <w:vAlign w:val="center"/>
                </w:tcPr>
                <w:p>
                  <w:pPr>
                    <w:widowControl/>
                    <w:jc w:val="right"/>
                    <w:rPr>
                      <w:rFonts w:ascii="宋体" w:hAnsi="宋体" w:cs="宋体"/>
                      <w:kern w:val="0"/>
                      <w:sz w:val="24"/>
                      <w:szCs w:val="24"/>
                    </w:rPr>
                  </w:pPr>
                  <w:r>
                    <w:rPr>
                      <w:rFonts w:hint="eastAsia" w:ascii="宋体" w:hAnsi="宋体" w:cs="宋体"/>
                      <w:kern w:val="0"/>
                      <w:sz w:val="24"/>
                      <w:szCs w:val="24"/>
                    </w:rPr>
                    <w:t>单位：万元</w:t>
                  </w:r>
                </w:p>
              </w:tc>
            </w:tr>
            <w:tr>
              <w:tblPrEx>
                <w:tblCellMar>
                  <w:top w:w="0" w:type="dxa"/>
                  <w:left w:w="108" w:type="dxa"/>
                  <w:bottom w:w="0" w:type="dxa"/>
                  <w:right w:w="108" w:type="dxa"/>
                </w:tblCellMar>
              </w:tblPrEx>
              <w:trPr>
                <w:trHeight w:val="285" w:hRule="atLeast"/>
              </w:trPr>
              <w:tc>
                <w:tcPr>
                  <w:tcW w:w="216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项目名称</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2018年度预算</w:t>
                  </w:r>
                </w:p>
              </w:tc>
              <w:tc>
                <w:tcPr>
                  <w:tcW w:w="1418"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2019年度预算</w:t>
                  </w:r>
                </w:p>
              </w:tc>
              <w:tc>
                <w:tcPr>
                  <w:tcW w:w="836"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增减金额</w:t>
                  </w:r>
                </w:p>
              </w:tc>
              <w:tc>
                <w:tcPr>
                  <w:tcW w:w="2397"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变化原因</w:t>
                  </w:r>
                </w:p>
              </w:tc>
            </w:tr>
            <w:tr>
              <w:tblPrEx>
                <w:tblCellMar>
                  <w:top w:w="0" w:type="dxa"/>
                  <w:left w:w="108" w:type="dxa"/>
                  <w:bottom w:w="0" w:type="dxa"/>
                  <w:right w:w="108" w:type="dxa"/>
                </w:tblCellMar>
              </w:tblPrEx>
              <w:trPr>
                <w:trHeight w:val="285" w:hRule="atLeast"/>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因公出国经费</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83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无增减变化</w:t>
                  </w:r>
                </w:p>
              </w:tc>
            </w:tr>
            <w:tr>
              <w:tblPrEx>
                <w:tblCellMar>
                  <w:top w:w="0" w:type="dxa"/>
                  <w:left w:w="108" w:type="dxa"/>
                  <w:bottom w:w="0" w:type="dxa"/>
                  <w:right w:w="108" w:type="dxa"/>
                </w:tblCellMar>
              </w:tblPrEx>
              <w:trPr>
                <w:trHeight w:val="477" w:hRule="atLeast"/>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公务用车购置经费</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83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无增减变化</w:t>
                  </w:r>
                </w:p>
              </w:tc>
            </w:tr>
            <w:tr>
              <w:tblPrEx>
                <w:tblCellMar>
                  <w:top w:w="0" w:type="dxa"/>
                  <w:left w:w="108" w:type="dxa"/>
                  <w:bottom w:w="0" w:type="dxa"/>
                  <w:right w:w="108" w:type="dxa"/>
                </w:tblCellMar>
              </w:tblPrEx>
              <w:trPr>
                <w:trHeight w:val="570" w:hRule="atLeast"/>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公务用车运行经费</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22.8</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22.8</w:t>
                  </w:r>
                </w:p>
              </w:tc>
              <w:tc>
                <w:tcPr>
                  <w:tcW w:w="83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无增减变化</w:t>
                  </w:r>
                </w:p>
              </w:tc>
            </w:tr>
            <w:tr>
              <w:tblPrEx>
                <w:tblCellMar>
                  <w:top w:w="0" w:type="dxa"/>
                  <w:left w:w="108" w:type="dxa"/>
                  <w:bottom w:w="0" w:type="dxa"/>
                  <w:right w:w="108" w:type="dxa"/>
                </w:tblCellMar>
              </w:tblPrEx>
              <w:trPr>
                <w:trHeight w:val="855" w:hRule="atLeast"/>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公务接待费支出</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0.8</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0.8</w:t>
                  </w:r>
                </w:p>
              </w:tc>
              <w:tc>
                <w:tcPr>
                  <w:tcW w:w="83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无增减变化</w:t>
                  </w:r>
                </w:p>
              </w:tc>
            </w:tr>
            <w:tr>
              <w:tblPrEx>
                <w:tblCellMar>
                  <w:top w:w="0" w:type="dxa"/>
                  <w:left w:w="108" w:type="dxa"/>
                  <w:bottom w:w="0" w:type="dxa"/>
                  <w:right w:w="108" w:type="dxa"/>
                </w:tblCellMar>
              </w:tblPrEx>
              <w:trPr>
                <w:trHeight w:val="1140" w:hRule="atLeast"/>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合计</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23.6</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23.6</w:t>
                  </w:r>
                </w:p>
              </w:tc>
              <w:tc>
                <w:tcPr>
                  <w:tcW w:w="83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2019年，我部门针对三公经费支出制定了严格的管理制度，认真执行中央八项规定，厉行节约，杜绝浪费。从总量来讲，我局的三公经费与上年相比无增减变化。</w:t>
                  </w:r>
                </w:p>
              </w:tc>
            </w:tr>
            <w:tr>
              <w:tblPrEx>
                <w:tblCellMar>
                  <w:top w:w="0" w:type="dxa"/>
                  <w:left w:w="108" w:type="dxa"/>
                  <w:bottom w:w="0" w:type="dxa"/>
                  <w:right w:w="108" w:type="dxa"/>
                </w:tblCellMar>
              </w:tblPrEx>
              <w:trPr>
                <w:trHeight w:val="285" w:hRule="atLeast"/>
              </w:trPr>
              <w:tc>
                <w:tcPr>
                  <w:tcW w:w="2163" w:type="dxa"/>
                  <w:tcBorders>
                    <w:top w:val="nil"/>
                    <w:left w:val="nil"/>
                    <w:bottom w:val="nil"/>
                    <w:right w:val="nil"/>
                  </w:tcBorders>
                  <w:vAlign w:val="center"/>
                </w:tcPr>
                <w:p>
                  <w:pPr>
                    <w:widowControl/>
                    <w:jc w:val="left"/>
                    <w:rPr>
                      <w:rFonts w:ascii="宋体" w:hAnsi="宋体" w:cs="宋体"/>
                      <w:kern w:val="0"/>
                      <w:sz w:val="24"/>
                      <w:szCs w:val="24"/>
                    </w:rPr>
                  </w:pPr>
                </w:p>
              </w:tc>
              <w:tc>
                <w:tcPr>
                  <w:tcW w:w="1276" w:type="dxa"/>
                  <w:tcBorders>
                    <w:top w:val="nil"/>
                    <w:left w:val="nil"/>
                    <w:bottom w:val="nil"/>
                    <w:right w:val="nil"/>
                  </w:tcBorders>
                  <w:vAlign w:val="center"/>
                </w:tcPr>
                <w:p>
                  <w:pPr>
                    <w:widowControl/>
                    <w:jc w:val="left"/>
                    <w:rPr>
                      <w:rFonts w:ascii="宋体" w:hAnsi="宋体" w:cs="宋体"/>
                      <w:kern w:val="0"/>
                      <w:sz w:val="24"/>
                      <w:szCs w:val="24"/>
                    </w:rPr>
                  </w:pPr>
                </w:p>
              </w:tc>
              <w:tc>
                <w:tcPr>
                  <w:tcW w:w="1418" w:type="dxa"/>
                  <w:tcBorders>
                    <w:top w:val="nil"/>
                    <w:left w:val="nil"/>
                    <w:bottom w:val="nil"/>
                    <w:right w:val="nil"/>
                  </w:tcBorders>
                  <w:vAlign w:val="center"/>
                </w:tcPr>
                <w:p>
                  <w:pPr>
                    <w:widowControl/>
                    <w:jc w:val="left"/>
                    <w:rPr>
                      <w:rFonts w:ascii="宋体" w:hAnsi="宋体" w:cs="宋体"/>
                      <w:kern w:val="0"/>
                      <w:sz w:val="24"/>
                      <w:szCs w:val="24"/>
                    </w:rPr>
                  </w:pPr>
                </w:p>
              </w:tc>
              <w:tc>
                <w:tcPr>
                  <w:tcW w:w="836" w:type="dxa"/>
                  <w:tcBorders>
                    <w:top w:val="nil"/>
                    <w:left w:val="nil"/>
                    <w:bottom w:val="nil"/>
                    <w:right w:val="nil"/>
                  </w:tcBorders>
                  <w:vAlign w:val="center"/>
                </w:tcPr>
                <w:p>
                  <w:pPr>
                    <w:widowControl/>
                    <w:jc w:val="left"/>
                    <w:rPr>
                      <w:rFonts w:ascii="宋体" w:hAnsi="宋体" w:cs="宋体"/>
                      <w:kern w:val="0"/>
                      <w:sz w:val="24"/>
                      <w:szCs w:val="24"/>
                    </w:rPr>
                  </w:pPr>
                </w:p>
              </w:tc>
              <w:tc>
                <w:tcPr>
                  <w:tcW w:w="2397" w:type="dxa"/>
                  <w:tcBorders>
                    <w:top w:val="nil"/>
                    <w:left w:val="nil"/>
                    <w:bottom w:val="nil"/>
                    <w:right w:val="nil"/>
                  </w:tcBorders>
                  <w:vAlign w:val="center"/>
                </w:tcPr>
                <w:p>
                  <w:pPr>
                    <w:widowControl/>
                    <w:jc w:val="left"/>
                    <w:rPr>
                      <w:rFonts w:ascii="宋体" w:hAnsi="宋体" w:cs="宋体"/>
                      <w:kern w:val="0"/>
                      <w:sz w:val="24"/>
                      <w:szCs w:val="24"/>
                    </w:rPr>
                  </w:pPr>
                </w:p>
              </w:tc>
            </w:tr>
          </w:tbl>
          <w:p>
            <w:pPr>
              <w:widowControl/>
              <w:spacing w:line="520" w:lineRule="exact"/>
              <w:ind w:right="480"/>
              <w:rPr>
                <w:rFonts w:ascii="仿宋" w:hAnsi="仿宋" w:eastAsia="仿宋" w:cs="宋体"/>
                <w:kern w:val="0"/>
                <w:sz w:val="24"/>
                <w:szCs w:val="24"/>
              </w:rPr>
            </w:pPr>
          </w:p>
        </w:tc>
      </w:tr>
    </w:tbl>
    <w:p>
      <w:pPr>
        <w:spacing w:line="360" w:lineRule="auto"/>
        <w:jc w:val="center"/>
        <w:rPr>
          <w:rFonts w:ascii="黑体" w:hAnsi="黑体" w:eastAsia="黑体" w:cs="Times New Roman"/>
          <w:sz w:val="32"/>
          <w:szCs w:val="32"/>
        </w:rPr>
      </w:pPr>
    </w:p>
    <w:p>
      <w:pPr>
        <w:spacing w:line="360" w:lineRule="auto"/>
        <w:jc w:val="center"/>
        <w:rPr>
          <w:rFonts w:ascii="黑体" w:hAnsi="黑体" w:eastAsia="黑体" w:cs="Times New Roman"/>
          <w:sz w:val="32"/>
          <w:szCs w:val="32"/>
        </w:rPr>
      </w:pPr>
      <w:r>
        <w:rPr>
          <w:rFonts w:hint="eastAsia" w:ascii="黑体" w:hAnsi="黑体" w:eastAsia="黑体" w:cs="Times New Roman"/>
          <w:sz w:val="32"/>
          <w:szCs w:val="32"/>
        </w:rPr>
        <w:t>第五部分：绩效预算信息</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一、总体绩效目标：</w:t>
      </w:r>
    </w:p>
    <w:p>
      <w:pPr>
        <w:spacing w:line="500" w:lineRule="exact"/>
        <w:ind w:firstLine="560"/>
        <w:rPr>
          <w:rFonts w:ascii="方正仿宋_GBK" w:eastAsia="方正仿宋_GBK"/>
          <w:sz w:val="28"/>
        </w:rPr>
      </w:pPr>
      <w:r>
        <w:rPr>
          <w:rFonts w:ascii="方正仿宋_GBK" w:eastAsia="方正仿宋_GBK"/>
          <w:sz w:val="28"/>
        </w:rPr>
        <w:t>紧紧围绕全区中心工作和区委重要部署，拟订全区水利工作的方针政策、发展战略、中长期发展规划和年度计划，组织有关国民经济总体规划、城市规划及重大建设项目的水资源和防洪论证工作；指导水政监督和水行政执法；协调并仲裁部门、乡镇间水事纠纷；指导主要河道、水域的治理和开发；负责全区水利工程建设的行业管理，组织、指导水库、水电站、大坝的安全监督；负责全区水利系统水利站、所、坝、渠、水库的检测与维护；对主要河道和重要水利工程实施防汛抗旱调度。</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二、部门职责及工作活动绩效目标指标</w:t>
      </w:r>
    </w:p>
    <w:p>
      <w:pPr>
        <w:spacing w:line="360" w:lineRule="auto"/>
        <w:ind w:firstLine="643" w:firstLineChars="200"/>
        <w:rPr>
          <w:rFonts w:ascii="仿宋" w:hAnsi="仿宋" w:eastAsia="仿宋"/>
          <w:b/>
          <w:sz w:val="32"/>
          <w:szCs w:val="32"/>
        </w:rPr>
      </w:pPr>
    </w:p>
    <w:p>
      <w:pPr>
        <w:spacing w:line="360" w:lineRule="auto"/>
        <w:ind w:firstLine="643" w:firstLineChars="200"/>
        <w:rPr>
          <w:rFonts w:ascii="仿宋" w:hAnsi="仿宋" w:eastAsia="仿宋"/>
          <w:b/>
          <w:sz w:val="32"/>
          <w:szCs w:val="32"/>
        </w:rPr>
      </w:pPr>
    </w:p>
    <w:p>
      <w:pPr>
        <w:spacing w:line="360" w:lineRule="auto"/>
        <w:ind w:firstLine="643" w:firstLineChars="200"/>
        <w:rPr>
          <w:rFonts w:ascii="仿宋" w:hAnsi="仿宋" w:eastAsia="仿宋"/>
          <w:b/>
          <w:sz w:val="32"/>
          <w:szCs w:val="32"/>
        </w:rPr>
      </w:pPr>
    </w:p>
    <w:p>
      <w:pPr>
        <w:spacing w:line="360" w:lineRule="auto"/>
        <w:ind w:firstLine="643" w:firstLineChars="200"/>
        <w:rPr>
          <w:rFonts w:ascii="仿宋" w:hAnsi="仿宋" w:eastAsia="仿宋"/>
          <w:b/>
          <w:sz w:val="32"/>
          <w:szCs w:val="32"/>
        </w:rPr>
      </w:pPr>
    </w:p>
    <w:p>
      <w:pPr>
        <w:spacing w:line="360" w:lineRule="auto"/>
        <w:ind w:firstLine="643" w:firstLineChars="200"/>
        <w:rPr>
          <w:rFonts w:ascii="仿宋" w:hAnsi="仿宋" w:eastAsia="仿宋"/>
          <w:b/>
          <w:sz w:val="32"/>
          <w:szCs w:val="32"/>
        </w:rPr>
      </w:pPr>
    </w:p>
    <w:p>
      <w:pPr>
        <w:spacing w:line="360" w:lineRule="auto"/>
        <w:ind w:firstLine="643" w:firstLineChars="200"/>
        <w:rPr>
          <w:rFonts w:ascii="仿宋" w:hAnsi="仿宋" w:eastAsia="仿宋"/>
          <w:b/>
          <w:sz w:val="32"/>
          <w:szCs w:val="32"/>
        </w:rPr>
      </w:pPr>
    </w:p>
    <w:p>
      <w:pPr>
        <w:spacing w:line="360" w:lineRule="auto"/>
        <w:ind w:firstLine="643" w:firstLineChars="200"/>
        <w:rPr>
          <w:rFonts w:ascii="仿宋" w:hAnsi="仿宋" w:eastAsia="仿宋"/>
          <w:b/>
          <w:sz w:val="32"/>
          <w:szCs w:val="32"/>
        </w:rPr>
      </w:pPr>
    </w:p>
    <w:p>
      <w:pPr>
        <w:spacing w:line="360" w:lineRule="auto"/>
        <w:ind w:firstLine="643" w:firstLineChars="200"/>
        <w:rPr>
          <w:rFonts w:ascii="仿宋" w:hAnsi="仿宋" w:eastAsia="仿宋"/>
          <w:b/>
          <w:sz w:val="32"/>
          <w:szCs w:val="32"/>
        </w:rPr>
      </w:pPr>
    </w:p>
    <w:p>
      <w:pPr>
        <w:spacing w:line="360" w:lineRule="auto"/>
        <w:ind w:firstLine="643" w:firstLineChars="200"/>
        <w:rPr>
          <w:rFonts w:ascii="仿宋" w:hAnsi="仿宋" w:eastAsia="仿宋"/>
          <w:b/>
          <w:sz w:val="32"/>
          <w:szCs w:val="32"/>
        </w:rPr>
      </w:pPr>
    </w:p>
    <w:p>
      <w:pPr>
        <w:spacing w:line="360" w:lineRule="auto"/>
        <w:ind w:firstLine="643" w:firstLineChars="200"/>
        <w:rPr>
          <w:rFonts w:ascii="仿宋" w:hAnsi="仿宋" w:eastAsia="仿宋"/>
          <w:b/>
          <w:sz w:val="32"/>
          <w:szCs w:val="32"/>
        </w:rPr>
      </w:pPr>
    </w:p>
    <w:p>
      <w:pPr>
        <w:spacing w:line="360" w:lineRule="auto"/>
        <w:ind w:firstLine="643" w:firstLineChars="200"/>
        <w:rPr>
          <w:rFonts w:ascii="仿宋" w:hAnsi="仿宋" w:eastAsia="仿宋"/>
          <w:b/>
          <w:sz w:val="32"/>
          <w:szCs w:val="32"/>
        </w:rPr>
      </w:pPr>
    </w:p>
    <w:p>
      <w:pPr>
        <w:spacing w:line="360" w:lineRule="auto"/>
        <w:ind w:firstLine="643" w:firstLineChars="200"/>
        <w:rPr>
          <w:rFonts w:ascii="仿宋" w:hAnsi="仿宋" w:eastAsia="仿宋"/>
          <w:b/>
          <w:sz w:val="32"/>
          <w:szCs w:val="32"/>
        </w:rPr>
      </w:pPr>
    </w:p>
    <w:p>
      <w:pPr>
        <w:spacing w:line="360" w:lineRule="auto"/>
        <w:ind w:firstLine="643" w:firstLineChars="200"/>
        <w:rPr>
          <w:rFonts w:ascii="仿宋" w:hAnsi="仿宋" w:eastAsia="仿宋"/>
          <w:b/>
          <w:sz w:val="32"/>
          <w:szCs w:val="32"/>
        </w:rPr>
      </w:pPr>
    </w:p>
    <w:p>
      <w:pPr>
        <w:spacing w:line="360" w:lineRule="auto"/>
        <w:ind w:firstLine="643" w:firstLineChars="200"/>
        <w:rPr>
          <w:rFonts w:ascii="仿宋" w:hAnsi="仿宋" w:eastAsia="仿宋"/>
          <w:b/>
          <w:sz w:val="32"/>
          <w:szCs w:val="32"/>
        </w:rPr>
      </w:pPr>
    </w:p>
    <w:p>
      <w:pPr>
        <w:spacing w:line="360" w:lineRule="auto"/>
        <w:ind w:firstLine="643" w:firstLineChars="200"/>
        <w:rPr>
          <w:rFonts w:ascii="仿宋" w:hAnsi="仿宋" w:eastAsia="仿宋"/>
          <w:b/>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linePitch="312" w:charSpace="0"/>
        </w:sectPr>
      </w:pPr>
    </w:p>
    <w:tbl>
      <w:tblPr>
        <w:tblStyle w:val="5"/>
        <w:tblW w:w="1393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1"/>
        <w:gridCol w:w="1276"/>
        <w:gridCol w:w="2976"/>
        <w:gridCol w:w="2976"/>
        <w:gridCol w:w="1417"/>
        <w:gridCol w:w="737"/>
        <w:gridCol w:w="737"/>
        <w:gridCol w:w="737"/>
        <w:gridCol w:w="7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986" w:type="dxa"/>
            <w:gridSpan w:val="5"/>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小标宋_GBK" w:eastAsia="方正小标宋_GBK"/>
                <w:sz w:val="24"/>
              </w:rPr>
            </w:pPr>
            <w:r>
              <w:rPr>
                <w:rFonts w:ascii="方正小标宋_GBK" w:eastAsia="方正小标宋_GBK"/>
                <w:sz w:val="24"/>
              </w:rPr>
              <w:t>332</w:t>
            </w:r>
            <w:r>
              <w:rPr>
                <w:rFonts w:hint="eastAsia" w:ascii="方正小标宋_GBK" w:eastAsia="方正小标宋_GBK"/>
                <w:sz w:val="24"/>
              </w:rPr>
              <w:t>保定市徐水区水利局</w:t>
            </w:r>
          </w:p>
        </w:tc>
        <w:tc>
          <w:tcPr>
            <w:tcW w:w="2948" w:type="dxa"/>
            <w:gridSpan w:val="4"/>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sz w:val="24"/>
              </w:rPr>
            </w:pPr>
            <w:r>
              <w:rPr>
                <w:rFonts w:hint="eastAsia" w:ascii="方正书宋_GBK" w:eastAsia="方正书宋_GBK"/>
                <w:sz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职责活动</w:t>
            </w:r>
          </w:p>
        </w:tc>
        <w:tc>
          <w:tcPr>
            <w:tcW w:w="1276"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年度预算数</w:t>
            </w:r>
          </w:p>
        </w:tc>
        <w:tc>
          <w:tcPr>
            <w:tcW w:w="2976"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内容描述</w:t>
            </w:r>
          </w:p>
        </w:tc>
        <w:tc>
          <w:tcPr>
            <w:tcW w:w="2976"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141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绩效指标</w:t>
            </w:r>
          </w:p>
        </w:tc>
        <w:tc>
          <w:tcPr>
            <w:tcW w:w="2948" w:type="dxa"/>
            <w:gridSpan w:val="4"/>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评价标准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continue"/>
            <w:shd w:val="clear" w:color="auto" w:fill="auto"/>
            <w:vAlign w:val="center"/>
          </w:tcPr>
          <w:p>
            <w:pPr>
              <w:spacing w:line="300" w:lineRule="exact"/>
              <w:jc w:val="left"/>
              <w:outlineLvl w:val="0"/>
            </w:pPr>
          </w:p>
        </w:tc>
        <w:tc>
          <w:tcPr>
            <w:tcW w:w="1276" w:type="dxa"/>
            <w:vMerge w:val="continue"/>
            <w:shd w:val="clear" w:color="auto" w:fill="auto"/>
            <w:vAlign w:val="center"/>
          </w:tcPr>
          <w:p>
            <w:pPr>
              <w:spacing w:line="300" w:lineRule="exact"/>
              <w:jc w:val="left"/>
              <w:outlineLvl w:val="0"/>
            </w:pPr>
          </w:p>
        </w:tc>
        <w:tc>
          <w:tcPr>
            <w:tcW w:w="2976" w:type="dxa"/>
            <w:vMerge w:val="continue"/>
            <w:shd w:val="clear" w:color="auto" w:fill="auto"/>
            <w:vAlign w:val="center"/>
          </w:tcPr>
          <w:p>
            <w:pPr>
              <w:spacing w:line="300" w:lineRule="exact"/>
              <w:jc w:val="left"/>
              <w:outlineLvl w:val="0"/>
            </w:pPr>
          </w:p>
        </w:tc>
        <w:tc>
          <w:tcPr>
            <w:tcW w:w="2976" w:type="dxa"/>
            <w:vMerge w:val="continue"/>
            <w:shd w:val="clear" w:color="auto" w:fill="auto"/>
            <w:vAlign w:val="center"/>
          </w:tcPr>
          <w:p>
            <w:pPr>
              <w:spacing w:line="300" w:lineRule="exact"/>
              <w:jc w:val="left"/>
              <w:outlineLvl w:val="0"/>
            </w:pPr>
          </w:p>
        </w:tc>
        <w:tc>
          <w:tcPr>
            <w:tcW w:w="1417" w:type="dxa"/>
            <w:vMerge w:val="continue"/>
            <w:shd w:val="clear" w:color="auto" w:fill="auto"/>
            <w:vAlign w:val="center"/>
          </w:tcPr>
          <w:p>
            <w:pPr>
              <w:spacing w:line="300" w:lineRule="exact"/>
              <w:jc w:val="left"/>
              <w:outlineLvl w:val="0"/>
            </w:pPr>
          </w:p>
        </w:tc>
        <w:tc>
          <w:tcPr>
            <w:tcW w:w="73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优</w:t>
            </w:r>
          </w:p>
        </w:tc>
        <w:tc>
          <w:tcPr>
            <w:tcW w:w="73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良</w:t>
            </w:r>
          </w:p>
        </w:tc>
        <w:tc>
          <w:tcPr>
            <w:tcW w:w="73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中</w:t>
            </w:r>
          </w:p>
        </w:tc>
        <w:tc>
          <w:tcPr>
            <w:tcW w:w="73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一、水利水电项目建设与管理</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2389.14</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水利水电项目的建设与维护管理。</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按期完成水利水电项目建设和维修管护任务，对社会稳定和经济发展起到积极作用</w:t>
            </w:r>
          </w:p>
        </w:tc>
        <w:tc>
          <w:tcPr>
            <w:tcW w:w="1417" w:type="dxa"/>
            <w:shd w:val="clear" w:color="auto" w:fill="auto"/>
            <w:vAlign w:val="center"/>
          </w:tcPr>
          <w:p>
            <w:pPr>
              <w:spacing w:line="300" w:lineRule="exact"/>
              <w:jc w:val="left"/>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、水利工程建设</w:t>
            </w:r>
          </w:p>
        </w:tc>
        <w:tc>
          <w:tcPr>
            <w:tcW w:w="1276" w:type="dxa"/>
            <w:vMerge w:val="restart"/>
            <w:shd w:val="clear" w:color="auto" w:fill="auto"/>
            <w:vAlign w:val="center"/>
          </w:tcPr>
          <w:p>
            <w:pPr>
              <w:spacing w:line="300" w:lineRule="exact"/>
              <w:jc w:val="left"/>
              <w:rPr>
                <w:rFonts w:ascii="方正书宋_GBK" w:eastAsia="方正书宋_GBK"/>
              </w:rPr>
            </w:pPr>
            <w:r>
              <w:rPr>
                <w:rFonts w:ascii="方正书宋_GBK" w:eastAsia="方正书宋_GBK"/>
              </w:rPr>
              <w:t>1251.53</w:t>
            </w: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组织实施水利工程项目建设。</w:t>
            </w: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按期保质保量完成水利项目建设任务</w:t>
            </w: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工程质量合格率</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pPr>
              <w:spacing w:line="300" w:lineRule="exact"/>
              <w:jc w:val="left"/>
              <w:rPr>
                <w:rFonts w:ascii="方正书宋_GBK" w:eastAsia="方正书宋_GBK"/>
                <w:b/>
              </w:rPr>
            </w:pPr>
          </w:p>
        </w:tc>
        <w:tc>
          <w:tcPr>
            <w:tcW w:w="12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实施工程建设管理和质量监督工作完成率</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pPr>
              <w:spacing w:line="300" w:lineRule="exact"/>
              <w:jc w:val="left"/>
              <w:rPr>
                <w:rFonts w:ascii="方正书宋_GBK" w:eastAsia="方正书宋_GBK"/>
                <w:b/>
              </w:rPr>
            </w:pPr>
          </w:p>
        </w:tc>
        <w:tc>
          <w:tcPr>
            <w:tcW w:w="12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水利工程除险加固及治理工作完成率</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、水利工程运行与维护</w:t>
            </w:r>
          </w:p>
        </w:tc>
        <w:tc>
          <w:tcPr>
            <w:tcW w:w="1276" w:type="dxa"/>
            <w:vMerge w:val="restart"/>
            <w:shd w:val="clear" w:color="auto" w:fill="auto"/>
            <w:vAlign w:val="center"/>
          </w:tcPr>
          <w:p>
            <w:pPr>
              <w:spacing w:line="300" w:lineRule="exact"/>
              <w:jc w:val="left"/>
              <w:rPr>
                <w:rFonts w:ascii="方正书宋_GBK" w:eastAsia="方正书宋_GBK"/>
              </w:rPr>
            </w:pP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组织实施水利工程运行与维护。保障水利工程安全运行。</w:t>
            </w: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及时对水利工程实施维修养护，有效保障水利工程正常运行，充分发挥水利工程的社会和经济效益。</w:t>
            </w: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水利工程运行与维护项目验收合格率</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pPr>
              <w:spacing w:line="300" w:lineRule="exact"/>
              <w:jc w:val="left"/>
              <w:rPr>
                <w:rFonts w:ascii="方正书宋_GBK" w:eastAsia="方正书宋_GBK"/>
                <w:b/>
              </w:rPr>
            </w:pPr>
          </w:p>
        </w:tc>
        <w:tc>
          <w:tcPr>
            <w:tcW w:w="12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水利工程运行与维护工作完成率</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3</w:t>
            </w:r>
            <w:r>
              <w:rPr>
                <w:rFonts w:hint="eastAsia" w:ascii="方正书宋_GBK" w:eastAsia="方正书宋_GBK"/>
                <w:b/>
              </w:rPr>
              <w:t>、农田水利建设</w:t>
            </w:r>
          </w:p>
        </w:tc>
        <w:tc>
          <w:tcPr>
            <w:tcW w:w="1276" w:type="dxa"/>
            <w:vMerge w:val="restart"/>
            <w:shd w:val="clear" w:color="auto" w:fill="auto"/>
            <w:vAlign w:val="center"/>
          </w:tcPr>
          <w:p>
            <w:pPr>
              <w:spacing w:line="300" w:lineRule="exact"/>
              <w:jc w:val="left"/>
              <w:rPr>
                <w:rFonts w:ascii="方正书宋_GBK" w:eastAsia="方正书宋_GBK"/>
              </w:rPr>
            </w:pP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建设小型农田水利设施，实施节水灌溉、推广综合节水技术。</w:t>
            </w: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发展节水灌溉面积，推广综合节水技术</w:t>
            </w: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节水灌溉面积</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pPr>
              <w:spacing w:line="300" w:lineRule="exact"/>
              <w:jc w:val="left"/>
              <w:rPr>
                <w:rFonts w:ascii="方正书宋_GBK" w:eastAsia="方正书宋_GBK"/>
                <w:b/>
              </w:rPr>
            </w:pPr>
          </w:p>
        </w:tc>
        <w:tc>
          <w:tcPr>
            <w:tcW w:w="12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小型农田水利设施建设完成量</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4</w:t>
            </w:r>
            <w:r>
              <w:rPr>
                <w:rFonts w:hint="eastAsia" w:ascii="方正书宋_GBK" w:eastAsia="方正书宋_GBK"/>
                <w:b/>
              </w:rPr>
              <w:t>、保障农村饮水安全</w:t>
            </w:r>
          </w:p>
        </w:tc>
        <w:tc>
          <w:tcPr>
            <w:tcW w:w="1276" w:type="dxa"/>
            <w:vMerge w:val="restart"/>
            <w:shd w:val="clear" w:color="auto" w:fill="auto"/>
            <w:vAlign w:val="center"/>
          </w:tcPr>
          <w:p>
            <w:pPr>
              <w:spacing w:line="300" w:lineRule="exact"/>
              <w:jc w:val="left"/>
              <w:rPr>
                <w:rFonts w:ascii="方正书宋_GBK" w:eastAsia="方正书宋_GBK"/>
              </w:rPr>
            </w:pPr>
            <w:r>
              <w:rPr>
                <w:rFonts w:ascii="方正书宋_GBK" w:eastAsia="方正书宋_GBK"/>
              </w:rPr>
              <w:t>19.95</w:t>
            </w: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通过实施农村饮水安全项目，解决农村居民饮水安全问题。</w:t>
            </w: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解决农村饮水安全问题</w:t>
            </w: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解决农村饮用水安全人口情况</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pPr>
              <w:spacing w:line="300" w:lineRule="exact"/>
              <w:jc w:val="left"/>
              <w:rPr>
                <w:rFonts w:ascii="方正书宋_GBK" w:eastAsia="方正书宋_GBK"/>
                <w:b/>
              </w:rPr>
            </w:pPr>
          </w:p>
        </w:tc>
        <w:tc>
          <w:tcPr>
            <w:tcW w:w="12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农村饮用水安全工程完成量</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5</w:t>
            </w:r>
            <w:r>
              <w:rPr>
                <w:rFonts w:hint="eastAsia" w:ascii="方正书宋_GBK" w:eastAsia="方正书宋_GBK"/>
                <w:b/>
              </w:rPr>
              <w:t>、水库移民安置及后期管理</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1117.66</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落实水库移民政策，扶持移民发展生产，保持移民稳定。</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增加移民收入，改善移民生产生活条件，促进移民稳定</w:t>
            </w: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移民生产生活条件改善情况</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明显改善</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改善</w:t>
            </w:r>
          </w:p>
        </w:tc>
        <w:tc>
          <w:tcPr>
            <w:tcW w:w="737" w:type="dxa"/>
            <w:shd w:val="clear" w:color="auto" w:fill="auto"/>
            <w:vAlign w:val="center"/>
          </w:tcPr>
          <w:p>
            <w:pPr>
              <w:spacing w:line="300" w:lineRule="exact"/>
              <w:jc w:val="center"/>
              <w:rPr>
                <w:rFonts w:ascii="方正书宋_GBK" w:eastAsia="方正书宋_GBK"/>
              </w:rPr>
            </w:pPr>
            <w:r>
              <w:rPr>
                <w:rFonts w:hint="cs" w:ascii="方正书宋_GBK" w:eastAsia="方正书宋_GBK"/>
              </w:rPr>
              <w:t>——</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未改善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6</w:t>
            </w:r>
            <w:r>
              <w:rPr>
                <w:rFonts w:hint="eastAsia" w:ascii="方正书宋_GBK" w:eastAsia="方正书宋_GBK"/>
                <w:b/>
              </w:rPr>
              <w:t>、农村水电建设与管理</w:t>
            </w:r>
          </w:p>
        </w:tc>
        <w:tc>
          <w:tcPr>
            <w:tcW w:w="1276" w:type="dxa"/>
            <w:vMerge w:val="restart"/>
            <w:shd w:val="clear" w:color="auto" w:fill="auto"/>
            <w:vAlign w:val="center"/>
          </w:tcPr>
          <w:p>
            <w:pPr>
              <w:spacing w:line="300" w:lineRule="exact"/>
              <w:jc w:val="left"/>
              <w:rPr>
                <w:rFonts w:ascii="方正书宋_GBK" w:eastAsia="方正书宋_GBK"/>
              </w:rPr>
            </w:pP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农村水电建设、质量和安全监督管理、绿色小水电建设。</w:t>
            </w: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充分利用水能资源，提供清洁可再生能源，促进节能减排，保护生态环境，服务</w:t>
            </w:r>
            <w:r>
              <w:rPr>
                <w:rFonts w:hint="cs" w:ascii="方正书宋_GBK" w:eastAsia="方正书宋_GBK"/>
              </w:rPr>
              <w:t>“</w:t>
            </w:r>
            <w:r>
              <w:rPr>
                <w:rFonts w:hint="eastAsia" w:ascii="方正书宋_GBK" w:eastAsia="方正书宋_GBK"/>
              </w:rPr>
              <w:t>三农</w:t>
            </w:r>
            <w:r>
              <w:rPr>
                <w:rFonts w:hint="cs" w:ascii="方正书宋_GBK" w:eastAsia="方正书宋_GBK"/>
              </w:rPr>
              <w:t>”</w:t>
            </w:r>
            <w:r>
              <w:rPr>
                <w:rFonts w:hint="eastAsia" w:ascii="方正书宋_GBK" w:eastAsia="方正书宋_GBK"/>
              </w:rPr>
              <w:t>。</w:t>
            </w: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安全生产达标评级电站完成率</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pPr>
              <w:spacing w:line="300" w:lineRule="exact"/>
              <w:jc w:val="left"/>
              <w:rPr>
                <w:rFonts w:ascii="方正书宋_GBK" w:eastAsia="方正书宋_GBK"/>
                <w:b/>
              </w:rPr>
            </w:pPr>
          </w:p>
        </w:tc>
        <w:tc>
          <w:tcPr>
            <w:tcW w:w="12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水电站更新改造完成率</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二、水资源保护和生态建设</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136.73</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组织实施全区水资源管理和水土保持相关工作。</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促进水资源可持续发展，保护生态环境</w:t>
            </w:r>
          </w:p>
        </w:tc>
        <w:tc>
          <w:tcPr>
            <w:tcW w:w="1417" w:type="dxa"/>
            <w:shd w:val="clear" w:color="auto" w:fill="auto"/>
            <w:vAlign w:val="center"/>
          </w:tcPr>
          <w:p>
            <w:pPr>
              <w:spacing w:line="300" w:lineRule="exact"/>
              <w:jc w:val="left"/>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、水资源管理</w:t>
            </w:r>
          </w:p>
        </w:tc>
        <w:tc>
          <w:tcPr>
            <w:tcW w:w="1276" w:type="dxa"/>
            <w:vMerge w:val="restart"/>
            <w:shd w:val="clear" w:color="auto" w:fill="auto"/>
            <w:vAlign w:val="center"/>
          </w:tcPr>
          <w:p>
            <w:pPr>
              <w:spacing w:line="300" w:lineRule="exact"/>
              <w:jc w:val="left"/>
              <w:rPr>
                <w:rFonts w:ascii="方正书宋_GBK" w:eastAsia="方正书宋_GBK"/>
              </w:rPr>
            </w:pPr>
            <w:r>
              <w:rPr>
                <w:rFonts w:ascii="方正书宋_GBK" w:eastAsia="方正书宋_GBK"/>
              </w:rPr>
              <w:t>136.73</w:t>
            </w: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统一管理全区水资源，组织实施全区水资源节约、保护、配置、监督管理等工作。</w:t>
            </w: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用水总量、地下水开采总量、万元工业增加值用水量都控制在计划范围以内</w:t>
            </w: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地下水开采量</w:t>
            </w:r>
          </w:p>
        </w:tc>
        <w:tc>
          <w:tcPr>
            <w:tcW w:w="737" w:type="dxa"/>
            <w:shd w:val="clear" w:color="auto" w:fill="auto"/>
            <w:vAlign w:val="center"/>
          </w:tcPr>
          <w:p>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pPr>
              <w:spacing w:line="300" w:lineRule="exact"/>
              <w:jc w:val="left"/>
              <w:rPr>
                <w:rFonts w:ascii="方正书宋_GBK" w:eastAsia="方正书宋_GBK"/>
                <w:b/>
              </w:rPr>
            </w:pPr>
          </w:p>
        </w:tc>
        <w:tc>
          <w:tcPr>
            <w:tcW w:w="12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万元工业增加值用水量</w:t>
            </w:r>
          </w:p>
        </w:tc>
        <w:tc>
          <w:tcPr>
            <w:tcW w:w="737" w:type="dxa"/>
            <w:shd w:val="clear" w:color="auto" w:fill="auto"/>
            <w:vAlign w:val="center"/>
          </w:tcPr>
          <w:p>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pPr>
              <w:spacing w:line="300" w:lineRule="exact"/>
              <w:jc w:val="left"/>
              <w:rPr>
                <w:rFonts w:ascii="方正书宋_GBK" w:eastAsia="方正书宋_GBK"/>
                <w:b/>
              </w:rPr>
            </w:pPr>
          </w:p>
        </w:tc>
        <w:tc>
          <w:tcPr>
            <w:tcW w:w="12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水资源节约、保护、配置、监督管理等工作完成率</w:t>
            </w:r>
          </w:p>
        </w:tc>
        <w:tc>
          <w:tcPr>
            <w:tcW w:w="737" w:type="dxa"/>
            <w:shd w:val="clear" w:color="auto" w:fill="auto"/>
            <w:vAlign w:val="center"/>
          </w:tcPr>
          <w:p>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pPr>
              <w:spacing w:line="300" w:lineRule="exact"/>
              <w:jc w:val="left"/>
              <w:rPr>
                <w:rFonts w:ascii="方正书宋_GBK" w:eastAsia="方正书宋_GBK"/>
                <w:b/>
              </w:rPr>
            </w:pPr>
          </w:p>
        </w:tc>
        <w:tc>
          <w:tcPr>
            <w:tcW w:w="12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用水总量</w:t>
            </w:r>
          </w:p>
        </w:tc>
        <w:tc>
          <w:tcPr>
            <w:tcW w:w="737" w:type="dxa"/>
            <w:shd w:val="clear" w:color="auto" w:fill="auto"/>
            <w:vAlign w:val="center"/>
          </w:tcPr>
          <w:p>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、水土保持</w:t>
            </w:r>
          </w:p>
        </w:tc>
        <w:tc>
          <w:tcPr>
            <w:tcW w:w="1276" w:type="dxa"/>
            <w:vMerge w:val="restart"/>
            <w:shd w:val="clear" w:color="auto" w:fill="auto"/>
            <w:vAlign w:val="center"/>
          </w:tcPr>
          <w:p>
            <w:pPr>
              <w:spacing w:line="300" w:lineRule="exact"/>
              <w:jc w:val="left"/>
              <w:rPr>
                <w:rFonts w:ascii="方正书宋_GBK" w:eastAsia="方正书宋_GBK"/>
              </w:rPr>
            </w:pP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负责全区水土保持工作。制定水土保持规划，承担水土流失综合防治工作；依法开展水土保持监督管理工作；开展水土保持宣传教育工作。</w:t>
            </w: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保护和合理利用水土资源，改善生态环境，维护生态安全。</w:t>
            </w: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水土流失治理面积</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pPr>
              <w:spacing w:line="300" w:lineRule="exact"/>
              <w:jc w:val="left"/>
              <w:rPr>
                <w:rFonts w:ascii="方正书宋_GBK" w:eastAsia="方正书宋_GBK"/>
                <w:b/>
              </w:rPr>
            </w:pPr>
          </w:p>
        </w:tc>
        <w:tc>
          <w:tcPr>
            <w:tcW w:w="12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水土流失减少量</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pPr>
              <w:spacing w:line="300" w:lineRule="exact"/>
              <w:jc w:val="left"/>
              <w:rPr>
                <w:rFonts w:ascii="方正书宋_GBK" w:eastAsia="方正书宋_GBK"/>
                <w:b/>
              </w:rPr>
            </w:pPr>
          </w:p>
        </w:tc>
        <w:tc>
          <w:tcPr>
            <w:tcW w:w="12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水土流失治理率</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三、水利科技支撑和公共服务</w:t>
            </w:r>
          </w:p>
        </w:tc>
        <w:tc>
          <w:tcPr>
            <w:tcW w:w="1276" w:type="dxa"/>
            <w:shd w:val="clear" w:color="auto" w:fill="auto"/>
            <w:vAlign w:val="center"/>
          </w:tcPr>
          <w:p>
            <w:pPr>
              <w:spacing w:line="300" w:lineRule="exact"/>
              <w:jc w:val="left"/>
              <w:rPr>
                <w:rFonts w:ascii="方正书宋_GBK" w:eastAsia="方正书宋_GBK"/>
              </w:rPr>
            </w:pP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组织全区水利事业建设的科技创新和技术示范推广，为水利事业科学发展提供公共支撑。</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示范推广水利工程和管理技术，提高水利事业管理水平。</w:t>
            </w:r>
          </w:p>
        </w:tc>
        <w:tc>
          <w:tcPr>
            <w:tcW w:w="1417" w:type="dxa"/>
            <w:shd w:val="clear" w:color="auto" w:fill="auto"/>
            <w:vAlign w:val="center"/>
          </w:tcPr>
          <w:p>
            <w:pPr>
              <w:spacing w:line="300" w:lineRule="exact"/>
              <w:jc w:val="left"/>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、水文测报</w:t>
            </w:r>
          </w:p>
        </w:tc>
        <w:tc>
          <w:tcPr>
            <w:tcW w:w="1276" w:type="dxa"/>
            <w:shd w:val="clear" w:color="auto" w:fill="auto"/>
            <w:vAlign w:val="center"/>
          </w:tcPr>
          <w:p>
            <w:pPr>
              <w:spacing w:line="300" w:lineRule="exact"/>
              <w:jc w:val="left"/>
              <w:rPr>
                <w:rFonts w:ascii="方正书宋_GBK" w:eastAsia="方正书宋_GBK"/>
              </w:rPr>
            </w:pP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地表、地下水量水质监测，墒情监测，水文资料整编，水文设施运行、维护及更新，水文信息系统运行。</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为防汛、抗旱、减灾、水资源保护管理、水利工程建设准确、及时提供水文资料。</w:t>
            </w: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水情报汛准确率</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、防汛抗旱</w:t>
            </w:r>
          </w:p>
        </w:tc>
        <w:tc>
          <w:tcPr>
            <w:tcW w:w="1276" w:type="dxa"/>
            <w:vMerge w:val="restart"/>
            <w:shd w:val="clear" w:color="auto" w:fill="auto"/>
            <w:vAlign w:val="center"/>
          </w:tcPr>
          <w:p>
            <w:pPr>
              <w:spacing w:line="300" w:lineRule="exact"/>
              <w:jc w:val="left"/>
              <w:rPr>
                <w:rFonts w:ascii="方正书宋_GBK" w:eastAsia="方正书宋_GBK"/>
              </w:rPr>
            </w:pP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负责全区防汛抗旱组织管理、应急调度，储备管理防汛抗旱物资，提高全区抗御水旱灾害能力。</w:t>
            </w:r>
          </w:p>
        </w:tc>
        <w:tc>
          <w:tcPr>
            <w:tcW w:w="2976" w:type="dxa"/>
            <w:vMerge w:val="restart"/>
            <w:shd w:val="clear" w:color="auto" w:fill="auto"/>
            <w:vAlign w:val="center"/>
          </w:tcPr>
          <w:p>
            <w:pPr>
              <w:spacing w:line="300" w:lineRule="exact"/>
              <w:jc w:val="left"/>
              <w:rPr>
                <w:rFonts w:ascii="方正书宋_GBK" w:eastAsia="方正书宋_GBK"/>
              </w:rPr>
            </w:pPr>
            <w:r>
              <w:rPr>
                <w:rFonts w:hint="eastAsia" w:ascii="方正书宋_GBK" w:eastAsia="方正书宋_GBK"/>
              </w:rPr>
              <w:t>发挥防汛抗旱减灾体系作用，最大限度地减少水旱灾害造成的人员伤亡和财产损失。</w:t>
            </w: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防汛抗旱投资完成率</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pPr>
              <w:spacing w:line="300" w:lineRule="exact"/>
              <w:jc w:val="left"/>
              <w:rPr>
                <w:rFonts w:ascii="方正书宋_GBK" w:eastAsia="方正书宋_GBK"/>
                <w:b/>
              </w:rPr>
            </w:pPr>
          </w:p>
        </w:tc>
        <w:tc>
          <w:tcPr>
            <w:tcW w:w="12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工程完成量</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pPr>
              <w:spacing w:line="300" w:lineRule="exact"/>
              <w:jc w:val="left"/>
              <w:rPr>
                <w:rFonts w:ascii="方正书宋_GBK" w:eastAsia="方正书宋_GBK"/>
                <w:b/>
              </w:rPr>
            </w:pPr>
          </w:p>
        </w:tc>
        <w:tc>
          <w:tcPr>
            <w:tcW w:w="12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2976" w:type="dxa"/>
            <w:vMerge w:val="continue"/>
            <w:shd w:val="clear" w:color="auto" w:fill="auto"/>
            <w:vAlign w:val="center"/>
          </w:tcPr>
          <w:p>
            <w:pPr>
              <w:spacing w:line="300" w:lineRule="exact"/>
              <w:jc w:val="left"/>
              <w:rPr>
                <w:rFonts w:ascii="方正书宋_GBK" w:eastAsia="方正书宋_GBK"/>
              </w:rPr>
            </w:pP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防汛抗旱物资到位率</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四、水利政务管理</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88.65</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依法依规履行机关日常管理职责。</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依法依规履行机关日常管理职责，确保水利工作正常运行。</w:t>
            </w:r>
          </w:p>
        </w:tc>
        <w:tc>
          <w:tcPr>
            <w:tcW w:w="1417" w:type="dxa"/>
            <w:shd w:val="clear" w:color="auto" w:fill="auto"/>
            <w:vAlign w:val="center"/>
          </w:tcPr>
          <w:p>
            <w:pPr>
              <w:spacing w:line="300" w:lineRule="exact"/>
              <w:jc w:val="left"/>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、综合业务管理</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80.25</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编制水利规划，组织开展全区水利行业安全生产监管工作，工作部署、协调推动、普查统计、督促指导、行政审批、业务监管、水行政执法、法制宣传、处理水事纠纷，监督检查、人事管理及其他依法行政管理活动。区委、</w:t>
            </w:r>
            <w:r>
              <w:rPr>
                <w:rFonts w:hint="eastAsia" w:ascii="方正书宋_GBK" w:eastAsia="方正书宋_GBK"/>
                <w:lang w:val="en-US" w:eastAsia="zh-CN"/>
              </w:rPr>
              <w:t>区</w:t>
            </w:r>
            <w:r>
              <w:rPr>
                <w:rFonts w:hint="eastAsia" w:ascii="方正书宋_GBK" w:eastAsia="方正书宋_GBK"/>
              </w:rPr>
              <w:t>政府交办的其他事项等行政管理事项。</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依法依规完成工作任务，推进科学决策</w:t>
            </w: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综合业务管理工作任务完成率</w:t>
            </w:r>
          </w:p>
        </w:tc>
        <w:tc>
          <w:tcPr>
            <w:tcW w:w="737" w:type="dxa"/>
            <w:shd w:val="clear" w:color="auto" w:fill="auto"/>
            <w:vAlign w:val="center"/>
          </w:tcPr>
          <w:p>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left"/>
              <w:rPr>
                <w:rFonts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、综合事务管理</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8.40</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加强机关事务性管理，开展机关自身能力建设。</w:t>
            </w:r>
          </w:p>
        </w:tc>
        <w:tc>
          <w:tcPr>
            <w:tcW w:w="2976"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确保机关工作正常运行</w:t>
            </w:r>
          </w:p>
        </w:tc>
        <w:tc>
          <w:tcPr>
            <w:tcW w:w="1417"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综合事务管理工作任务完成率</w:t>
            </w:r>
          </w:p>
        </w:tc>
        <w:tc>
          <w:tcPr>
            <w:tcW w:w="737" w:type="dxa"/>
            <w:shd w:val="clear" w:color="auto" w:fill="auto"/>
            <w:vAlign w:val="center"/>
          </w:tcPr>
          <w:p>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r>
    </w:tbl>
    <w:p>
      <w:pPr>
        <w:spacing w:line="360" w:lineRule="auto"/>
        <w:ind w:firstLine="643" w:firstLineChars="200"/>
        <w:rPr>
          <w:rFonts w:ascii="仿宋" w:hAnsi="仿宋" w:eastAsia="仿宋"/>
          <w:b/>
          <w:sz w:val="32"/>
          <w:szCs w:val="32"/>
        </w:rPr>
      </w:pPr>
    </w:p>
    <w:p>
      <w:pPr>
        <w:spacing w:line="360" w:lineRule="auto"/>
        <w:ind w:firstLine="643" w:firstLineChars="200"/>
        <w:rPr>
          <w:rFonts w:ascii="仿宋" w:hAnsi="仿宋" w:eastAsia="仿宋"/>
          <w:b/>
          <w:sz w:val="32"/>
          <w:szCs w:val="32"/>
        </w:rPr>
        <w:sectPr>
          <w:pgSz w:w="16838" w:h="11906" w:orient="landscape"/>
          <w:pgMar w:top="1800" w:right="1440" w:bottom="1800" w:left="1440" w:header="851" w:footer="992" w:gutter="0"/>
          <w:cols w:space="425" w:num="1"/>
          <w:docGrid w:linePitch="312" w:charSpace="0"/>
        </w:sectPr>
      </w:pPr>
    </w:p>
    <w:p>
      <w:pPr>
        <w:spacing w:line="360" w:lineRule="auto"/>
        <w:ind w:firstLine="643" w:firstLineChars="200"/>
        <w:rPr>
          <w:rFonts w:ascii="仿宋" w:hAnsi="仿宋" w:eastAsia="仿宋"/>
          <w:b/>
          <w:sz w:val="32"/>
          <w:szCs w:val="32"/>
        </w:rPr>
      </w:pPr>
    </w:p>
    <w:p>
      <w:pPr>
        <w:spacing w:line="360" w:lineRule="auto"/>
        <w:jc w:val="center"/>
        <w:rPr>
          <w:rFonts w:ascii="黑体" w:hAnsi="黑体" w:eastAsia="黑体" w:cs="Times New Roman"/>
          <w:sz w:val="32"/>
          <w:szCs w:val="32"/>
        </w:rPr>
      </w:pPr>
      <w:r>
        <w:rPr>
          <w:rFonts w:hint="eastAsia" w:ascii="黑体" w:hAnsi="黑体" w:eastAsia="黑体" w:cs="Times New Roman"/>
          <w:sz w:val="32"/>
          <w:szCs w:val="32"/>
        </w:rPr>
        <w:t>六部分：政府采购预算情况</w:t>
      </w:r>
    </w:p>
    <w:p>
      <w:pPr>
        <w:spacing w:line="360" w:lineRule="auto"/>
        <w:ind w:firstLine="640" w:firstLineChars="200"/>
        <w:rPr>
          <w:rFonts w:ascii="仿宋" w:hAnsi="仿宋" w:eastAsia="仿宋"/>
          <w:sz w:val="32"/>
          <w:szCs w:val="32"/>
        </w:rPr>
      </w:pPr>
      <w:r>
        <w:rPr>
          <w:rFonts w:ascii="仿宋" w:hAnsi="仿宋" w:eastAsia="仿宋"/>
          <w:sz w:val="32"/>
          <w:szCs w:val="32"/>
        </w:rPr>
        <w:t>2019年，我部门无政府采购预算，空表列示。</w:t>
      </w:r>
    </w:p>
    <w:p>
      <w:pPr>
        <w:spacing w:line="700" w:lineRule="exact"/>
        <w:jc w:val="left"/>
        <w:rPr>
          <w:rFonts w:ascii="方正小标宋_GBK" w:eastAsia="方正小标宋_GBK"/>
          <w:sz w:val="24"/>
        </w:rPr>
        <w:sectPr>
          <w:pgSz w:w="11906" w:h="16838"/>
          <w:pgMar w:top="1440" w:right="1800" w:bottom="1440" w:left="1800" w:header="851" w:footer="992" w:gutter="0"/>
          <w:cols w:space="425" w:num="1"/>
          <w:docGrid w:linePitch="312" w:charSpace="0"/>
        </w:sectPr>
      </w:pPr>
    </w:p>
    <w:tbl>
      <w:tblPr>
        <w:tblStyle w:val="5"/>
        <w:tblW w:w="1316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21"/>
        <w:gridCol w:w="764"/>
        <w:gridCol w:w="1134"/>
        <w:gridCol w:w="1134"/>
        <w:gridCol w:w="992"/>
        <w:gridCol w:w="851"/>
        <w:gridCol w:w="834"/>
        <w:gridCol w:w="709"/>
        <w:gridCol w:w="992"/>
        <w:gridCol w:w="1134"/>
        <w:gridCol w:w="851"/>
        <w:gridCol w:w="850"/>
        <w:gridCol w:w="851"/>
        <w:gridCol w:w="8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6930" w:type="dxa"/>
            <w:gridSpan w:val="7"/>
            <w:tcBorders>
              <w:top w:val="single" w:color="FFFFFF" w:sz="6" w:space="0"/>
              <w:left w:val="single" w:color="FFFFFF" w:sz="6" w:space="0"/>
              <w:right w:val="single" w:color="FFFFFF" w:sz="6" w:space="0"/>
            </w:tcBorders>
            <w:vAlign w:val="center"/>
          </w:tcPr>
          <w:p>
            <w:pPr>
              <w:spacing w:line="700" w:lineRule="exact"/>
              <w:jc w:val="left"/>
              <w:rPr>
                <w:rFonts w:ascii="方正小标宋_GBK" w:eastAsia="方正小标宋_GBK"/>
                <w:sz w:val="24"/>
              </w:rPr>
            </w:pPr>
            <w:r>
              <w:rPr>
                <w:rFonts w:hint="eastAsia" w:ascii="方正小标宋_GBK" w:hAnsi="方正小标宋_GBK" w:eastAsia="方正小标宋_GBK" w:cs="方正小标宋_GBK"/>
                <w:sz w:val="24"/>
              </w:rPr>
              <w:t>©</w:t>
            </w:r>
          </w:p>
        </w:tc>
        <w:tc>
          <w:tcPr>
            <w:tcW w:w="6237" w:type="dxa"/>
            <w:gridSpan w:val="7"/>
            <w:tcBorders>
              <w:top w:val="single" w:color="FFFFFF" w:sz="6" w:space="0"/>
              <w:left w:val="single" w:color="FFFFFF" w:sz="6" w:space="0"/>
              <w:right w:val="single" w:color="FFFFFF" w:sz="6" w:space="0"/>
            </w:tcBorders>
            <w:vAlign w:val="center"/>
          </w:tcPr>
          <w:p>
            <w:pPr>
              <w:spacing w:line="700" w:lineRule="exact"/>
              <w:jc w:val="right"/>
              <w:rPr>
                <w:rFonts w:ascii="方正书宋_GBK" w:eastAsia="方正书宋_GBK"/>
                <w:sz w:val="24"/>
              </w:rPr>
            </w:pPr>
            <w:r>
              <w:rPr>
                <w:rFonts w:hint="eastAsia" w:ascii="宋体" w:hAnsi="宋体" w:cs="宋体"/>
                <w:sz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985" w:type="dxa"/>
            <w:gridSpan w:val="2"/>
            <w:vAlign w:val="center"/>
          </w:tcPr>
          <w:p>
            <w:pPr>
              <w:spacing w:line="700" w:lineRule="exact"/>
              <w:jc w:val="center"/>
              <w:rPr>
                <w:rFonts w:ascii="方正书宋_GBK" w:eastAsia="方正书宋_GBK"/>
                <w:b/>
              </w:rPr>
            </w:pPr>
            <w:r>
              <w:rPr>
                <w:rFonts w:hint="eastAsia" w:ascii="宋体" w:hAnsi="宋体" w:cs="宋体"/>
                <w:b/>
              </w:rPr>
              <w:t>政府采购项目来源</w:t>
            </w:r>
          </w:p>
        </w:tc>
        <w:tc>
          <w:tcPr>
            <w:tcW w:w="1134" w:type="dxa"/>
            <w:vMerge w:val="restart"/>
            <w:vAlign w:val="center"/>
          </w:tcPr>
          <w:p>
            <w:pPr>
              <w:spacing w:line="700" w:lineRule="exact"/>
              <w:jc w:val="center"/>
              <w:rPr>
                <w:rFonts w:ascii="方正书宋_GBK" w:eastAsia="方正书宋_GBK"/>
                <w:b/>
              </w:rPr>
            </w:pPr>
            <w:r>
              <w:rPr>
                <w:rFonts w:hint="eastAsia" w:ascii="宋体" w:hAnsi="宋体" w:cs="宋体"/>
                <w:b/>
              </w:rPr>
              <w:t>采购物品名称</w:t>
            </w:r>
          </w:p>
        </w:tc>
        <w:tc>
          <w:tcPr>
            <w:tcW w:w="1134" w:type="dxa"/>
            <w:vMerge w:val="restart"/>
            <w:vAlign w:val="center"/>
          </w:tcPr>
          <w:p>
            <w:pPr>
              <w:spacing w:line="700" w:lineRule="exact"/>
              <w:jc w:val="center"/>
              <w:rPr>
                <w:rFonts w:ascii="方正书宋_GBK" w:eastAsia="方正书宋_GBK"/>
                <w:b/>
              </w:rPr>
            </w:pPr>
            <w:r>
              <w:rPr>
                <w:rFonts w:hint="eastAsia" w:ascii="宋体" w:hAnsi="宋体" w:cs="宋体"/>
                <w:b/>
              </w:rPr>
              <w:t>政府采购目录序号</w:t>
            </w:r>
          </w:p>
        </w:tc>
        <w:tc>
          <w:tcPr>
            <w:tcW w:w="992" w:type="dxa"/>
            <w:vMerge w:val="restart"/>
            <w:vAlign w:val="center"/>
          </w:tcPr>
          <w:p>
            <w:pPr>
              <w:spacing w:line="700" w:lineRule="exact"/>
              <w:jc w:val="center"/>
              <w:rPr>
                <w:rFonts w:ascii="方正书宋_GBK" w:eastAsia="方正书宋_GBK"/>
                <w:b/>
              </w:rPr>
            </w:pPr>
            <w:r>
              <w:rPr>
                <w:rFonts w:hint="eastAsia" w:ascii="宋体" w:hAnsi="宋体" w:cs="宋体"/>
                <w:b/>
              </w:rPr>
              <w:t>数量</w:t>
            </w:r>
            <w:r>
              <w:rPr>
                <w:rFonts w:ascii="方正书宋_GBK" w:eastAsia="方正书宋_GBK"/>
                <w:b/>
              </w:rPr>
              <w:t xml:space="preserve">  </w:t>
            </w:r>
            <w:r>
              <w:rPr>
                <w:rFonts w:hint="eastAsia" w:ascii="宋体" w:hAnsi="宋体" w:cs="宋体"/>
                <w:b/>
              </w:rPr>
              <w:t>单位</w:t>
            </w:r>
          </w:p>
        </w:tc>
        <w:tc>
          <w:tcPr>
            <w:tcW w:w="851" w:type="dxa"/>
            <w:vMerge w:val="restart"/>
            <w:vAlign w:val="center"/>
          </w:tcPr>
          <w:p>
            <w:pPr>
              <w:spacing w:line="700" w:lineRule="exact"/>
              <w:jc w:val="center"/>
              <w:rPr>
                <w:rFonts w:ascii="方正书宋_GBK" w:eastAsia="方正书宋_GBK"/>
                <w:b/>
              </w:rPr>
            </w:pPr>
            <w:r>
              <w:rPr>
                <w:rFonts w:hint="eastAsia" w:ascii="宋体" w:hAnsi="宋体" w:cs="宋体"/>
                <w:b/>
              </w:rPr>
              <w:t>数量</w:t>
            </w:r>
          </w:p>
        </w:tc>
        <w:tc>
          <w:tcPr>
            <w:tcW w:w="834" w:type="dxa"/>
            <w:vMerge w:val="restart"/>
            <w:vAlign w:val="center"/>
          </w:tcPr>
          <w:p>
            <w:pPr>
              <w:spacing w:line="700" w:lineRule="exact"/>
              <w:jc w:val="center"/>
              <w:rPr>
                <w:rFonts w:ascii="方正书宋_GBK" w:eastAsia="方正书宋_GBK"/>
                <w:b/>
              </w:rPr>
            </w:pPr>
            <w:r>
              <w:rPr>
                <w:rFonts w:hint="eastAsia" w:ascii="宋体" w:hAnsi="宋体" w:cs="宋体"/>
                <w:b/>
              </w:rPr>
              <w:t>单价</w:t>
            </w:r>
          </w:p>
        </w:tc>
        <w:tc>
          <w:tcPr>
            <w:tcW w:w="6237" w:type="dxa"/>
            <w:gridSpan w:val="7"/>
            <w:vAlign w:val="center"/>
          </w:tcPr>
          <w:p>
            <w:pPr>
              <w:spacing w:line="700" w:lineRule="exact"/>
              <w:jc w:val="center"/>
              <w:rPr>
                <w:rFonts w:ascii="方正书宋_GBK" w:eastAsia="方正书宋_GBK"/>
                <w:b/>
              </w:rPr>
            </w:pPr>
            <w:r>
              <w:rPr>
                <w:rFonts w:hint="eastAsia" w:ascii="宋体" w:hAnsi="宋体" w:cs="宋体"/>
                <w:b/>
              </w:rPr>
              <w:t>政府采购金额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221" w:type="dxa"/>
            <w:vMerge w:val="restart"/>
            <w:vAlign w:val="center"/>
          </w:tcPr>
          <w:p>
            <w:pPr>
              <w:spacing w:line="700" w:lineRule="exact"/>
              <w:jc w:val="center"/>
              <w:rPr>
                <w:rFonts w:ascii="方正书宋_GBK" w:eastAsia="方正书宋_GBK"/>
                <w:b/>
              </w:rPr>
            </w:pPr>
            <w:r>
              <w:rPr>
                <w:rFonts w:hint="eastAsia" w:ascii="宋体" w:hAnsi="宋体" w:cs="宋体"/>
                <w:b/>
              </w:rPr>
              <w:t>项目名称</w:t>
            </w:r>
          </w:p>
        </w:tc>
        <w:tc>
          <w:tcPr>
            <w:tcW w:w="764" w:type="dxa"/>
            <w:vMerge w:val="restart"/>
            <w:vAlign w:val="center"/>
          </w:tcPr>
          <w:p>
            <w:pPr>
              <w:spacing w:line="700" w:lineRule="exact"/>
              <w:jc w:val="center"/>
              <w:rPr>
                <w:rFonts w:ascii="方正书宋_GBK" w:eastAsia="方正书宋_GBK"/>
                <w:b/>
              </w:rPr>
            </w:pPr>
            <w:r>
              <w:rPr>
                <w:rFonts w:hint="eastAsia" w:ascii="宋体" w:hAnsi="宋体" w:cs="宋体"/>
                <w:b/>
              </w:rPr>
              <w:t>预算资金</w:t>
            </w:r>
          </w:p>
        </w:tc>
        <w:tc>
          <w:tcPr>
            <w:tcW w:w="1134" w:type="dxa"/>
            <w:vMerge w:val="continue"/>
            <w:vAlign w:val="center"/>
          </w:tcPr>
          <w:p>
            <w:pPr>
              <w:spacing w:line="700" w:lineRule="exact"/>
              <w:jc w:val="left"/>
              <w:outlineLvl w:val="0"/>
            </w:pPr>
          </w:p>
        </w:tc>
        <w:tc>
          <w:tcPr>
            <w:tcW w:w="1134" w:type="dxa"/>
            <w:vMerge w:val="continue"/>
            <w:vAlign w:val="center"/>
          </w:tcPr>
          <w:p>
            <w:pPr>
              <w:spacing w:line="700" w:lineRule="exact"/>
              <w:jc w:val="left"/>
              <w:outlineLvl w:val="0"/>
            </w:pPr>
          </w:p>
        </w:tc>
        <w:tc>
          <w:tcPr>
            <w:tcW w:w="992" w:type="dxa"/>
            <w:vMerge w:val="continue"/>
            <w:vAlign w:val="center"/>
          </w:tcPr>
          <w:p>
            <w:pPr>
              <w:spacing w:line="700" w:lineRule="exact"/>
              <w:jc w:val="left"/>
              <w:outlineLvl w:val="0"/>
            </w:pPr>
          </w:p>
        </w:tc>
        <w:tc>
          <w:tcPr>
            <w:tcW w:w="851" w:type="dxa"/>
            <w:vMerge w:val="continue"/>
            <w:vAlign w:val="center"/>
          </w:tcPr>
          <w:p>
            <w:pPr>
              <w:spacing w:line="700" w:lineRule="exact"/>
              <w:jc w:val="left"/>
              <w:outlineLvl w:val="0"/>
            </w:pPr>
          </w:p>
        </w:tc>
        <w:tc>
          <w:tcPr>
            <w:tcW w:w="834" w:type="dxa"/>
            <w:vMerge w:val="continue"/>
            <w:vAlign w:val="center"/>
          </w:tcPr>
          <w:p>
            <w:pPr>
              <w:spacing w:line="700" w:lineRule="exact"/>
              <w:jc w:val="left"/>
              <w:outlineLvl w:val="0"/>
            </w:pPr>
          </w:p>
        </w:tc>
        <w:tc>
          <w:tcPr>
            <w:tcW w:w="709" w:type="dxa"/>
            <w:vMerge w:val="restart"/>
            <w:vAlign w:val="center"/>
          </w:tcPr>
          <w:p>
            <w:pPr>
              <w:spacing w:line="700" w:lineRule="exact"/>
              <w:jc w:val="center"/>
              <w:rPr>
                <w:rFonts w:ascii="方正书宋_GBK" w:eastAsia="方正书宋_GBK"/>
                <w:b/>
              </w:rPr>
            </w:pPr>
            <w:r>
              <w:rPr>
                <w:rFonts w:hint="eastAsia" w:ascii="宋体" w:hAnsi="宋体" w:cs="宋体"/>
                <w:b/>
              </w:rPr>
              <w:t>总计</w:t>
            </w:r>
          </w:p>
        </w:tc>
        <w:tc>
          <w:tcPr>
            <w:tcW w:w="4678" w:type="dxa"/>
            <w:gridSpan w:val="5"/>
            <w:vAlign w:val="center"/>
          </w:tcPr>
          <w:p>
            <w:pPr>
              <w:spacing w:line="700" w:lineRule="exact"/>
              <w:jc w:val="center"/>
              <w:rPr>
                <w:rFonts w:ascii="方正书宋_GBK" w:eastAsia="方正书宋_GBK"/>
                <w:b/>
              </w:rPr>
            </w:pPr>
            <w:r>
              <w:rPr>
                <w:rFonts w:hint="eastAsia" w:ascii="宋体" w:hAnsi="宋体" w:cs="宋体"/>
                <w:b/>
              </w:rPr>
              <w:t>当年部门预算安排资金</w:t>
            </w:r>
          </w:p>
        </w:tc>
        <w:tc>
          <w:tcPr>
            <w:tcW w:w="850" w:type="dxa"/>
            <w:vMerge w:val="restart"/>
            <w:vAlign w:val="center"/>
          </w:tcPr>
          <w:p>
            <w:pPr>
              <w:spacing w:line="700" w:lineRule="exact"/>
              <w:jc w:val="center"/>
              <w:rPr>
                <w:rFonts w:ascii="方正书宋_GBK" w:eastAsia="方正书宋_GBK"/>
                <w:b/>
              </w:rPr>
            </w:pPr>
            <w:r>
              <w:rPr>
                <w:rFonts w:hint="eastAsia" w:ascii="宋体" w:hAnsi="宋体" w:cs="宋体"/>
                <w:b/>
              </w:rPr>
              <w:t>其他渠道资金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221" w:type="dxa"/>
            <w:vMerge w:val="continue"/>
            <w:vAlign w:val="center"/>
          </w:tcPr>
          <w:p>
            <w:pPr>
              <w:spacing w:line="700" w:lineRule="exact"/>
              <w:jc w:val="left"/>
              <w:outlineLvl w:val="0"/>
            </w:pPr>
          </w:p>
        </w:tc>
        <w:tc>
          <w:tcPr>
            <w:tcW w:w="764" w:type="dxa"/>
            <w:vMerge w:val="continue"/>
            <w:vAlign w:val="center"/>
          </w:tcPr>
          <w:p>
            <w:pPr>
              <w:spacing w:line="700" w:lineRule="exact"/>
              <w:jc w:val="left"/>
              <w:outlineLvl w:val="0"/>
            </w:pPr>
          </w:p>
        </w:tc>
        <w:tc>
          <w:tcPr>
            <w:tcW w:w="1134" w:type="dxa"/>
            <w:vMerge w:val="continue"/>
            <w:vAlign w:val="center"/>
          </w:tcPr>
          <w:p>
            <w:pPr>
              <w:spacing w:line="700" w:lineRule="exact"/>
              <w:jc w:val="left"/>
              <w:outlineLvl w:val="0"/>
            </w:pPr>
          </w:p>
        </w:tc>
        <w:tc>
          <w:tcPr>
            <w:tcW w:w="1134" w:type="dxa"/>
            <w:vMerge w:val="continue"/>
            <w:vAlign w:val="center"/>
          </w:tcPr>
          <w:p>
            <w:pPr>
              <w:spacing w:line="700" w:lineRule="exact"/>
              <w:jc w:val="left"/>
              <w:outlineLvl w:val="0"/>
            </w:pPr>
          </w:p>
        </w:tc>
        <w:tc>
          <w:tcPr>
            <w:tcW w:w="992" w:type="dxa"/>
            <w:vMerge w:val="continue"/>
            <w:vAlign w:val="center"/>
          </w:tcPr>
          <w:p>
            <w:pPr>
              <w:spacing w:line="700" w:lineRule="exact"/>
              <w:jc w:val="left"/>
              <w:outlineLvl w:val="0"/>
            </w:pPr>
          </w:p>
        </w:tc>
        <w:tc>
          <w:tcPr>
            <w:tcW w:w="851" w:type="dxa"/>
            <w:vMerge w:val="continue"/>
            <w:vAlign w:val="center"/>
          </w:tcPr>
          <w:p>
            <w:pPr>
              <w:spacing w:line="700" w:lineRule="exact"/>
              <w:jc w:val="left"/>
              <w:outlineLvl w:val="0"/>
            </w:pPr>
          </w:p>
        </w:tc>
        <w:tc>
          <w:tcPr>
            <w:tcW w:w="834" w:type="dxa"/>
            <w:vMerge w:val="continue"/>
            <w:vAlign w:val="center"/>
          </w:tcPr>
          <w:p>
            <w:pPr>
              <w:spacing w:line="700" w:lineRule="exact"/>
              <w:jc w:val="left"/>
              <w:outlineLvl w:val="0"/>
            </w:pPr>
          </w:p>
        </w:tc>
        <w:tc>
          <w:tcPr>
            <w:tcW w:w="709" w:type="dxa"/>
            <w:vMerge w:val="continue"/>
            <w:vAlign w:val="center"/>
          </w:tcPr>
          <w:p>
            <w:pPr>
              <w:spacing w:line="700" w:lineRule="exact"/>
              <w:jc w:val="left"/>
              <w:outlineLvl w:val="0"/>
            </w:pPr>
          </w:p>
        </w:tc>
        <w:tc>
          <w:tcPr>
            <w:tcW w:w="992" w:type="dxa"/>
            <w:vAlign w:val="center"/>
          </w:tcPr>
          <w:p>
            <w:pPr>
              <w:spacing w:line="700" w:lineRule="exact"/>
              <w:jc w:val="center"/>
              <w:rPr>
                <w:rFonts w:ascii="方正书宋_GBK" w:eastAsia="方正书宋_GBK"/>
                <w:b/>
              </w:rPr>
            </w:pPr>
            <w:r>
              <w:rPr>
                <w:rFonts w:hint="eastAsia" w:ascii="宋体" w:hAnsi="宋体" w:cs="宋体"/>
                <w:b/>
              </w:rPr>
              <w:t>合计</w:t>
            </w:r>
          </w:p>
        </w:tc>
        <w:tc>
          <w:tcPr>
            <w:tcW w:w="1134" w:type="dxa"/>
            <w:vAlign w:val="center"/>
          </w:tcPr>
          <w:p>
            <w:pPr>
              <w:spacing w:line="700" w:lineRule="exact"/>
              <w:jc w:val="center"/>
              <w:rPr>
                <w:rFonts w:ascii="方正书宋_GBK" w:eastAsia="方正书宋_GBK"/>
                <w:b/>
              </w:rPr>
            </w:pPr>
            <w:r>
              <w:rPr>
                <w:rFonts w:hint="eastAsia" w:ascii="宋体" w:hAnsi="宋体" w:cs="宋体"/>
                <w:b/>
              </w:rPr>
              <w:t>一般公共预算拨款</w:t>
            </w:r>
          </w:p>
        </w:tc>
        <w:tc>
          <w:tcPr>
            <w:tcW w:w="851" w:type="dxa"/>
            <w:vAlign w:val="center"/>
          </w:tcPr>
          <w:p>
            <w:pPr>
              <w:spacing w:line="700" w:lineRule="exact"/>
              <w:jc w:val="center"/>
              <w:rPr>
                <w:rFonts w:ascii="方正书宋_GBK" w:eastAsia="方正书宋_GBK"/>
                <w:b/>
              </w:rPr>
            </w:pPr>
            <w:r>
              <w:rPr>
                <w:rFonts w:hint="eastAsia" w:ascii="宋体" w:hAnsi="宋体" w:cs="宋体"/>
                <w:b/>
              </w:rPr>
              <w:t>基金预算拨款</w:t>
            </w:r>
          </w:p>
        </w:tc>
        <w:tc>
          <w:tcPr>
            <w:tcW w:w="850" w:type="dxa"/>
            <w:vAlign w:val="center"/>
          </w:tcPr>
          <w:p>
            <w:pPr>
              <w:spacing w:line="700" w:lineRule="exact"/>
              <w:jc w:val="center"/>
              <w:rPr>
                <w:rFonts w:ascii="方正书宋_GBK" w:eastAsia="方正书宋_GBK"/>
                <w:b/>
              </w:rPr>
            </w:pPr>
            <w:r>
              <w:rPr>
                <w:rFonts w:hint="eastAsia" w:ascii="宋体" w:hAnsi="宋体" w:cs="宋体"/>
                <w:b/>
              </w:rPr>
              <w:t>财政专户核拨</w:t>
            </w:r>
          </w:p>
        </w:tc>
        <w:tc>
          <w:tcPr>
            <w:tcW w:w="851" w:type="dxa"/>
            <w:vAlign w:val="center"/>
          </w:tcPr>
          <w:p>
            <w:pPr>
              <w:spacing w:line="700" w:lineRule="exact"/>
              <w:jc w:val="center"/>
              <w:rPr>
                <w:rFonts w:ascii="方正书宋_GBK" w:eastAsia="方正书宋_GBK"/>
                <w:b/>
              </w:rPr>
            </w:pPr>
            <w:r>
              <w:rPr>
                <w:rFonts w:hint="eastAsia" w:ascii="宋体" w:hAnsi="宋体" w:cs="宋体"/>
                <w:b/>
              </w:rPr>
              <w:t>其他来源收入</w:t>
            </w:r>
          </w:p>
        </w:tc>
        <w:tc>
          <w:tcPr>
            <w:tcW w:w="850" w:type="dxa"/>
            <w:vMerge w:val="continue"/>
            <w:vAlign w:val="center"/>
          </w:tcPr>
          <w:p>
            <w:pPr>
              <w:spacing w:line="700" w:lineRule="exact"/>
              <w:jc w:val="left"/>
              <w:outlineLvl w:val="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64" w:hRule="atLeast"/>
          <w:jc w:val="center"/>
        </w:trPr>
        <w:tc>
          <w:tcPr>
            <w:tcW w:w="1221" w:type="dxa"/>
            <w:vAlign w:val="center"/>
          </w:tcPr>
          <w:p>
            <w:pPr>
              <w:spacing w:line="700" w:lineRule="exact"/>
              <w:jc w:val="center"/>
              <w:rPr>
                <w:rFonts w:ascii="方正书宋_GBK" w:eastAsia="方正书宋_GBK"/>
                <w:b/>
              </w:rPr>
            </w:pPr>
          </w:p>
        </w:tc>
        <w:tc>
          <w:tcPr>
            <w:tcW w:w="764" w:type="dxa"/>
            <w:vAlign w:val="center"/>
          </w:tcPr>
          <w:p>
            <w:pPr>
              <w:spacing w:line="700" w:lineRule="exact"/>
              <w:jc w:val="right"/>
              <w:rPr>
                <w:rFonts w:ascii="方正书宋_GBK" w:eastAsia="方正书宋_GBK"/>
                <w:b/>
              </w:rPr>
            </w:pPr>
          </w:p>
        </w:tc>
        <w:tc>
          <w:tcPr>
            <w:tcW w:w="1134" w:type="dxa"/>
            <w:vAlign w:val="center"/>
          </w:tcPr>
          <w:p>
            <w:pPr>
              <w:spacing w:line="700" w:lineRule="exact"/>
              <w:jc w:val="left"/>
              <w:rPr>
                <w:rFonts w:ascii="方正书宋_GBK" w:eastAsia="方正书宋_GBK"/>
                <w:b/>
              </w:rPr>
            </w:pPr>
          </w:p>
        </w:tc>
        <w:tc>
          <w:tcPr>
            <w:tcW w:w="1134" w:type="dxa"/>
            <w:vAlign w:val="center"/>
          </w:tcPr>
          <w:p>
            <w:pPr>
              <w:spacing w:line="700" w:lineRule="exact"/>
              <w:jc w:val="left"/>
              <w:rPr>
                <w:rFonts w:ascii="方正书宋_GBK" w:eastAsia="方正书宋_GBK"/>
                <w:b/>
              </w:rPr>
            </w:pPr>
          </w:p>
        </w:tc>
        <w:tc>
          <w:tcPr>
            <w:tcW w:w="992" w:type="dxa"/>
            <w:vAlign w:val="center"/>
          </w:tcPr>
          <w:p>
            <w:pPr>
              <w:spacing w:line="700" w:lineRule="exact"/>
              <w:jc w:val="left"/>
              <w:rPr>
                <w:rFonts w:ascii="方正书宋_GBK" w:eastAsia="方正书宋_GBK"/>
                <w:b/>
              </w:rPr>
            </w:pPr>
          </w:p>
        </w:tc>
        <w:tc>
          <w:tcPr>
            <w:tcW w:w="851" w:type="dxa"/>
            <w:vAlign w:val="center"/>
          </w:tcPr>
          <w:p>
            <w:pPr>
              <w:spacing w:line="700" w:lineRule="exact"/>
              <w:jc w:val="right"/>
              <w:rPr>
                <w:rFonts w:ascii="方正书宋_GBK" w:eastAsia="方正书宋_GBK"/>
                <w:b/>
              </w:rPr>
            </w:pPr>
          </w:p>
        </w:tc>
        <w:tc>
          <w:tcPr>
            <w:tcW w:w="834" w:type="dxa"/>
            <w:vAlign w:val="center"/>
          </w:tcPr>
          <w:p/>
        </w:tc>
        <w:tc>
          <w:tcPr>
            <w:tcW w:w="709" w:type="dxa"/>
            <w:vAlign w:val="center"/>
          </w:tcPr>
          <w:p>
            <w:pPr>
              <w:spacing w:line="700" w:lineRule="exact"/>
              <w:jc w:val="right"/>
              <w:rPr>
                <w:rFonts w:ascii="方正书宋_GBK" w:eastAsia="方正书宋_GBK"/>
                <w:b/>
              </w:rPr>
            </w:pPr>
          </w:p>
        </w:tc>
        <w:tc>
          <w:tcPr>
            <w:tcW w:w="992" w:type="dxa"/>
            <w:vAlign w:val="center"/>
          </w:tcPr>
          <w:p>
            <w:pPr>
              <w:spacing w:line="700" w:lineRule="exact"/>
              <w:jc w:val="right"/>
              <w:rPr>
                <w:rFonts w:ascii="方正书宋_GBK" w:eastAsia="方正书宋_GBK"/>
                <w:b/>
              </w:rPr>
            </w:pPr>
          </w:p>
        </w:tc>
        <w:tc>
          <w:tcPr>
            <w:tcW w:w="1134" w:type="dxa"/>
            <w:vAlign w:val="center"/>
          </w:tcPr>
          <w:p>
            <w:pPr>
              <w:spacing w:line="700" w:lineRule="exact"/>
              <w:jc w:val="right"/>
              <w:rPr>
                <w:rFonts w:ascii="方正书宋_GBK" w:eastAsia="方正书宋_GBK"/>
                <w:b/>
              </w:rPr>
            </w:pPr>
          </w:p>
        </w:tc>
        <w:tc>
          <w:tcPr>
            <w:tcW w:w="851" w:type="dxa"/>
            <w:vAlign w:val="center"/>
          </w:tcPr>
          <w:p>
            <w:pPr>
              <w:spacing w:line="700" w:lineRule="exact"/>
              <w:jc w:val="right"/>
              <w:rPr>
                <w:rFonts w:ascii="方正书宋_GBK" w:eastAsia="方正书宋_GBK"/>
                <w:b/>
              </w:rPr>
            </w:pPr>
          </w:p>
        </w:tc>
        <w:tc>
          <w:tcPr>
            <w:tcW w:w="850" w:type="dxa"/>
            <w:vAlign w:val="center"/>
          </w:tcPr>
          <w:p>
            <w:pPr>
              <w:spacing w:line="700" w:lineRule="exact"/>
              <w:jc w:val="right"/>
              <w:rPr>
                <w:rFonts w:ascii="方正书宋_GBK" w:eastAsia="方正书宋_GBK"/>
                <w:b/>
              </w:rPr>
            </w:pPr>
          </w:p>
        </w:tc>
        <w:tc>
          <w:tcPr>
            <w:tcW w:w="851" w:type="dxa"/>
            <w:vAlign w:val="center"/>
          </w:tcPr>
          <w:p>
            <w:pPr>
              <w:spacing w:line="700" w:lineRule="exact"/>
              <w:jc w:val="right"/>
              <w:rPr>
                <w:rFonts w:ascii="方正书宋_GBK" w:eastAsia="方正书宋_GBK"/>
                <w:b/>
              </w:rPr>
            </w:pPr>
          </w:p>
        </w:tc>
        <w:tc>
          <w:tcPr>
            <w:tcW w:w="850" w:type="dxa"/>
            <w:vAlign w:val="center"/>
          </w:tcPr>
          <w:p>
            <w:pPr>
              <w:spacing w:line="7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39" w:hRule="atLeast"/>
          <w:jc w:val="center"/>
        </w:trPr>
        <w:tc>
          <w:tcPr>
            <w:tcW w:w="1221" w:type="dxa"/>
            <w:vAlign w:val="center"/>
          </w:tcPr>
          <w:p>
            <w:pPr>
              <w:spacing w:line="700" w:lineRule="exact"/>
              <w:jc w:val="left"/>
              <w:rPr>
                <w:rFonts w:ascii="方正书宋_GBK" w:eastAsia="方正书宋_GBK"/>
              </w:rPr>
            </w:pPr>
          </w:p>
        </w:tc>
        <w:tc>
          <w:tcPr>
            <w:tcW w:w="764" w:type="dxa"/>
            <w:vAlign w:val="center"/>
          </w:tcPr>
          <w:p>
            <w:pPr>
              <w:spacing w:line="700" w:lineRule="exact"/>
              <w:jc w:val="right"/>
              <w:rPr>
                <w:rFonts w:ascii="方正书宋_GBK" w:eastAsia="方正书宋_GBK"/>
              </w:rPr>
            </w:pPr>
          </w:p>
        </w:tc>
        <w:tc>
          <w:tcPr>
            <w:tcW w:w="1134" w:type="dxa"/>
            <w:vAlign w:val="center"/>
          </w:tcPr>
          <w:p>
            <w:pPr>
              <w:spacing w:line="700" w:lineRule="exact"/>
              <w:jc w:val="left"/>
              <w:rPr>
                <w:rFonts w:ascii="方正书宋_GBK" w:eastAsia="方正书宋_GBK"/>
              </w:rPr>
            </w:pPr>
          </w:p>
        </w:tc>
        <w:tc>
          <w:tcPr>
            <w:tcW w:w="1134" w:type="dxa"/>
            <w:vAlign w:val="center"/>
          </w:tcPr>
          <w:p>
            <w:pPr>
              <w:spacing w:line="700" w:lineRule="exact"/>
              <w:jc w:val="left"/>
              <w:rPr>
                <w:rFonts w:ascii="方正书宋_GBK" w:eastAsia="方正书宋_GBK"/>
              </w:rPr>
            </w:pPr>
          </w:p>
        </w:tc>
        <w:tc>
          <w:tcPr>
            <w:tcW w:w="992" w:type="dxa"/>
            <w:vAlign w:val="center"/>
          </w:tcPr>
          <w:p>
            <w:pPr>
              <w:spacing w:line="700" w:lineRule="exact"/>
              <w:jc w:val="left"/>
              <w:rPr>
                <w:rFonts w:ascii="方正书宋_GBK" w:eastAsia="方正书宋_GBK"/>
              </w:rPr>
            </w:pPr>
          </w:p>
        </w:tc>
        <w:tc>
          <w:tcPr>
            <w:tcW w:w="851" w:type="dxa"/>
            <w:vAlign w:val="center"/>
          </w:tcPr>
          <w:p>
            <w:pPr>
              <w:spacing w:line="700" w:lineRule="exact"/>
              <w:jc w:val="right"/>
              <w:rPr>
                <w:rFonts w:ascii="方正书宋_GBK" w:eastAsia="方正书宋_GBK"/>
              </w:rPr>
            </w:pPr>
          </w:p>
        </w:tc>
        <w:tc>
          <w:tcPr>
            <w:tcW w:w="834" w:type="dxa"/>
            <w:vAlign w:val="center"/>
          </w:tcPr>
          <w:p>
            <w:pPr>
              <w:spacing w:line="700" w:lineRule="exact"/>
              <w:jc w:val="right"/>
              <w:rPr>
                <w:rFonts w:ascii="方正书宋_GBK" w:eastAsia="方正书宋_GBK"/>
              </w:rPr>
            </w:pPr>
          </w:p>
        </w:tc>
        <w:tc>
          <w:tcPr>
            <w:tcW w:w="709" w:type="dxa"/>
            <w:vAlign w:val="center"/>
          </w:tcPr>
          <w:p>
            <w:pPr>
              <w:spacing w:line="700" w:lineRule="exact"/>
              <w:jc w:val="right"/>
              <w:rPr>
                <w:rFonts w:ascii="方正书宋_GBK" w:eastAsia="方正书宋_GBK"/>
              </w:rPr>
            </w:pPr>
          </w:p>
        </w:tc>
        <w:tc>
          <w:tcPr>
            <w:tcW w:w="992" w:type="dxa"/>
            <w:vAlign w:val="center"/>
          </w:tcPr>
          <w:p>
            <w:pPr>
              <w:spacing w:line="700" w:lineRule="exact"/>
              <w:jc w:val="right"/>
              <w:rPr>
                <w:rFonts w:ascii="方正书宋_GBK" w:eastAsia="方正书宋_GBK"/>
              </w:rPr>
            </w:pPr>
          </w:p>
        </w:tc>
        <w:tc>
          <w:tcPr>
            <w:tcW w:w="1134" w:type="dxa"/>
            <w:vAlign w:val="center"/>
          </w:tcPr>
          <w:p>
            <w:pPr>
              <w:spacing w:line="700" w:lineRule="exact"/>
              <w:jc w:val="right"/>
              <w:rPr>
                <w:rFonts w:ascii="方正书宋_GBK" w:eastAsia="方正书宋_GBK"/>
              </w:rPr>
            </w:pPr>
          </w:p>
        </w:tc>
        <w:tc>
          <w:tcPr>
            <w:tcW w:w="851" w:type="dxa"/>
            <w:vAlign w:val="center"/>
          </w:tcPr>
          <w:p>
            <w:pPr>
              <w:spacing w:line="700" w:lineRule="exact"/>
              <w:jc w:val="right"/>
              <w:rPr>
                <w:rFonts w:ascii="方正书宋_GBK" w:eastAsia="方正书宋_GBK"/>
              </w:rPr>
            </w:pPr>
          </w:p>
        </w:tc>
        <w:tc>
          <w:tcPr>
            <w:tcW w:w="850" w:type="dxa"/>
            <w:vAlign w:val="center"/>
          </w:tcPr>
          <w:p>
            <w:pPr>
              <w:spacing w:line="700" w:lineRule="exact"/>
              <w:jc w:val="right"/>
              <w:rPr>
                <w:rFonts w:ascii="方正书宋_GBK" w:eastAsia="方正书宋_GBK"/>
              </w:rPr>
            </w:pPr>
          </w:p>
        </w:tc>
        <w:tc>
          <w:tcPr>
            <w:tcW w:w="851" w:type="dxa"/>
            <w:vAlign w:val="center"/>
          </w:tcPr>
          <w:p>
            <w:pPr>
              <w:spacing w:line="700" w:lineRule="exact"/>
              <w:jc w:val="right"/>
              <w:rPr>
                <w:rFonts w:ascii="方正书宋_GBK" w:eastAsia="方正书宋_GBK"/>
              </w:rPr>
            </w:pPr>
          </w:p>
        </w:tc>
        <w:tc>
          <w:tcPr>
            <w:tcW w:w="850" w:type="dxa"/>
            <w:vAlign w:val="center"/>
          </w:tcPr>
          <w:p>
            <w:pPr>
              <w:spacing w:line="700" w:lineRule="exact"/>
              <w:jc w:val="right"/>
              <w:rPr>
                <w:rFonts w:ascii="方正书宋_GBK" w:eastAsia="方正书宋_GBK"/>
              </w:rPr>
            </w:pPr>
          </w:p>
        </w:tc>
      </w:tr>
    </w:tbl>
    <w:p>
      <w:pPr>
        <w:spacing w:line="360" w:lineRule="auto"/>
        <w:rPr>
          <w:rFonts w:ascii="仿宋" w:hAnsi="仿宋" w:eastAsia="仿宋"/>
          <w:sz w:val="32"/>
          <w:szCs w:val="32"/>
        </w:rPr>
        <w:sectPr>
          <w:pgSz w:w="16838" w:h="11906" w:orient="landscape"/>
          <w:pgMar w:top="1797" w:right="1440" w:bottom="1797" w:left="1440" w:header="851" w:footer="992" w:gutter="0"/>
          <w:cols w:space="425" w:num="1"/>
          <w:docGrid w:linePitch="312" w:charSpace="0"/>
        </w:sectPr>
      </w:pPr>
    </w:p>
    <w:p>
      <w:pPr>
        <w:spacing w:line="360" w:lineRule="auto"/>
        <w:rPr>
          <w:rFonts w:ascii="仿宋" w:hAnsi="仿宋" w:eastAsia="仿宋"/>
          <w:sz w:val="32"/>
          <w:szCs w:val="32"/>
        </w:rPr>
      </w:pPr>
    </w:p>
    <w:p>
      <w:pPr>
        <w:spacing w:line="360" w:lineRule="auto"/>
        <w:jc w:val="center"/>
        <w:rPr>
          <w:rFonts w:ascii="黑体" w:hAnsi="黑体" w:eastAsia="黑体" w:cs="Times New Roman"/>
          <w:sz w:val="32"/>
          <w:szCs w:val="32"/>
        </w:rPr>
      </w:pPr>
      <w:r>
        <w:rPr>
          <w:rFonts w:hint="eastAsia" w:ascii="黑体" w:hAnsi="黑体" w:eastAsia="黑体" w:cs="Times New Roman"/>
          <w:sz w:val="32"/>
          <w:szCs w:val="32"/>
        </w:rPr>
        <w:t>第七部分：国有资产信息</w:t>
      </w:r>
    </w:p>
    <w:p>
      <w:pPr>
        <w:spacing w:line="360" w:lineRule="auto"/>
        <w:ind w:firstLine="640" w:firstLineChars="200"/>
        <w:rPr>
          <w:rFonts w:ascii="仿宋" w:hAnsi="仿宋" w:eastAsia="仿宋"/>
          <w:sz w:val="32"/>
          <w:szCs w:val="32"/>
        </w:rPr>
      </w:pPr>
      <w:r>
        <w:rPr>
          <w:rFonts w:hint="eastAsia" w:ascii="仿宋" w:hAnsi="仿宋" w:eastAsia="仿宋"/>
          <w:sz w:val="32"/>
          <w:szCs w:val="32"/>
        </w:rPr>
        <w:t>上年末我部门固定资产总金额为576.34万元（详见下表）。我部门本年度无国有资产购置计划，拟购置金额为</w:t>
      </w:r>
      <w:r>
        <w:rPr>
          <w:rFonts w:ascii="仿宋" w:hAnsi="仿宋" w:eastAsia="仿宋"/>
          <w:sz w:val="32"/>
          <w:szCs w:val="32"/>
        </w:rPr>
        <w:t>0。</w:t>
      </w:r>
    </w:p>
    <w:tbl>
      <w:tblPr>
        <w:tblStyle w:val="5"/>
        <w:tblW w:w="10084" w:type="dxa"/>
        <w:jc w:val="center"/>
        <w:tblLayout w:type="autofit"/>
        <w:tblCellMar>
          <w:top w:w="0" w:type="dxa"/>
          <w:left w:w="108" w:type="dxa"/>
          <w:bottom w:w="0" w:type="dxa"/>
          <w:right w:w="108" w:type="dxa"/>
        </w:tblCellMar>
      </w:tblPr>
      <w:tblGrid>
        <w:gridCol w:w="4788"/>
        <w:gridCol w:w="1035"/>
        <w:gridCol w:w="4261"/>
      </w:tblGrid>
      <w:tr>
        <w:tblPrEx>
          <w:tblCellMar>
            <w:top w:w="0" w:type="dxa"/>
            <w:left w:w="108" w:type="dxa"/>
            <w:bottom w:w="0" w:type="dxa"/>
            <w:right w:w="108" w:type="dxa"/>
          </w:tblCellMar>
        </w:tblPrEx>
        <w:trPr>
          <w:trHeight w:val="510" w:hRule="atLeast"/>
          <w:jc w:val="center"/>
        </w:trPr>
        <w:tc>
          <w:tcPr>
            <w:tcW w:w="10084" w:type="dxa"/>
            <w:gridSpan w:val="3"/>
            <w:tcBorders>
              <w:top w:val="nil"/>
              <w:left w:val="nil"/>
              <w:bottom w:val="nil"/>
              <w:right w:val="nil"/>
            </w:tcBorders>
            <w:shd w:val="clear" w:color="auto" w:fill="auto"/>
            <w:noWrap/>
            <w:vAlign w:val="center"/>
          </w:tcPr>
          <w:p>
            <w:pPr>
              <w:widowControl/>
              <w:jc w:val="center"/>
              <w:rPr>
                <w:rFonts w:ascii="宋体" w:hAnsi="宋体" w:cs="宋体"/>
                <w:kern w:val="0"/>
                <w:sz w:val="28"/>
                <w:szCs w:val="28"/>
              </w:rPr>
            </w:pPr>
            <w:r>
              <w:rPr>
                <w:rFonts w:hint="eastAsia" w:ascii="宋体" w:hAnsi="宋体"/>
                <w:sz w:val="32"/>
                <w:szCs w:val="32"/>
              </w:rPr>
              <w:t>固定资产占用情况表</w:t>
            </w:r>
          </w:p>
        </w:tc>
      </w:tr>
      <w:tr>
        <w:tblPrEx>
          <w:tblCellMar>
            <w:top w:w="0" w:type="dxa"/>
            <w:left w:w="108" w:type="dxa"/>
            <w:bottom w:w="0" w:type="dxa"/>
            <w:right w:w="108" w:type="dxa"/>
          </w:tblCellMar>
        </w:tblPrEx>
        <w:trPr>
          <w:trHeight w:val="510" w:hRule="atLeast"/>
          <w:jc w:val="center"/>
        </w:trPr>
        <w:tc>
          <w:tcPr>
            <w:tcW w:w="10084" w:type="dxa"/>
            <w:gridSpan w:val="3"/>
            <w:tcBorders>
              <w:top w:val="nil"/>
              <w:left w:val="nil"/>
              <w:bottom w:val="single" w:color="auto" w:sz="4" w:space="0"/>
              <w:right w:val="nil"/>
            </w:tcBorders>
            <w:shd w:val="clear" w:color="auto" w:fill="auto"/>
            <w:noWrap/>
            <w:vAlign w:val="center"/>
          </w:tcPr>
          <w:p>
            <w:pPr>
              <w:widowControl/>
              <w:jc w:val="center"/>
              <w:rPr>
                <w:rFonts w:ascii="仿宋_GB2312" w:hAnsi="仿宋" w:eastAsia="仿宋_GB2312" w:cs="宋体"/>
                <w:kern w:val="0"/>
                <w:sz w:val="28"/>
                <w:szCs w:val="28"/>
              </w:rPr>
            </w:pPr>
            <w:r>
              <w:rPr>
                <w:rFonts w:hint="eastAsia" w:ascii="仿宋_GB2312" w:hAnsi="仿宋" w:eastAsia="仿宋_GB2312" w:cs="宋体"/>
                <w:bCs/>
                <w:kern w:val="0"/>
                <w:sz w:val="32"/>
                <w:szCs w:val="32"/>
              </w:rPr>
              <w:t xml:space="preserve">                           </w:t>
            </w:r>
            <w:r>
              <w:rPr>
                <w:rFonts w:hint="eastAsia" w:ascii="仿宋_GB2312" w:hAnsi="仿宋" w:eastAsia="仿宋_GB2312" w:cs="宋体"/>
                <w:bCs/>
                <w:kern w:val="0"/>
                <w:sz w:val="28"/>
                <w:szCs w:val="28"/>
              </w:rPr>
              <w:t>截止时间：2018年12月31日</w:t>
            </w:r>
          </w:p>
        </w:tc>
      </w:tr>
      <w:tr>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项　　目</w:t>
            </w:r>
          </w:p>
        </w:tc>
        <w:tc>
          <w:tcPr>
            <w:tcW w:w="1035"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数量</w:t>
            </w:r>
          </w:p>
        </w:tc>
        <w:tc>
          <w:tcPr>
            <w:tcW w:w="4261"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价值（单位：万元）</w:t>
            </w:r>
          </w:p>
        </w:tc>
      </w:tr>
      <w:tr>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固定资产总额</w:t>
            </w:r>
          </w:p>
        </w:tc>
        <w:tc>
          <w:tcPr>
            <w:tcW w:w="1035"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b/>
                <w:kern w:val="0"/>
                <w:sz w:val="24"/>
                <w:szCs w:val="24"/>
              </w:rPr>
            </w:pPr>
            <w:r>
              <w:rPr>
                <w:rFonts w:hint="eastAsia" w:ascii="仿宋_GB2312" w:hAnsi="仿宋" w:eastAsia="仿宋_GB2312" w:cs="宋体"/>
                <w:b/>
                <w:kern w:val="0"/>
                <w:sz w:val="24"/>
                <w:szCs w:val="24"/>
              </w:rPr>
              <w:t>--</w:t>
            </w:r>
          </w:p>
        </w:tc>
        <w:tc>
          <w:tcPr>
            <w:tcW w:w="4261"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b/>
                <w:kern w:val="0"/>
                <w:sz w:val="24"/>
                <w:szCs w:val="24"/>
              </w:rPr>
            </w:pPr>
            <w:r>
              <w:rPr>
                <w:rFonts w:hint="eastAsia" w:ascii="仿宋_GB2312" w:hAnsi="仿宋" w:eastAsia="仿宋_GB2312" w:cs="宋体"/>
                <w:b/>
                <w:kern w:val="0"/>
                <w:sz w:val="24"/>
                <w:szCs w:val="24"/>
              </w:rPr>
              <w:t>576.34</w:t>
            </w:r>
          </w:p>
        </w:tc>
      </w:tr>
      <w:tr>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1、房屋（平方米）</w:t>
            </w:r>
          </w:p>
        </w:tc>
        <w:tc>
          <w:tcPr>
            <w:tcW w:w="1035"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16272</w:t>
            </w:r>
          </w:p>
        </w:tc>
        <w:tc>
          <w:tcPr>
            <w:tcW w:w="4261"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271.63</w:t>
            </w:r>
          </w:p>
        </w:tc>
      </w:tr>
      <w:tr>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其中：办公用房（平方米）</w:t>
            </w:r>
          </w:p>
        </w:tc>
        <w:tc>
          <w:tcPr>
            <w:tcW w:w="1035"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4772</w:t>
            </w:r>
          </w:p>
        </w:tc>
        <w:tc>
          <w:tcPr>
            <w:tcW w:w="4261"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122.77</w:t>
            </w:r>
          </w:p>
        </w:tc>
      </w:tr>
      <w:tr>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2、车辆（台、辆）</w:t>
            </w:r>
          </w:p>
        </w:tc>
        <w:tc>
          <w:tcPr>
            <w:tcW w:w="1035"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12</w:t>
            </w:r>
          </w:p>
        </w:tc>
        <w:tc>
          <w:tcPr>
            <w:tcW w:w="4261"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69.35</w:t>
            </w:r>
          </w:p>
        </w:tc>
      </w:tr>
      <w:tr>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3、单价在50万元以上的设备(台、套)</w:t>
            </w:r>
          </w:p>
        </w:tc>
        <w:tc>
          <w:tcPr>
            <w:tcW w:w="1035"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kern w:val="0"/>
                <w:sz w:val="24"/>
                <w:szCs w:val="24"/>
              </w:rPr>
            </w:pPr>
          </w:p>
        </w:tc>
        <w:tc>
          <w:tcPr>
            <w:tcW w:w="4261"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kern w:val="0"/>
                <w:sz w:val="24"/>
                <w:szCs w:val="24"/>
              </w:rPr>
            </w:pPr>
          </w:p>
        </w:tc>
      </w:tr>
      <w:tr>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其中：单价50万元（含）以上的通用设备</w:t>
            </w: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kern w:val="0"/>
                <w:sz w:val="24"/>
                <w:szCs w:val="24"/>
              </w:rPr>
            </w:pPr>
          </w:p>
        </w:tc>
        <w:tc>
          <w:tcPr>
            <w:tcW w:w="426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kern w:val="0"/>
                <w:sz w:val="24"/>
                <w:szCs w:val="24"/>
              </w:rPr>
            </w:pPr>
          </w:p>
        </w:tc>
      </w:tr>
      <w:tr>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单价100万元（含）以上的专用设备</w:t>
            </w:r>
          </w:p>
        </w:tc>
        <w:tc>
          <w:tcPr>
            <w:tcW w:w="103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kern w:val="0"/>
                <w:sz w:val="24"/>
                <w:szCs w:val="24"/>
              </w:rPr>
            </w:pPr>
          </w:p>
        </w:tc>
        <w:tc>
          <w:tcPr>
            <w:tcW w:w="426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hAnsi="仿宋" w:eastAsia="仿宋_GB2312" w:cs="宋体"/>
                <w:kern w:val="0"/>
                <w:sz w:val="24"/>
                <w:szCs w:val="24"/>
              </w:rPr>
            </w:pPr>
          </w:p>
        </w:tc>
      </w:tr>
      <w:tr>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4、其他固定资产</w:t>
            </w:r>
          </w:p>
        </w:tc>
        <w:tc>
          <w:tcPr>
            <w:tcW w:w="1035"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_GB2312" w:hAnsi="仿宋" w:eastAsia="仿宋_GB2312" w:cs="宋体"/>
                <w:kern w:val="0"/>
                <w:sz w:val="24"/>
                <w:szCs w:val="24"/>
              </w:rPr>
            </w:pPr>
          </w:p>
        </w:tc>
        <w:tc>
          <w:tcPr>
            <w:tcW w:w="4261"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235.36</w:t>
            </w:r>
          </w:p>
        </w:tc>
      </w:tr>
    </w:tbl>
    <w:p>
      <w:pPr>
        <w:spacing w:line="360" w:lineRule="auto"/>
        <w:rPr>
          <w:rFonts w:ascii="黑体" w:hAnsi="黑体" w:eastAsia="黑体" w:cs="Times New Roman"/>
          <w:sz w:val="32"/>
          <w:szCs w:val="32"/>
        </w:rPr>
      </w:pPr>
    </w:p>
    <w:p>
      <w:pPr>
        <w:spacing w:line="360" w:lineRule="auto"/>
        <w:jc w:val="center"/>
        <w:rPr>
          <w:rFonts w:ascii="黑体" w:hAnsi="黑体" w:eastAsia="黑体" w:cs="Times New Roman"/>
          <w:sz w:val="32"/>
          <w:szCs w:val="32"/>
        </w:rPr>
      </w:pPr>
      <w:r>
        <w:rPr>
          <w:rFonts w:hint="eastAsia" w:ascii="黑体" w:hAnsi="黑体" w:eastAsia="黑体" w:cs="Times New Roman"/>
          <w:sz w:val="32"/>
          <w:szCs w:val="32"/>
        </w:rPr>
        <w:t>第八部分：名词解释</w:t>
      </w:r>
    </w:p>
    <w:p>
      <w:pPr>
        <w:spacing w:line="360" w:lineRule="auto"/>
        <w:ind w:firstLine="640" w:firstLineChars="200"/>
        <w:rPr>
          <w:rFonts w:ascii="仿宋" w:hAnsi="仿宋" w:eastAsia="仿宋"/>
          <w:sz w:val="32"/>
          <w:szCs w:val="32"/>
        </w:rPr>
      </w:pPr>
      <w:r>
        <w:rPr>
          <w:rFonts w:ascii="仿宋" w:hAnsi="仿宋" w:eastAsia="仿宋"/>
          <w:sz w:val="32"/>
          <w:szCs w:val="32"/>
        </w:rPr>
        <w:t>1、一般公共预算财政拨款收入：指区级财政当年拨付的资金。</w:t>
      </w:r>
    </w:p>
    <w:p>
      <w:pPr>
        <w:spacing w:line="360" w:lineRule="auto"/>
        <w:ind w:firstLine="640" w:firstLineChars="200"/>
        <w:rPr>
          <w:rFonts w:ascii="仿宋" w:hAnsi="仿宋" w:eastAsia="仿宋"/>
          <w:sz w:val="32"/>
          <w:szCs w:val="32"/>
        </w:rPr>
      </w:pPr>
      <w:r>
        <w:rPr>
          <w:rFonts w:ascii="仿宋" w:hAnsi="仿宋" w:eastAsia="仿宋"/>
          <w:sz w:val="32"/>
          <w:szCs w:val="32"/>
        </w:rPr>
        <w:t>2、其他收入：指除上述“财政拨款收入”、“事业收入”等以外的收入。</w:t>
      </w:r>
    </w:p>
    <w:p>
      <w:pPr>
        <w:spacing w:line="360" w:lineRule="auto"/>
        <w:ind w:firstLine="640" w:firstLineChars="200"/>
        <w:rPr>
          <w:rFonts w:ascii="仿宋" w:hAnsi="仿宋" w:eastAsia="仿宋"/>
          <w:sz w:val="32"/>
          <w:szCs w:val="32"/>
        </w:rPr>
      </w:pPr>
      <w:r>
        <w:rPr>
          <w:rFonts w:ascii="仿宋" w:hAnsi="仿宋" w:eastAsia="仿宋"/>
          <w:sz w:val="32"/>
          <w:szCs w:val="32"/>
        </w:rPr>
        <w:t>3、基本支出：指为保障机构正常运转、完成日常工作任务而发生的人员支出和公用支出。</w:t>
      </w:r>
    </w:p>
    <w:p>
      <w:pPr>
        <w:spacing w:line="360" w:lineRule="auto"/>
        <w:ind w:firstLine="640" w:firstLineChars="200"/>
        <w:rPr>
          <w:rFonts w:ascii="仿宋" w:hAnsi="仿宋" w:eastAsia="仿宋"/>
          <w:sz w:val="32"/>
          <w:szCs w:val="32"/>
        </w:rPr>
      </w:pPr>
      <w:r>
        <w:rPr>
          <w:rFonts w:ascii="仿宋" w:hAnsi="仿宋" w:eastAsia="仿宋"/>
          <w:sz w:val="32"/>
          <w:szCs w:val="32"/>
        </w:rPr>
        <w:t>4、项目支出：指在基本支出之外为完成特定行政任务和事业发展目标所发生的支出。</w:t>
      </w:r>
    </w:p>
    <w:p>
      <w:pPr>
        <w:spacing w:line="360" w:lineRule="auto"/>
        <w:ind w:firstLine="640" w:firstLineChars="200"/>
        <w:rPr>
          <w:rFonts w:ascii="仿宋" w:hAnsi="仿宋" w:eastAsia="仿宋"/>
          <w:sz w:val="32"/>
          <w:szCs w:val="32"/>
        </w:rPr>
      </w:pPr>
      <w:r>
        <w:rPr>
          <w:rFonts w:ascii="仿宋" w:hAnsi="仿宋" w:eastAsia="仿宋"/>
          <w:sz w:val="32"/>
          <w:szCs w:val="32"/>
        </w:rPr>
        <w:t>5、“三公”经费：纳入区级财政预算管理的“三公”经费，是指区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360" w:lineRule="auto"/>
        <w:ind w:firstLine="640" w:firstLineChars="200"/>
        <w:rPr>
          <w:rFonts w:ascii="仿宋" w:hAnsi="仿宋" w:eastAsia="仿宋"/>
          <w:sz w:val="32"/>
          <w:szCs w:val="32"/>
        </w:rPr>
      </w:pPr>
      <w:r>
        <w:rPr>
          <w:rFonts w:ascii="仿宋" w:hAnsi="仿宋" w:eastAsia="仿宋"/>
          <w:sz w:val="32"/>
          <w:szCs w:val="32"/>
        </w:rPr>
        <w:t>6、机关运行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360" w:lineRule="auto"/>
        <w:jc w:val="center"/>
        <w:rPr>
          <w:rFonts w:ascii="黑体" w:hAnsi="黑体" w:eastAsia="黑体" w:cs="Times New Roman"/>
          <w:sz w:val="32"/>
          <w:szCs w:val="32"/>
        </w:rPr>
      </w:pPr>
    </w:p>
    <w:p>
      <w:pPr>
        <w:spacing w:line="360" w:lineRule="auto"/>
        <w:jc w:val="center"/>
        <w:rPr>
          <w:rFonts w:ascii="黑体" w:hAnsi="黑体" w:eastAsia="黑体" w:cs="Times New Roman"/>
          <w:sz w:val="32"/>
          <w:szCs w:val="32"/>
        </w:rPr>
      </w:pPr>
      <w:r>
        <w:rPr>
          <w:rFonts w:hint="eastAsia" w:ascii="黑体" w:hAnsi="黑体" w:eastAsia="黑体" w:cs="Times New Roman"/>
          <w:sz w:val="32"/>
          <w:szCs w:val="32"/>
        </w:rPr>
        <w:t>第九部分：其他需说明的事项</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我部门无其他需说明的事项。</w:t>
      </w:r>
    </w:p>
    <w:sectPr>
      <w:pgSz w:w="11906" w:h="16838"/>
      <w:pgMar w:top="1440" w:right="1800" w:bottom="1440" w:left="1800"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方正仿宋_GBK">
    <w:altName w:val="微软雅黑"/>
    <w:panose1 w:val="00000000000000000000"/>
    <w:charset w:val="86"/>
    <w:family w:val="script"/>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0677"/>
      <w:docPartObj>
        <w:docPartGallery w:val="autotext"/>
      </w:docPartObj>
    </w:sdtPr>
    <w:sdtContent>
      <w:p>
        <w:pPr>
          <w:pStyle w:val="3"/>
          <w:jc w:val="center"/>
        </w:pPr>
        <w:r>
          <w:fldChar w:fldCharType="begin"/>
        </w:r>
        <w:r>
          <w:instrText xml:space="preserve">PAGE   \* MERGEFORMAT</w:instrText>
        </w:r>
        <w:r>
          <w:fldChar w:fldCharType="separate"/>
        </w:r>
        <w:r>
          <w:rPr>
            <w:lang w:val="zh-CN"/>
          </w:rPr>
          <w:t>1</w:t>
        </w:r>
        <w:r>
          <w:fldChar w:fldCharType="end"/>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55F1F"/>
    <w:rsid w:val="000050F2"/>
    <w:rsid w:val="00013B8A"/>
    <w:rsid w:val="00014D05"/>
    <w:rsid w:val="00044FBC"/>
    <w:rsid w:val="00055F1F"/>
    <w:rsid w:val="00057F18"/>
    <w:rsid w:val="000A445D"/>
    <w:rsid w:val="000E5053"/>
    <w:rsid w:val="00125E6A"/>
    <w:rsid w:val="00131DEC"/>
    <w:rsid w:val="001462BD"/>
    <w:rsid w:val="00147AAE"/>
    <w:rsid w:val="00152380"/>
    <w:rsid w:val="001638BE"/>
    <w:rsid w:val="0017010C"/>
    <w:rsid w:val="00181777"/>
    <w:rsid w:val="00194968"/>
    <w:rsid w:val="001B4688"/>
    <w:rsid w:val="001C0927"/>
    <w:rsid w:val="001F4875"/>
    <w:rsid w:val="00237522"/>
    <w:rsid w:val="00267351"/>
    <w:rsid w:val="002918C6"/>
    <w:rsid w:val="00296524"/>
    <w:rsid w:val="002A0117"/>
    <w:rsid w:val="002E01F6"/>
    <w:rsid w:val="002F530F"/>
    <w:rsid w:val="00305E97"/>
    <w:rsid w:val="003068BF"/>
    <w:rsid w:val="00322539"/>
    <w:rsid w:val="0032782B"/>
    <w:rsid w:val="00340B3D"/>
    <w:rsid w:val="00367A30"/>
    <w:rsid w:val="003A06D2"/>
    <w:rsid w:val="003A5379"/>
    <w:rsid w:val="003B0A0C"/>
    <w:rsid w:val="003C2317"/>
    <w:rsid w:val="003C442E"/>
    <w:rsid w:val="003D1092"/>
    <w:rsid w:val="003D37CD"/>
    <w:rsid w:val="003E5531"/>
    <w:rsid w:val="0040243C"/>
    <w:rsid w:val="00406BD1"/>
    <w:rsid w:val="00426C19"/>
    <w:rsid w:val="00450FD9"/>
    <w:rsid w:val="00453CE0"/>
    <w:rsid w:val="00470BBB"/>
    <w:rsid w:val="0047345F"/>
    <w:rsid w:val="0048611E"/>
    <w:rsid w:val="004B6929"/>
    <w:rsid w:val="004C1AB5"/>
    <w:rsid w:val="004D41DE"/>
    <w:rsid w:val="004F0D9F"/>
    <w:rsid w:val="004F3C52"/>
    <w:rsid w:val="00510A1E"/>
    <w:rsid w:val="005567EE"/>
    <w:rsid w:val="00570142"/>
    <w:rsid w:val="00574A4B"/>
    <w:rsid w:val="00586097"/>
    <w:rsid w:val="005B1B6F"/>
    <w:rsid w:val="005B6CCB"/>
    <w:rsid w:val="005C54AA"/>
    <w:rsid w:val="005C7B89"/>
    <w:rsid w:val="0062788A"/>
    <w:rsid w:val="00636972"/>
    <w:rsid w:val="00641F8A"/>
    <w:rsid w:val="00676020"/>
    <w:rsid w:val="00680DB1"/>
    <w:rsid w:val="006C62DF"/>
    <w:rsid w:val="006F19A4"/>
    <w:rsid w:val="006F5104"/>
    <w:rsid w:val="00705D01"/>
    <w:rsid w:val="00735B02"/>
    <w:rsid w:val="0074052D"/>
    <w:rsid w:val="007657C8"/>
    <w:rsid w:val="00771E49"/>
    <w:rsid w:val="00782208"/>
    <w:rsid w:val="007B7D38"/>
    <w:rsid w:val="007C64B8"/>
    <w:rsid w:val="007C7FD7"/>
    <w:rsid w:val="007F3746"/>
    <w:rsid w:val="007F5E4C"/>
    <w:rsid w:val="00833132"/>
    <w:rsid w:val="00862730"/>
    <w:rsid w:val="0086356D"/>
    <w:rsid w:val="008672EA"/>
    <w:rsid w:val="00891680"/>
    <w:rsid w:val="00893BB3"/>
    <w:rsid w:val="008A0B5F"/>
    <w:rsid w:val="008B0D3D"/>
    <w:rsid w:val="008B5402"/>
    <w:rsid w:val="0090527E"/>
    <w:rsid w:val="00905BB7"/>
    <w:rsid w:val="00912DA4"/>
    <w:rsid w:val="009302B8"/>
    <w:rsid w:val="009305C6"/>
    <w:rsid w:val="00930AB8"/>
    <w:rsid w:val="00933DD2"/>
    <w:rsid w:val="00935D23"/>
    <w:rsid w:val="009579BB"/>
    <w:rsid w:val="00982F3D"/>
    <w:rsid w:val="00985D02"/>
    <w:rsid w:val="009A7252"/>
    <w:rsid w:val="009B5DCC"/>
    <w:rsid w:val="009E7B2E"/>
    <w:rsid w:val="009F4149"/>
    <w:rsid w:val="00A05AA9"/>
    <w:rsid w:val="00A16DEE"/>
    <w:rsid w:val="00A241F3"/>
    <w:rsid w:val="00A346A5"/>
    <w:rsid w:val="00A8079E"/>
    <w:rsid w:val="00A92D66"/>
    <w:rsid w:val="00AA4262"/>
    <w:rsid w:val="00AB5A90"/>
    <w:rsid w:val="00AD4C92"/>
    <w:rsid w:val="00AD75ED"/>
    <w:rsid w:val="00AE4AA5"/>
    <w:rsid w:val="00AE7FA9"/>
    <w:rsid w:val="00AF2CC7"/>
    <w:rsid w:val="00AF6A46"/>
    <w:rsid w:val="00B147EB"/>
    <w:rsid w:val="00B17D9E"/>
    <w:rsid w:val="00B26F59"/>
    <w:rsid w:val="00B34581"/>
    <w:rsid w:val="00B71289"/>
    <w:rsid w:val="00B80FAB"/>
    <w:rsid w:val="00B81C88"/>
    <w:rsid w:val="00B95E2E"/>
    <w:rsid w:val="00BA5C83"/>
    <w:rsid w:val="00BC6A7D"/>
    <w:rsid w:val="00BD719F"/>
    <w:rsid w:val="00C177A5"/>
    <w:rsid w:val="00C6153C"/>
    <w:rsid w:val="00C66FFF"/>
    <w:rsid w:val="00CA27F8"/>
    <w:rsid w:val="00CB6A01"/>
    <w:rsid w:val="00CC7D74"/>
    <w:rsid w:val="00D02F97"/>
    <w:rsid w:val="00D070DD"/>
    <w:rsid w:val="00D45530"/>
    <w:rsid w:val="00D92D8E"/>
    <w:rsid w:val="00DA5DA7"/>
    <w:rsid w:val="00DE3935"/>
    <w:rsid w:val="00DF4F59"/>
    <w:rsid w:val="00E2325B"/>
    <w:rsid w:val="00E24075"/>
    <w:rsid w:val="00E35F38"/>
    <w:rsid w:val="00E44FB5"/>
    <w:rsid w:val="00E46F27"/>
    <w:rsid w:val="00E509CC"/>
    <w:rsid w:val="00E71A04"/>
    <w:rsid w:val="00E94685"/>
    <w:rsid w:val="00E96342"/>
    <w:rsid w:val="00EA3FE6"/>
    <w:rsid w:val="00F000B1"/>
    <w:rsid w:val="00F012D3"/>
    <w:rsid w:val="00F10D04"/>
    <w:rsid w:val="00F232A1"/>
    <w:rsid w:val="00F572CB"/>
    <w:rsid w:val="00F621AF"/>
    <w:rsid w:val="00F64757"/>
    <w:rsid w:val="00F82447"/>
    <w:rsid w:val="00FB2F32"/>
    <w:rsid w:val="00FE0F1F"/>
    <w:rsid w:val="00FE42A5"/>
    <w:rsid w:val="00FF61F3"/>
    <w:rsid w:val="6C6B552A"/>
    <w:rsid w:val="753271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批注框文本 字符"/>
    <w:basedOn w:val="6"/>
    <w:link w:val="2"/>
    <w:semiHidden/>
    <w:qFormat/>
    <w:uiPriority w:val="99"/>
    <w:rPr>
      <w:sz w:val="18"/>
      <w:szCs w:val="18"/>
    </w:rPr>
  </w:style>
  <w:style w:type="paragraph" w:customStyle="1" w:styleId="10">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8E3BB9-8F42-4E58-89A9-E06853B4CB58}">
  <ds:schemaRefs/>
</ds:datastoreItem>
</file>

<file path=docProps/app.xml><?xml version="1.0" encoding="utf-8"?>
<Properties xmlns="http://schemas.openxmlformats.org/officeDocument/2006/extended-properties" xmlns:vt="http://schemas.openxmlformats.org/officeDocument/2006/docPropsVTypes">
  <Template>Normal</Template>
  <Pages>15</Pages>
  <Words>886</Words>
  <Characters>5055</Characters>
  <Lines>42</Lines>
  <Paragraphs>11</Paragraphs>
  <TotalTime>555</TotalTime>
  <ScaleCrop>false</ScaleCrop>
  <LinksUpToDate>false</LinksUpToDate>
  <CharactersWithSpaces>5930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2019-02-15T06:58:00Z</dcterms:created>
  <dc:creator>Windows 用户</dc:creator>
  <cp:lastModifiedBy>Lenovo</cp:lastModifiedBy>
  <cp:lastPrinted>2019-02-19T07:03:00Z</cp:lastPrinted>
  <dcterms:modified xsi:type="dcterms:W3CDTF">2026-08-26T02:46:09Z</dcterms:modified>
  <cp:revision>159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587329BFF0274ECF8BF32733846D3998</vt:lpwstr>
  </property>
</Properties>
</file>