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45973">
      <w:pPr>
        <w:jc w:val="center"/>
      </w:pPr>
      <w:r>
        <w:rPr>
          <w:rFonts w:ascii="宋体" w:hAnsi="宋体"/>
          <w:b/>
          <w:sz w:val="44"/>
          <w:szCs w:val="44"/>
        </w:rPr>
        <w:t>中国人民政治协商会议保定市徐水区委员会</w:t>
      </w:r>
    </w:p>
    <w:p w14:paraId="084079CA">
      <w:pPr>
        <w:jc w:val="center"/>
        <w:rPr>
          <w:rFonts w:ascii="宋体" w:hAnsi="宋体"/>
          <w:b/>
          <w:sz w:val="44"/>
          <w:szCs w:val="44"/>
        </w:rPr>
      </w:pPr>
      <w:r>
        <w:rPr>
          <w:rFonts w:ascii="宋体" w:hAnsi="宋体"/>
          <w:b/>
          <w:sz w:val="44"/>
          <w:szCs w:val="44"/>
        </w:rPr>
        <w:t>2017年预算信息公开</w:t>
      </w:r>
    </w:p>
    <w:p w14:paraId="3C188F58">
      <w:pPr>
        <w:spacing w:line="520" w:lineRule="exact"/>
        <w:ind w:firstLine="640"/>
        <w:jc w:val="left"/>
        <w:rPr>
          <w:rFonts w:ascii="Times New Roman" w:hAnsi="Times New Roman"/>
          <w:sz w:val="32"/>
          <w:szCs w:val="32"/>
        </w:rPr>
      </w:pPr>
    </w:p>
    <w:p w14:paraId="57633DB1">
      <w:pPr>
        <w:spacing w:line="520" w:lineRule="exact"/>
        <w:ind w:firstLine="640"/>
        <w:jc w:val="left"/>
      </w:pPr>
      <w:r>
        <w:rPr>
          <w:rFonts w:ascii="仿宋_GB2312" w:hAnsi="仿宋"/>
          <w:sz w:val="32"/>
          <w:szCs w:val="32"/>
        </w:rPr>
        <w:t>按照《</w:t>
      </w:r>
      <w:r>
        <w:rPr>
          <w:rFonts w:hint="eastAsia" w:ascii="仿宋_GB2312" w:hAnsi="仿宋"/>
          <w:sz w:val="32"/>
          <w:szCs w:val="32"/>
        </w:rPr>
        <w:t>中华人民共和国预算法</w:t>
      </w:r>
      <w:r>
        <w:rPr>
          <w:rFonts w:ascii="仿宋_GB2312" w:hAnsi="仿宋"/>
          <w:sz w:val="32"/>
          <w:szCs w:val="32"/>
        </w:rPr>
        <w:t>》、</w:t>
      </w:r>
      <w:r>
        <w:rPr>
          <w:rFonts w:ascii="仿宋_GB2312" w:hAnsi="Times New Roman"/>
          <w:sz w:val="32"/>
          <w:szCs w:val="32"/>
        </w:rPr>
        <w:t>《地方预决算公开操作规程》等有关文件的</w:t>
      </w:r>
      <w:r>
        <w:rPr>
          <w:rFonts w:ascii="仿宋_GB2312" w:hAnsi="仿宋"/>
          <w:sz w:val="32"/>
          <w:szCs w:val="32"/>
        </w:rPr>
        <w:t>规定，现将中国人民政治协商会议保定市徐水区委员会2017年部门预算公开如下：</w:t>
      </w:r>
    </w:p>
    <w:p w14:paraId="58CDD115">
      <w:pPr>
        <w:jc w:val="center"/>
        <w:rPr>
          <w:rFonts w:ascii="宋体" w:hAnsi="宋体"/>
          <w:b/>
          <w:sz w:val="44"/>
          <w:szCs w:val="44"/>
        </w:rPr>
      </w:pPr>
    </w:p>
    <w:p w14:paraId="7964B2ED">
      <w:pPr>
        <w:jc w:val="center"/>
      </w:pPr>
      <w:r>
        <w:rPr>
          <w:rFonts w:ascii="宋体" w:hAnsi="宋体"/>
          <w:b/>
          <w:sz w:val="32"/>
          <w:szCs w:val="32"/>
        </w:rPr>
        <w:t>第一部分:部门职责及机构设置</w:t>
      </w:r>
    </w:p>
    <w:p w14:paraId="4B74364D">
      <w:pPr>
        <w:spacing w:line="600" w:lineRule="exact"/>
        <w:ind w:firstLine="640"/>
      </w:pPr>
      <w:r>
        <w:rPr>
          <w:rFonts w:ascii="黑体"/>
          <w:b/>
          <w:sz w:val="32"/>
          <w:szCs w:val="32"/>
        </w:rPr>
        <w:t>一、部门职责</w:t>
      </w:r>
    </w:p>
    <w:p w14:paraId="30AC0A32">
      <w:pPr>
        <w:ind w:firstLine="315"/>
      </w:pPr>
      <w:r>
        <w:t>　</w:t>
      </w:r>
      <w:r>
        <w:rPr>
          <w:rFonts w:ascii="仿宋" w:hAnsi="仿宋"/>
          <w:sz w:val="32"/>
          <w:szCs w:val="32"/>
        </w:rPr>
        <w:t>（一）在本行政区域内,保证宪法、法律、行政法规和区政协全体会议及其常委会会议的遵守和执行；</w:t>
      </w:r>
    </w:p>
    <w:p w14:paraId="23FFE9A7">
      <w:pPr>
        <w:ind w:firstLine="480"/>
      </w:pPr>
      <w:r>
        <w:rPr>
          <w:rFonts w:ascii="仿宋" w:hAnsi="仿宋"/>
          <w:sz w:val="32"/>
          <w:szCs w:val="32"/>
        </w:rPr>
        <w:t>（二）召集区政协委员全体会议；</w:t>
      </w:r>
    </w:p>
    <w:p w14:paraId="30805699">
      <w:pPr>
        <w:ind w:firstLine="480"/>
      </w:pPr>
      <w:r>
        <w:rPr>
          <w:rFonts w:ascii="仿宋" w:hAnsi="仿宋"/>
          <w:sz w:val="32"/>
          <w:szCs w:val="32"/>
        </w:rPr>
        <w:t>（三）视察、调研重大问题以及人民群众普遍关心的问题，开展调查研究，反映社情民意，进行协商讨论，以调研报告、建议案或其他形式，向区委、区政府提出意见和建议。</w:t>
      </w:r>
    </w:p>
    <w:p w14:paraId="692459BA">
      <w:pPr>
        <w:ind w:firstLine="480"/>
      </w:pPr>
      <w:r>
        <w:rPr>
          <w:rFonts w:ascii="仿宋" w:hAnsi="仿宋"/>
          <w:sz w:val="32"/>
          <w:szCs w:val="32"/>
        </w:rPr>
        <w:t>（四）有效履行民主监督职责，发挥好协调关系、汇聚力量、建言献策、服务大局的作用。通过意见、建议、批评的方式对区委、区政府重大方针政策的贯彻执行、区委和区政府的工作进行政治监督。</w:t>
      </w:r>
    </w:p>
    <w:p w14:paraId="7B59815F">
      <w:pPr>
        <w:ind w:firstLine="480"/>
      </w:pPr>
      <w:r>
        <w:rPr>
          <w:rFonts w:ascii="仿宋" w:hAnsi="仿宋"/>
          <w:sz w:val="32"/>
          <w:szCs w:val="32"/>
        </w:rPr>
        <w:t>（五）在区政协委员全体会议闭会期间，补选区政协委员全体会议出缺的委员和罢免个别委员；</w:t>
      </w:r>
    </w:p>
    <w:p w14:paraId="690E1399">
      <w:pPr>
        <w:spacing w:line="600" w:lineRule="exact"/>
        <w:ind w:firstLine="640"/>
        <w:rPr>
          <w:rFonts w:ascii="仿宋_GB2312"/>
          <w:sz w:val="32"/>
          <w:szCs w:val="21"/>
        </w:rPr>
      </w:pPr>
      <w:r>
        <w:rPr>
          <w:rFonts w:ascii="黑体"/>
          <w:b/>
          <w:sz w:val="32"/>
          <w:szCs w:val="21"/>
        </w:rPr>
        <w:t>二、机构设置</w:t>
      </w:r>
    </w:p>
    <w:tbl>
      <w:tblPr>
        <w:tblStyle w:val="11"/>
        <w:tblW w:w="0" w:type="auto"/>
        <w:jc w:val="center"/>
        <w:tblLayout w:type="autofit"/>
        <w:tblCellMar>
          <w:top w:w="0" w:type="dxa"/>
          <w:left w:w="108" w:type="dxa"/>
          <w:bottom w:w="0" w:type="dxa"/>
          <w:right w:w="108" w:type="dxa"/>
        </w:tblCellMar>
      </w:tblPr>
      <w:tblGrid>
        <w:gridCol w:w="1080"/>
        <w:gridCol w:w="2320"/>
        <w:gridCol w:w="2120"/>
        <w:gridCol w:w="1900"/>
        <w:gridCol w:w="2376"/>
      </w:tblGrid>
      <w:tr w14:paraId="56D71C81">
        <w:tblPrEx>
          <w:tblCellMar>
            <w:top w:w="0" w:type="dxa"/>
            <w:left w:w="108" w:type="dxa"/>
            <w:bottom w:w="0" w:type="dxa"/>
            <w:right w:w="108" w:type="dxa"/>
          </w:tblCellMar>
        </w:tblPrEx>
        <w:trPr>
          <w:trHeight w:val="810" w:hRule="atLeast"/>
          <w:jc w:val="center"/>
        </w:trPr>
        <w:tc>
          <w:tcPr>
            <w:tcW w:w="9796" w:type="dxa"/>
            <w:gridSpan w:val="5"/>
            <w:tcBorders>
              <w:top w:val="nil"/>
              <w:left w:val="nil"/>
              <w:bottom w:val="single" w:color="000000" w:sz="4" w:space="0"/>
              <w:right w:val="nil"/>
            </w:tcBorders>
            <w:vAlign w:val="center"/>
          </w:tcPr>
          <w:p w14:paraId="7FAA5DDD">
            <w:pPr>
              <w:jc w:val="center"/>
            </w:pPr>
            <w:r>
              <w:rPr>
                <w:rFonts w:ascii="宋体" w:hAnsi="宋体"/>
                <w:color w:val="000000"/>
                <w:sz w:val="28"/>
                <w:szCs w:val="28"/>
              </w:rPr>
              <w:t>部门机构设置情况</w:t>
            </w:r>
          </w:p>
        </w:tc>
      </w:tr>
      <w:tr w14:paraId="1FA1710C">
        <w:tblPrEx>
          <w:tblCellMar>
            <w:top w:w="0" w:type="dxa"/>
            <w:left w:w="108" w:type="dxa"/>
            <w:bottom w:w="0" w:type="dxa"/>
            <w:right w:w="108" w:type="dxa"/>
          </w:tblCellMar>
        </w:tblPrEx>
        <w:trPr>
          <w:trHeight w:val="720" w:hRule="atLeast"/>
          <w:jc w:val="center"/>
        </w:trPr>
        <w:tc>
          <w:tcPr>
            <w:tcW w:w="1080" w:type="dxa"/>
            <w:vMerge w:val="restart"/>
            <w:tcBorders>
              <w:top w:val="nil"/>
              <w:left w:val="single" w:color="000000" w:sz="4" w:space="0"/>
              <w:bottom w:val="single" w:color="000000" w:sz="4" w:space="0"/>
              <w:right w:val="single" w:color="000000" w:sz="4" w:space="0"/>
            </w:tcBorders>
            <w:vAlign w:val="center"/>
          </w:tcPr>
          <w:p w14:paraId="037D4B29">
            <w:pPr>
              <w:jc w:val="center"/>
            </w:pPr>
            <w:r>
              <w:rPr>
                <w:rFonts w:ascii="宋体" w:hAnsi="宋体"/>
                <w:color w:val="000000"/>
                <w:sz w:val="20"/>
                <w:szCs w:val="20"/>
              </w:rPr>
              <w:t>序号</w:t>
            </w:r>
          </w:p>
        </w:tc>
        <w:tc>
          <w:tcPr>
            <w:tcW w:w="2320" w:type="dxa"/>
            <w:vMerge w:val="restart"/>
            <w:tcBorders>
              <w:top w:val="nil"/>
              <w:left w:val="single" w:color="000000" w:sz="4" w:space="0"/>
              <w:bottom w:val="single" w:color="000000" w:sz="4" w:space="0"/>
              <w:right w:val="single" w:color="000000" w:sz="4" w:space="0"/>
            </w:tcBorders>
            <w:vAlign w:val="center"/>
          </w:tcPr>
          <w:p w14:paraId="1FEB2BD3">
            <w:pPr>
              <w:jc w:val="center"/>
            </w:pPr>
            <w:r>
              <w:rPr>
                <w:rFonts w:ascii="宋体" w:hAnsi="宋体"/>
                <w:color w:val="000000"/>
                <w:sz w:val="20"/>
                <w:szCs w:val="20"/>
              </w:rPr>
              <w:t>单位名称</w:t>
            </w:r>
          </w:p>
        </w:tc>
        <w:tc>
          <w:tcPr>
            <w:tcW w:w="2120" w:type="dxa"/>
            <w:vMerge w:val="restart"/>
            <w:tcBorders>
              <w:top w:val="nil"/>
              <w:left w:val="single" w:color="000000" w:sz="4" w:space="0"/>
              <w:bottom w:val="single" w:color="000000" w:sz="4" w:space="0"/>
              <w:right w:val="single" w:color="000000" w:sz="4" w:space="0"/>
            </w:tcBorders>
            <w:vAlign w:val="center"/>
          </w:tcPr>
          <w:p w14:paraId="5697059E">
            <w:pPr>
              <w:jc w:val="center"/>
            </w:pPr>
            <w:r>
              <w:rPr>
                <w:rFonts w:ascii="宋体" w:hAnsi="宋体"/>
                <w:color w:val="000000"/>
                <w:sz w:val="20"/>
                <w:szCs w:val="20"/>
              </w:rPr>
              <w:t>单位性质</w:t>
            </w:r>
          </w:p>
        </w:tc>
        <w:tc>
          <w:tcPr>
            <w:tcW w:w="1900" w:type="dxa"/>
            <w:vMerge w:val="restart"/>
            <w:tcBorders>
              <w:top w:val="nil"/>
              <w:left w:val="single" w:color="000000" w:sz="4" w:space="0"/>
              <w:bottom w:val="single" w:color="000000" w:sz="4" w:space="0"/>
              <w:right w:val="single" w:color="000000" w:sz="4" w:space="0"/>
            </w:tcBorders>
            <w:vAlign w:val="center"/>
          </w:tcPr>
          <w:p w14:paraId="5E80C4E4">
            <w:pPr>
              <w:jc w:val="center"/>
            </w:pPr>
            <w:r>
              <w:rPr>
                <w:rFonts w:ascii="宋体" w:hAnsi="宋体"/>
                <w:color w:val="000000"/>
                <w:sz w:val="20"/>
                <w:szCs w:val="20"/>
              </w:rPr>
              <w:t>单位规格</w:t>
            </w:r>
          </w:p>
        </w:tc>
        <w:tc>
          <w:tcPr>
            <w:tcW w:w="2376" w:type="dxa"/>
            <w:vMerge w:val="restart"/>
            <w:tcBorders>
              <w:top w:val="nil"/>
              <w:left w:val="single" w:color="000000" w:sz="4" w:space="0"/>
              <w:bottom w:val="single" w:color="000000" w:sz="4" w:space="0"/>
              <w:right w:val="single" w:color="000000" w:sz="4" w:space="0"/>
            </w:tcBorders>
            <w:vAlign w:val="center"/>
          </w:tcPr>
          <w:p w14:paraId="010982EC">
            <w:pPr>
              <w:jc w:val="center"/>
            </w:pPr>
            <w:r>
              <w:rPr>
                <w:rFonts w:ascii="宋体" w:hAnsi="宋体"/>
                <w:color w:val="000000"/>
                <w:sz w:val="20"/>
                <w:szCs w:val="20"/>
              </w:rPr>
              <w:t>经费保障形式</w:t>
            </w:r>
          </w:p>
        </w:tc>
      </w:tr>
      <w:tr w14:paraId="56DFA8E1">
        <w:tblPrEx>
          <w:tblCellMar>
            <w:top w:w="0" w:type="dxa"/>
            <w:left w:w="108" w:type="dxa"/>
            <w:bottom w:w="0" w:type="dxa"/>
            <w:right w:w="108" w:type="dxa"/>
          </w:tblCellMar>
        </w:tblPrEx>
        <w:trPr>
          <w:trHeight w:val="312" w:hRule="atLeast"/>
          <w:jc w:val="center"/>
        </w:trPr>
        <w:tc>
          <w:tcPr>
            <w:vMerge w:val="continue"/>
            <w:tcBorders>
              <w:top w:val="nil"/>
              <w:left w:val="single" w:color="000000" w:sz="4" w:space="0"/>
              <w:bottom w:val="single" w:color="000000" w:sz="4" w:space="0"/>
              <w:right w:val="single" w:color="000000" w:sz="4" w:space="0"/>
            </w:tcBorders>
          </w:tcPr>
          <w:p w14:paraId="72F30A55"/>
        </w:tc>
        <w:tc>
          <w:tcPr>
            <w:vMerge w:val="continue"/>
            <w:tcBorders>
              <w:top w:val="nil"/>
              <w:left w:val="single" w:color="000000" w:sz="4" w:space="0"/>
              <w:bottom w:val="single" w:color="000000" w:sz="4" w:space="0"/>
              <w:right w:val="single" w:color="000000" w:sz="4" w:space="0"/>
            </w:tcBorders>
          </w:tcPr>
          <w:p w14:paraId="245A167E"/>
        </w:tc>
        <w:tc>
          <w:tcPr>
            <w:vMerge w:val="continue"/>
            <w:tcBorders>
              <w:top w:val="nil"/>
              <w:left w:val="single" w:color="000000" w:sz="4" w:space="0"/>
              <w:bottom w:val="single" w:color="000000" w:sz="4" w:space="0"/>
              <w:right w:val="single" w:color="000000" w:sz="4" w:space="0"/>
            </w:tcBorders>
          </w:tcPr>
          <w:p w14:paraId="77845143"/>
        </w:tc>
        <w:tc>
          <w:tcPr>
            <w:vMerge w:val="continue"/>
            <w:tcBorders>
              <w:top w:val="nil"/>
              <w:left w:val="single" w:color="000000" w:sz="4" w:space="0"/>
              <w:bottom w:val="single" w:color="000000" w:sz="4" w:space="0"/>
              <w:right w:val="single" w:color="000000" w:sz="4" w:space="0"/>
            </w:tcBorders>
          </w:tcPr>
          <w:p w14:paraId="74778D90"/>
        </w:tc>
        <w:tc>
          <w:tcPr>
            <w:vMerge w:val="continue"/>
            <w:tcBorders>
              <w:top w:val="nil"/>
              <w:left w:val="single" w:color="000000" w:sz="4" w:space="0"/>
              <w:bottom w:val="single" w:color="000000" w:sz="4" w:space="0"/>
              <w:right w:val="single" w:color="000000" w:sz="4" w:space="0"/>
            </w:tcBorders>
          </w:tcPr>
          <w:p w14:paraId="40D21731"/>
        </w:tc>
      </w:tr>
      <w:tr w14:paraId="3BDB78B0">
        <w:tblPrEx>
          <w:tblCellMar>
            <w:top w:w="0" w:type="dxa"/>
            <w:left w:w="108" w:type="dxa"/>
            <w:bottom w:w="0" w:type="dxa"/>
            <w:right w:w="108" w:type="dxa"/>
          </w:tblCellMar>
        </w:tblPrEx>
        <w:trPr>
          <w:trHeight w:val="720" w:hRule="atLeast"/>
          <w:jc w:val="center"/>
        </w:trPr>
        <w:tc>
          <w:tcPr>
            <w:tcW w:w="1080" w:type="dxa"/>
            <w:tcBorders>
              <w:top w:val="nil"/>
              <w:left w:val="single" w:color="000000" w:sz="4" w:space="0"/>
              <w:bottom w:val="single" w:color="000000" w:sz="4" w:space="0"/>
              <w:right w:val="single" w:color="000000" w:sz="4" w:space="0"/>
            </w:tcBorders>
            <w:vAlign w:val="center"/>
          </w:tcPr>
          <w:p w14:paraId="595BB8DD">
            <w:pPr>
              <w:jc w:val="center"/>
            </w:pPr>
            <w:r>
              <w:rPr>
                <w:rFonts w:ascii="宋体" w:hAnsi="宋体"/>
                <w:color w:val="000000"/>
                <w:sz w:val="20"/>
                <w:szCs w:val="20"/>
              </w:rPr>
              <w:t>1</w:t>
            </w:r>
          </w:p>
        </w:tc>
        <w:tc>
          <w:tcPr>
            <w:tcW w:w="2320" w:type="dxa"/>
            <w:tcBorders>
              <w:top w:val="nil"/>
              <w:left w:val="nil"/>
              <w:bottom w:val="single" w:color="000000" w:sz="4" w:space="0"/>
              <w:right w:val="single" w:color="000000" w:sz="4" w:space="0"/>
            </w:tcBorders>
            <w:vAlign w:val="center"/>
          </w:tcPr>
          <w:p w14:paraId="20034D04">
            <w:pPr>
              <w:jc w:val="center"/>
            </w:pPr>
            <w:r>
              <w:rPr>
                <w:rFonts w:ascii="宋体" w:hAnsi="宋体"/>
                <w:color w:val="000000"/>
                <w:sz w:val="20"/>
                <w:szCs w:val="20"/>
              </w:rPr>
              <w:t>保定市徐水区政协</w:t>
            </w:r>
            <w:r>
              <w:rPr>
                <w:sz w:val="20"/>
                <w:szCs w:val="20"/>
              </w:rPr>
              <w:t>办公     室</w:t>
            </w:r>
          </w:p>
        </w:tc>
        <w:tc>
          <w:tcPr>
            <w:tcW w:w="2120" w:type="dxa"/>
            <w:tcBorders>
              <w:top w:val="nil"/>
              <w:left w:val="nil"/>
              <w:bottom w:val="single" w:color="000000" w:sz="4" w:space="0"/>
              <w:right w:val="single" w:color="000000" w:sz="4" w:space="0"/>
            </w:tcBorders>
            <w:vAlign w:val="center"/>
          </w:tcPr>
          <w:p w14:paraId="0124A803">
            <w:pPr>
              <w:jc w:val="center"/>
            </w:pPr>
            <w:r>
              <w:rPr>
                <w:rFonts w:ascii="宋体" w:hAnsi="宋体"/>
                <w:color w:val="000000"/>
                <w:sz w:val="20"/>
                <w:szCs w:val="20"/>
              </w:rPr>
              <w:t>行政</w:t>
            </w:r>
          </w:p>
        </w:tc>
        <w:tc>
          <w:tcPr>
            <w:tcW w:w="1900" w:type="dxa"/>
            <w:tcBorders>
              <w:top w:val="nil"/>
              <w:left w:val="nil"/>
              <w:bottom w:val="single" w:color="000000" w:sz="4" w:space="0"/>
              <w:right w:val="single" w:color="000000" w:sz="4" w:space="0"/>
            </w:tcBorders>
            <w:vAlign w:val="center"/>
          </w:tcPr>
          <w:p w14:paraId="131552A0">
            <w:pPr>
              <w:jc w:val="center"/>
            </w:pPr>
            <w:r>
              <w:rPr>
                <w:rFonts w:ascii="宋体" w:hAnsi="宋体"/>
                <w:color w:val="000000"/>
                <w:sz w:val="20"/>
                <w:szCs w:val="20"/>
              </w:rPr>
              <w:t>正科级</w:t>
            </w:r>
          </w:p>
        </w:tc>
        <w:tc>
          <w:tcPr>
            <w:tcW w:w="2376" w:type="dxa"/>
            <w:tcBorders>
              <w:top w:val="nil"/>
              <w:left w:val="nil"/>
              <w:bottom w:val="single" w:color="000000" w:sz="4" w:space="0"/>
              <w:right w:val="single" w:color="000000" w:sz="4" w:space="0"/>
            </w:tcBorders>
            <w:vAlign w:val="center"/>
          </w:tcPr>
          <w:p w14:paraId="37DB3757">
            <w:pPr>
              <w:jc w:val="center"/>
            </w:pPr>
            <w:r>
              <w:rPr>
                <w:rFonts w:ascii="宋体" w:hAnsi="宋体"/>
                <w:color w:val="000000"/>
                <w:sz w:val="20"/>
                <w:szCs w:val="20"/>
              </w:rPr>
              <w:t>财政拨款</w:t>
            </w:r>
          </w:p>
        </w:tc>
      </w:tr>
      <w:tr w14:paraId="0FDAE981">
        <w:tblPrEx>
          <w:tblCellMar>
            <w:top w:w="0" w:type="dxa"/>
            <w:left w:w="108" w:type="dxa"/>
            <w:bottom w:w="0" w:type="dxa"/>
            <w:right w:w="108" w:type="dxa"/>
          </w:tblCellMar>
        </w:tblPrEx>
        <w:trPr>
          <w:trHeight w:val="720" w:hRule="atLeast"/>
          <w:jc w:val="center"/>
        </w:trPr>
        <w:tc>
          <w:tcPr>
            <w:tcW w:w="1080" w:type="dxa"/>
            <w:tcBorders>
              <w:top w:val="nil"/>
              <w:left w:val="single" w:color="000000" w:sz="4" w:space="0"/>
              <w:bottom w:val="single" w:color="000000" w:sz="4" w:space="0"/>
              <w:right w:val="single" w:color="000000" w:sz="4" w:space="0"/>
            </w:tcBorders>
            <w:vAlign w:val="center"/>
          </w:tcPr>
          <w:p w14:paraId="2928E4BF">
            <w:pPr>
              <w:jc w:val="center"/>
            </w:pPr>
            <w:r>
              <w:rPr>
                <w:rFonts w:ascii="宋体" w:hAnsi="宋体"/>
                <w:color w:val="000000"/>
                <w:sz w:val="20"/>
                <w:szCs w:val="20"/>
              </w:rPr>
              <w:t>2</w:t>
            </w:r>
          </w:p>
        </w:tc>
        <w:tc>
          <w:tcPr>
            <w:tcW w:w="2320" w:type="dxa"/>
            <w:tcBorders>
              <w:top w:val="nil"/>
              <w:left w:val="nil"/>
              <w:bottom w:val="single" w:color="000000" w:sz="4" w:space="0"/>
              <w:right w:val="single" w:color="000000" w:sz="4" w:space="0"/>
            </w:tcBorders>
            <w:vAlign w:val="center"/>
          </w:tcPr>
          <w:p w14:paraId="574158AF">
            <w:pPr>
              <w:jc w:val="center"/>
            </w:pPr>
            <w:r>
              <w:rPr>
                <w:sz w:val="20"/>
                <w:szCs w:val="20"/>
              </w:rPr>
              <w:t>经济法制建设委员会</w:t>
            </w:r>
          </w:p>
        </w:tc>
        <w:tc>
          <w:tcPr>
            <w:tcW w:w="2120" w:type="dxa"/>
            <w:tcBorders>
              <w:top w:val="nil"/>
              <w:left w:val="nil"/>
              <w:bottom w:val="single" w:color="000000" w:sz="4" w:space="0"/>
              <w:right w:val="single" w:color="000000" w:sz="4" w:space="0"/>
            </w:tcBorders>
            <w:vAlign w:val="center"/>
          </w:tcPr>
          <w:p w14:paraId="4CDC602F">
            <w:pPr>
              <w:jc w:val="center"/>
            </w:pPr>
            <w:r>
              <w:rPr>
                <w:rFonts w:ascii="宋体" w:hAnsi="宋体"/>
                <w:color w:val="000000"/>
                <w:sz w:val="20"/>
                <w:szCs w:val="20"/>
              </w:rPr>
              <w:t>行政</w:t>
            </w:r>
          </w:p>
        </w:tc>
        <w:tc>
          <w:tcPr>
            <w:tcW w:w="1900" w:type="dxa"/>
            <w:tcBorders>
              <w:top w:val="nil"/>
              <w:left w:val="nil"/>
              <w:bottom w:val="single" w:color="000000" w:sz="4" w:space="0"/>
              <w:right w:val="single" w:color="000000" w:sz="4" w:space="0"/>
            </w:tcBorders>
            <w:vAlign w:val="center"/>
          </w:tcPr>
          <w:p w14:paraId="1032134F">
            <w:pPr>
              <w:jc w:val="center"/>
            </w:pPr>
            <w:r>
              <w:rPr>
                <w:rFonts w:ascii="宋体" w:hAnsi="宋体"/>
                <w:color w:val="000000"/>
                <w:sz w:val="20"/>
                <w:szCs w:val="20"/>
              </w:rPr>
              <w:t>正科级</w:t>
            </w:r>
          </w:p>
        </w:tc>
        <w:tc>
          <w:tcPr>
            <w:tcW w:w="2376" w:type="dxa"/>
            <w:tcBorders>
              <w:top w:val="nil"/>
              <w:left w:val="nil"/>
              <w:bottom w:val="single" w:color="000000" w:sz="4" w:space="0"/>
              <w:right w:val="single" w:color="000000" w:sz="4" w:space="0"/>
            </w:tcBorders>
            <w:vAlign w:val="center"/>
          </w:tcPr>
          <w:p w14:paraId="3553F2B4">
            <w:pPr>
              <w:jc w:val="center"/>
            </w:pPr>
            <w:r>
              <w:rPr>
                <w:rFonts w:ascii="宋体" w:hAnsi="宋体"/>
                <w:color w:val="000000"/>
                <w:sz w:val="20"/>
                <w:szCs w:val="20"/>
              </w:rPr>
              <w:t>财政拨款</w:t>
            </w:r>
          </w:p>
        </w:tc>
      </w:tr>
      <w:tr w14:paraId="6DD67DF9">
        <w:tblPrEx>
          <w:tblCellMar>
            <w:top w:w="0" w:type="dxa"/>
            <w:left w:w="108" w:type="dxa"/>
            <w:bottom w:w="0" w:type="dxa"/>
            <w:right w:w="108" w:type="dxa"/>
          </w:tblCellMar>
        </w:tblPrEx>
        <w:trPr>
          <w:trHeight w:val="720" w:hRule="atLeast"/>
          <w:jc w:val="center"/>
        </w:trPr>
        <w:tc>
          <w:tcPr>
            <w:tcW w:w="1080" w:type="dxa"/>
            <w:tcBorders>
              <w:top w:val="nil"/>
              <w:left w:val="single" w:color="000000" w:sz="4" w:space="0"/>
              <w:bottom w:val="single" w:color="000000" w:sz="4" w:space="0"/>
              <w:right w:val="single" w:color="000000" w:sz="4" w:space="0"/>
            </w:tcBorders>
            <w:vAlign w:val="center"/>
          </w:tcPr>
          <w:p w14:paraId="49151F5B">
            <w:pPr>
              <w:jc w:val="center"/>
            </w:pPr>
            <w:r>
              <w:rPr>
                <w:rFonts w:ascii="宋体" w:hAnsi="宋体"/>
                <w:color w:val="000000"/>
                <w:sz w:val="20"/>
                <w:szCs w:val="20"/>
              </w:rPr>
              <w:t>3</w:t>
            </w:r>
          </w:p>
        </w:tc>
        <w:tc>
          <w:tcPr>
            <w:tcW w:w="2320" w:type="dxa"/>
            <w:tcBorders>
              <w:top w:val="nil"/>
              <w:left w:val="nil"/>
              <w:bottom w:val="single" w:color="000000" w:sz="4" w:space="0"/>
              <w:right w:val="single" w:color="000000" w:sz="4" w:space="0"/>
            </w:tcBorders>
            <w:vAlign w:val="center"/>
          </w:tcPr>
          <w:p w14:paraId="1113B15D">
            <w:pPr>
              <w:jc w:val="center"/>
            </w:pPr>
            <w:r>
              <w:rPr>
                <w:sz w:val="20"/>
                <w:szCs w:val="20"/>
              </w:rPr>
              <w:t>宣教文卫委员会</w:t>
            </w:r>
          </w:p>
        </w:tc>
        <w:tc>
          <w:tcPr>
            <w:tcW w:w="2120" w:type="dxa"/>
            <w:tcBorders>
              <w:top w:val="nil"/>
              <w:left w:val="nil"/>
              <w:bottom w:val="single" w:color="000000" w:sz="4" w:space="0"/>
              <w:right w:val="single" w:color="000000" w:sz="4" w:space="0"/>
            </w:tcBorders>
            <w:vAlign w:val="center"/>
          </w:tcPr>
          <w:p w14:paraId="78FB4708">
            <w:pPr>
              <w:jc w:val="center"/>
            </w:pPr>
            <w:r>
              <w:rPr>
                <w:rFonts w:ascii="宋体" w:hAnsi="宋体"/>
                <w:color w:val="000000"/>
                <w:sz w:val="20"/>
                <w:szCs w:val="20"/>
              </w:rPr>
              <w:t>行政</w:t>
            </w:r>
          </w:p>
        </w:tc>
        <w:tc>
          <w:tcPr>
            <w:tcW w:w="1900" w:type="dxa"/>
            <w:tcBorders>
              <w:top w:val="nil"/>
              <w:left w:val="nil"/>
              <w:bottom w:val="single" w:color="000000" w:sz="4" w:space="0"/>
              <w:right w:val="single" w:color="000000" w:sz="4" w:space="0"/>
            </w:tcBorders>
            <w:vAlign w:val="center"/>
          </w:tcPr>
          <w:p w14:paraId="38EECCC5">
            <w:pPr>
              <w:jc w:val="center"/>
            </w:pPr>
            <w:r>
              <w:rPr>
                <w:rFonts w:ascii="宋体" w:hAnsi="宋体"/>
                <w:color w:val="000000"/>
                <w:sz w:val="20"/>
                <w:szCs w:val="20"/>
              </w:rPr>
              <w:t>正科级</w:t>
            </w:r>
          </w:p>
        </w:tc>
        <w:tc>
          <w:tcPr>
            <w:tcW w:w="2376" w:type="dxa"/>
            <w:tcBorders>
              <w:top w:val="nil"/>
              <w:left w:val="nil"/>
              <w:bottom w:val="single" w:color="000000" w:sz="4" w:space="0"/>
              <w:right w:val="single" w:color="000000" w:sz="4" w:space="0"/>
            </w:tcBorders>
            <w:vAlign w:val="center"/>
          </w:tcPr>
          <w:p w14:paraId="032E5014">
            <w:pPr>
              <w:jc w:val="center"/>
            </w:pPr>
            <w:r>
              <w:rPr>
                <w:rFonts w:ascii="宋体" w:hAnsi="宋体"/>
                <w:color w:val="000000"/>
                <w:sz w:val="20"/>
                <w:szCs w:val="20"/>
              </w:rPr>
              <w:t>财政拨款</w:t>
            </w:r>
          </w:p>
        </w:tc>
      </w:tr>
    </w:tbl>
    <w:p w14:paraId="4CAF0647">
      <w:pPr>
        <w:spacing w:line="600" w:lineRule="exact"/>
        <w:ind w:firstLine="660"/>
        <w:rPr>
          <w:rFonts w:ascii="仿宋_GB2312"/>
          <w:sz w:val="32"/>
          <w:szCs w:val="21"/>
        </w:rPr>
      </w:pPr>
    </w:p>
    <w:p w14:paraId="0361C9C1">
      <w:pPr>
        <w:spacing w:line="520" w:lineRule="exact"/>
        <w:ind w:left="1713" w:firstLine="320"/>
        <w:jc w:val="center"/>
        <w:rPr>
          <w:rFonts w:ascii="黑体" w:hAnsi="黑体"/>
          <w:sz w:val="32"/>
          <w:szCs w:val="32"/>
        </w:rPr>
      </w:pPr>
      <w:r>
        <w:rPr>
          <w:rFonts w:ascii="黑体" w:hAnsi="黑体"/>
          <w:sz w:val="32"/>
          <w:szCs w:val="32"/>
        </w:rPr>
        <w:t>第二部分：部门预算安排的总体情况</w:t>
      </w:r>
    </w:p>
    <w:p w14:paraId="245C906C">
      <w:pPr>
        <w:spacing w:line="520" w:lineRule="exact"/>
        <w:ind w:firstLine="640"/>
        <w:jc w:val="left"/>
      </w:pPr>
      <w:r>
        <w:rPr>
          <w:rFonts w:ascii="仿宋" w:hAnsi="仿宋"/>
          <w:sz w:val="32"/>
          <w:szCs w:val="32"/>
        </w:rPr>
        <w:t>1、收入说明</w:t>
      </w:r>
    </w:p>
    <w:p w14:paraId="4921CA6C">
      <w:pPr>
        <w:spacing w:line="560" w:lineRule="exact"/>
        <w:ind w:firstLine="640"/>
      </w:pPr>
      <w:r>
        <w:rPr>
          <w:rFonts w:ascii="仿宋" w:hAnsi="仿宋"/>
          <w:sz w:val="32"/>
          <w:szCs w:val="32"/>
        </w:rPr>
        <w:t>2017年保定市徐水区政协年初部门收入预算总额为523.46万元。其中：一般公共预算收入523.46万元。</w:t>
      </w:r>
    </w:p>
    <w:p w14:paraId="208250C4">
      <w:pPr>
        <w:spacing w:line="520" w:lineRule="exact"/>
        <w:ind w:firstLine="640"/>
        <w:jc w:val="left"/>
      </w:pPr>
      <w:r>
        <w:rPr>
          <w:rFonts w:ascii="仿宋" w:hAnsi="仿宋"/>
          <w:sz w:val="32"/>
          <w:szCs w:val="32"/>
        </w:rPr>
        <w:t>2、支出说明</w:t>
      </w:r>
    </w:p>
    <w:p w14:paraId="5C038D81">
      <w:pPr>
        <w:spacing w:line="560" w:lineRule="exact"/>
        <w:ind w:firstLine="640"/>
      </w:pPr>
      <w:r>
        <w:rPr>
          <w:rFonts w:ascii="仿宋" w:hAnsi="仿宋"/>
          <w:sz w:val="32"/>
          <w:szCs w:val="32"/>
        </w:rPr>
        <w:t>2017年部门支出安排预算总额523.46万元。</w:t>
      </w:r>
    </w:p>
    <w:p w14:paraId="457C786A">
      <w:pPr>
        <w:spacing w:line="560" w:lineRule="exact"/>
        <w:ind w:firstLine="640"/>
      </w:pPr>
      <w:r>
        <w:rPr>
          <w:rFonts w:ascii="仿宋" w:hAnsi="仿宋"/>
          <w:sz w:val="32"/>
          <w:szCs w:val="32"/>
        </w:rPr>
        <w:t>基本支出 467.7万元</w:t>
      </w:r>
    </w:p>
    <w:p w14:paraId="6B223A8C">
      <w:pPr>
        <w:spacing w:line="560" w:lineRule="exact"/>
        <w:ind w:firstLine="640"/>
      </w:pPr>
      <w:r>
        <w:rPr>
          <w:rFonts w:ascii="仿宋" w:hAnsi="仿宋"/>
          <w:sz w:val="32"/>
          <w:szCs w:val="32"/>
        </w:rPr>
        <w:t xml:space="preserve">   其中：人员经费 433.87万元</w:t>
      </w:r>
    </w:p>
    <w:p w14:paraId="008C650D">
      <w:pPr>
        <w:spacing w:line="560" w:lineRule="exact"/>
        <w:ind w:firstLine="640"/>
      </w:pPr>
      <w:r>
        <w:rPr>
          <w:rFonts w:ascii="仿宋" w:hAnsi="仿宋"/>
          <w:sz w:val="32"/>
          <w:szCs w:val="32"/>
        </w:rPr>
        <w:t xml:space="preserve">         日常公用经费 33.83万元</w:t>
      </w:r>
    </w:p>
    <w:p w14:paraId="3414E611">
      <w:pPr>
        <w:spacing w:line="560" w:lineRule="exact"/>
        <w:ind w:firstLine="640"/>
      </w:pPr>
      <w:r>
        <w:rPr>
          <w:rFonts w:ascii="仿宋" w:hAnsi="仿宋"/>
          <w:sz w:val="32"/>
          <w:szCs w:val="32"/>
        </w:rPr>
        <w:t>项目支出  55.76万元</w:t>
      </w:r>
    </w:p>
    <w:p w14:paraId="4A21F414">
      <w:pPr>
        <w:spacing w:line="560" w:lineRule="exact"/>
        <w:ind w:firstLine="640"/>
      </w:pPr>
      <w:r>
        <w:rPr>
          <w:rFonts w:ascii="仿宋" w:hAnsi="仿宋"/>
          <w:sz w:val="32"/>
          <w:szCs w:val="32"/>
        </w:rPr>
        <w:t xml:space="preserve">   其中：本级支出 55.76万元</w:t>
      </w:r>
    </w:p>
    <w:p w14:paraId="770A19DC">
      <w:pPr>
        <w:spacing w:line="560" w:lineRule="exact"/>
        <w:ind w:firstLine="640"/>
        <w:jc w:val="left"/>
      </w:pPr>
      <w:r>
        <w:rPr>
          <w:rFonts w:ascii="仿宋_GB2312" w:hAnsi="黑体"/>
          <w:sz w:val="32"/>
          <w:szCs w:val="32"/>
        </w:rPr>
        <w:t>3、比上年增减情况</w:t>
      </w:r>
    </w:p>
    <w:p w14:paraId="28BC1722">
      <w:pPr>
        <w:spacing w:line="560" w:lineRule="exact"/>
        <w:ind w:firstLine="640"/>
      </w:pPr>
      <w:r>
        <w:rPr>
          <w:rFonts w:ascii="仿宋" w:hAnsi="仿宋"/>
          <w:sz w:val="32"/>
          <w:szCs w:val="32"/>
        </w:rPr>
        <w:t>本年度预算收支安排523.46万元，较上年增加84.09万元。其中:基本支出增加88.09万元，主要增加工资车补及养老保险职业年金支出；项目支出55.76万元，比上年减少5万元，主要压缩会议项目支出。</w:t>
      </w:r>
    </w:p>
    <w:p w14:paraId="3C87E671">
      <w:pPr>
        <w:spacing w:line="520" w:lineRule="exact"/>
        <w:jc w:val="center"/>
      </w:pPr>
      <w:r>
        <w:rPr>
          <w:rFonts w:ascii="黑体" w:hAnsi="黑体"/>
          <w:sz w:val="32"/>
          <w:szCs w:val="32"/>
        </w:rPr>
        <w:t>第三部分：机关运行经费安排情况</w:t>
      </w:r>
    </w:p>
    <w:p w14:paraId="3F661E04">
      <w:pPr>
        <w:spacing w:line="560" w:lineRule="exact"/>
        <w:ind w:firstLine="640"/>
      </w:pPr>
      <w:r>
        <w:rPr>
          <w:rFonts w:ascii="仿宋" w:hAnsi="仿宋"/>
          <w:sz w:val="32"/>
          <w:szCs w:val="32"/>
        </w:rPr>
        <w:t xml:space="preserve"> 保定市徐水区政协机关运行经费安排33.83万元，其中办公费10.8万元，邮电费2.16万元，工会经费、福利费5.99万元，公务用车运行维护费12万元，其他支出2.88万元。</w:t>
      </w:r>
    </w:p>
    <w:p w14:paraId="76B1F815">
      <w:pPr>
        <w:spacing w:line="500" w:lineRule="exact"/>
        <w:ind w:firstLine="643"/>
        <w:jc w:val="left"/>
        <w:rPr>
          <w:rFonts w:ascii="宋体" w:hAnsi="宋体"/>
          <w:b/>
          <w:sz w:val="32"/>
          <w:szCs w:val="32"/>
        </w:rPr>
      </w:pPr>
    </w:p>
    <w:p w14:paraId="60B333FD">
      <w:pPr>
        <w:spacing w:line="520" w:lineRule="exact"/>
        <w:jc w:val="center"/>
      </w:pPr>
      <w:r>
        <w:rPr>
          <w:rFonts w:ascii="黑体" w:hAnsi="黑体"/>
          <w:sz w:val="32"/>
          <w:szCs w:val="32"/>
        </w:rPr>
        <w:t>第四部分：财政拨款“三公”经费预算情况及增减变化原因</w:t>
      </w:r>
    </w:p>
    <w:p w14:paraId="6B44B8FD">
      <w:pPr>
        <w:spacing w:line="560" w:lineRule="exact"/>
        <w:ind w:firstLine="640"/>
      </w:pPr>
      <w:r>
        <w:rPr>
          <w:rFonts w:ascii="仿宋" w:hAnsi="仿宋"/>
          <w:sz w:val="32"/>
          <w:szCs w:val="32"/>
        </w:rPr>
        <w:t>2017年“三公经费”预算数为22万元，主要包括：因公出国（境）费0万元，与上年持平。2017年无公务用车购置费，与上年持平；公务用车运行维护费20万元，与上年持平。公务接待费2万元，与上年持平。</w:t>
      </w:r>
    </w:p>
    <w:tbl>
      <w:tblPr>
        <w:tblStyle w:val="11"/>
        <w:tblW w:w="0" w:type="auto"/>
        <w:tblInd w:w="-108" w:type="dxa"/>
        <w:tblLayout w:type="autofit"/>
        <w:tblCellMar>
          <w:top w:w="0" w:type="dxa"/>
          <w:left w:w="108" w:type="dxa"/>
          <w:bottom w:w="0" w:type="dxa"/>
          <w:right w:w="108" w:type="dxa"/>
        </w:tblCellMar>
      </w:tblPr>
      <w:tblGrid>
        <w:gridCol w:w="2136"/>
        <w:gridCol w:w="1716"/>
        <w:gridCol w:w="1716"/>
        <w:gridCol w:w="1176"/>
        <w:gridCol w:w="3111"/>
      </w:tblGrid>
      <w:tr w14:paraId="2753E3F3">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vAlign w:val="center"/>
          </w:tcPr>
          <w:p w14:paraId="6FF46A8C">
            <w:pPr>
              <w:spacing w:line="520" w:lineRule="exact"/>
              <w:ind w:firstLine="640"/>
              <w:jc w:val="center"/>
              <w:rPr>
                <w:rFonts w:ascii="黑体" w:hAnsi="黑体"/>
                <w:sz w:val="32"/>
                <w:szCs w:val="32"/>
              </w:rPr>
            </w:pPr>
          </w:p>
          <w:p w14:paraId="087EC2B7">
            <w:pPr>
              <w:spacing w:line="520" w:lineRule="exact"/>
            </w:pPr>
          </w:p>
        </w:tc>
      </w:tr>
      <w:tr w14:paraId="24251433">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272D23D6">
            <w:pPr>
              <w:jc w:val="left"/>
            </w:pPr>
          </w:p>
        </w:tc>
        <w:tc>
          <w:tcPr>
            <w:tcW w:w="1716" w:type="dxa"/>
            <w:tcBorders>
              <w:top w:val="nil"/>
              <w:left w:val="nil"/>
              <w:bottom w:val="nil"/>
              <w:right w:val="nil"/>
            </w:tcBorders>
            <w:vAlign w:val="center"/>
          </w:tcPr>
          <w:p w14:paraId="0857C3F3">
            <w:pPr>
              <w:jc w:val="left"/>
            </w:pPr>
          </w:p>
        </w:tc>
        <w:tc>
          <w:tcPr>
            <w:tcW w:w="1716" w:type="dxa"/>
            <w:tcBorders>
              <w:top w:val="nil"/>
              <w:left w:val="nil"/>
              <w:bottom w:val="nil"/>
              <w:right w:val="nil"/>
            </w:tcBorders>
            <w:vAlign w:val="center"/>
          </w:tcPr>
          <w:p w14:paraId="13AAD66D">
            <w:pPr>
              <w:jc w:val="left"/>
            </w:pPr>
          </w:p>
        </w:tc>
        <w:tc>
          <w:tcPr>
            <w:tcW w:w="1176" w:type="dxa"/>
            <w:tcBorders>
              <w:top w:val="nil"/>
              <w:left w:val="nil"/>
              <w:bottom w:val="nil"/>
              <w:right w:val="nil"/>
            </w:tcBorders>
            <w:vAlign w:val="center"/>
          </w:tcPr>
          <w:p w14:paraId="654C8E7A">
            <w:pPr>
              <w:jc w:val="left"/>
            </w:pPr>
          </w:p>
        </w:tc>
        <w:tc>
          <w:tcPr>
            <w:tcW w:w="3111" w:type="dxa"/>
            <w:tcBorders>
              <w:top w:val="nil"/>
              <w:left w:val="nil"/>
              <w:bottom w:val="nil"/>
              <w:right w:val="nil"/>
            </w:tcBorders>
            <w:vAlign w:val="center"/>
          </w:tcPr>
          <w:p w14:paraId="3382F701">
            <w:pPr>
              <w:jc w:val="right"/>
            </w:pPr>
            <w:r>
              <w:rPr>
                <w:rFonts w:ascii="宋体" w:hAnsi="宋体"/>
                <w:sz w:val="24"/>
                <w:szCs w:val="24"/>
              </w:rPr>
              <w:t>单位：万元</w:t>
            </w:r>
          </w:p>
        </w:tc>
      </w:tr>
      <w:tr w14:paraId="59543F5A">
        <w:tblPrEx>
          <w:tblCellMar>
            <w:top w:w="0" w:type="dxa"/>
            <w:left w:w="108" w:type="dxa"/>
            <w:bottom w:w="0" w:type="dxa"/>
            <w:right w:w="108" w:type="dxa"/>
          </w:tblCellMar>
        </w:tblPrEx>
        <w:trPr>
          <w:trHeight w:val="285" w:hRule="atLeast"/>
        </w:trPr>
        <w:tc>
          <w:tcPr>
            <w:tcW w:w="2136" w:type="dxa"/>
            <w:tcBorders>
              <w:top w:val="single" w:color="000000" w:sz="4" w:space="0"/>
              <w:left w:val="single" w:color="000000" w:sz="4" w:space="0"/>
              <w:bottom w:val="single" w:color="000000" w:sz="4" w:space="0"/>
              <w:right w:val="single" w:color="000000" w:sz="4" w:space="0"/>
            </w:tcBorders>
            <w:vAlign w:val="center"/>
          </w:tcPr>
          <w:p w14:paraId="2947B2F4">
            <w:pPr>
              <w:jc w:val="center"/>
            </w:pPr>
            <w:r>
              <w:rPr>
                <w:rFonts w:ascii="仿宋" w:hAnsi="仿宋"/>
                <w:sz w:val="24"/>
                <w:szCs w:val="24"/>
              </w:rPr>
              <w:t>项目名称</w:t>
            </w:r>
          </w:p>
        </w:tc>
        <w:tc>
          <w:tcPr>
            <w:tcW w:w="1716" w:type="dxa"/>
            <w:tcBorders>
              <w:top w:val="single" w:color="000000" w:sz="4" w:space="0"/>
              <w:left w:val="nil"/>
              <w:bottom w:val="single" w:color="000000" w:sz="4" w:space="0"/>
              <w:right w:val="single" w:color="000000" w:sz="4" w:space="0"/>
            </w:tcBorders>
            <w:vAlign w:val="center"/>
          </w:tcPr>
          <w:p w14:paraId="7C3800F8">
            <w:pPr>
              <w:jc w:val="center"/>
            </w:pPr>
            <w:r>
              <w:rPr>
                <w:rFonts w:ascii="仿宋" w:hAnsi="仿宋"/>
                <w:sz w:val="24"/>
                <w:szCs w:val="24"/>
              </w:rPr>
              <w:t>2016年度预算</w:t>
            </w:r>
          </w:p>
        </w:tc>
        <w:tc>
          <w:tcPr>
            <w:tcW w:w="1716" w:type="dxa"/>
            <w:tcBorders>
              <w:top w:val="single" w:color="000000" w:sz="4" w:space="0"/>
              <w:left w:val="nil"/>
              <w:bottom w:val="single" w:color="000000" w:sz="4" w:space="0"/>
              <w:right w:val="single" w:color="000000" w:sz="4" w:space="0"/>
            </w:tcBorders>
            <w:vAlign w:val="center"/>
          </w:tcPr>
          <w:p w14:paraId="33A731E9">
            <w:pPr>
              <w:jc w:val="center"/>
            </w:pPr>
            <w:r>
              <w:rPr>
                <w:rFonts w:ascii="仿宋" w:hAnsi="仿宋"/>
                <w:sz w:val="24"/>
                <w:szCs w:val="24"/>
              </w:rPr>
              <w:t>2017年度预算</w:t>
            </w:r>
          </w:p>
        </w:tc>
        <w:tc>
          <w:tcPr>
            <w:tcW w:w="1176" w:type="dxa"/>
            <w:tcBorders>
              <w:top w:val="single" w:color="000000" w:sz="4" w:space="0"/>
              <w:left w:val="nil"/>
              <w:bottom w:val="single" w:color="000000" w:sz="4" w:space="0"/>
              <w:right w:val="single" w:color="000000" w:sz="4" w:space="0"/>
            </w:tcBorders>
            <w:vAlign w:val="center"/>
          </w:tcPr>
          <w:p w14:paraId="13E0CAF0">
            <w:pPr>
              <w:jc w:val="center"/>
            </w:pPr>
            <w:r>
              <w:rPr>
                <w:rFonts w:ascii="仿宋" w:hAnsi="仿宋"/>
                <w:sz w:val="24"/>
                <w:szCs w:val="24"/>
              </w:rPr>
              <w:t>增减金额</w:t>
            </w:r>
          </w:p>
        </w:tc>
        <w:tc>
          <w:tcPr>
            <w:tcW w:w="3111" w:type="dxa"/>
            <w:tcBorders>
              <w:top w:val="single" w:color="000000" w:sz="4" w:space="0"/>
              <w:left w:val="nil"/>
              <w:bottom w:val="single" w:color="000000" w:sz="4" w:space="0"/>
              <w:right w:val="single" w:color="000000" w:sz="4" w:space="0"/>
            </w:tcBorders>
            <w:vAlign w:val="center"/>
          </w:tcPr>
          <w:p w14:paraId="5B40EF48">
            <w:pPr>
              <w:jc w:val="center"/>
            </w:pPr>
            <w:r>
              <w:rPr>
                <w:rFonts w:ascii="仿宋" w:hAnsi="仿宋"/>
                <w:sz w:val="24"/>
                <w:szCs w:val="24"/>
              </w:rPr>
              <w:t>变化原因</w:t>
            </w:r>
          </w:p>
        </w:tc>
      </w:tr>
      <w:tr w14:paraId="49F41100">
        <w:tblPrEx>
          <w:tblCellMar>
            <w:top w:w="0" w:type="dxa"/>
            <w:left w:w="108" w:type="dxa"/>
            <w:bottom w:w="0" w:type="dxa"/>
            <w:right w:w="108" w:type="dxa"/>
          </w:tblCellMar>
        </w:tblPrEx>
        <w:trPr>
          <w:trHeight w:val="285" w:hRule="atLeast"/>
        </w:trPr>
        <w:tc>
          <w:tcPr>
            <w:tcW w:w="2136" w:type="dxa"/>
            <w:tcBorders>
              <w:top w:val="nil"/>
              <w:left w:val="single" w:color="000000" w:sz="4" w:space="0"/>
              <w:bottom w:val="single" w:color="000000" w:sz="4" w:space="0"/>
              <w:right w:val="single" w:color="000000" w:sz="4" w:space="0"/>
            </w:tcBorders>
            <w:vAlign w:val="center"/>
          </w:tcPr>
          <w:p w14:paraId="410B8222">
            <w:pPr>
              <w:jc w:val="center"/>
            </w:pPr>
            <w:r>
              <w:rPr>
                <w:rFonts w:ascii="仿宋" w:hAnsi="仿宋"/>
                <w:sz w:val="24"/>
                <w:szCs w:val="24"/>
              </w:rPr>
              <w:t>公</w:t>
            </w:r>
            <w:r>
              <w:rPr>
                <w:rFonts w:hint="eastAsia" w:ascii="仿宋" w:hAnsi="仿宋"/>
                <w:sz w:val="24"/>
                <w:szCs w:val="24"/>
                <w:lang w:val="en-US" w:eastAsia="zh-CN"/>
              </w:rPr>
              <w:t>务</w:t>
            </w:r>
            <w:r>
              <w:rPr>
                <w:rFonts w:ascii="仿宋" w:hAnsi="仿宋"/>
                <w:sz w:val="24"/>
                <w:szCs w:val="24"/>
              </w:rPr>
              <w:t>出国经费</w:t>
            </w:r>
          </w:p>
        </w:tc>
        <w:tc>
          <w:tcPr>
            <w:tcW w:w="1716" w:type="dxa"/>
            <w:tcBorders>
              <w:top w:val="nil"/>
              <w:left w:val="nil"/>
              <w:bottom w:val="single" w:color="000000" w:sz="4" w:space="0"/>
              <w:right w:val="single" w:color="000000" w:sz="4" w:space="0"/>
            </w:tcBorders>
            <w:vAlign w:val="center"/>
          </w:tcPr>
          <w:p w14:paraId="194F2B03">
            <w:pPr>
              <w:jc w:val="center"/>
            </w:pPr>
            <w:r>
              <w:rPr>
                <w:rFonts w:ascii="仿宋" w:hAnsi="仿宋"/>
                <w:sz w:val="24"/>
                <w:szCs w:val="24"/>
              </w:rPr>
              <w:t>0</w:t>
            </w:r>
          </w:p>
        </w:tc>
        <w:tc>
          <w:tcPr>
            <w:tcW w:w="1716" w:type="dxa"/>
            <w:tcBorders>
              <w:top w:val="nil"/>
              <w:left w:val="nil"/>
              <w:bottom w:val="single" w:color="000000" w:sz="4" w:space="0"/>
              <w:right w:val="single" w:color="000000" w:sz="4" w:space="0"/>
            </w:tcBorders>
            <w:vAlign w:val="center"/>
          </w:tcPr>
          <w:p w14:paraId="4EC13828">
            <w:pPr>
              <w:jc w:val="center"/>
            </w:pPr>
            <w:r>
              <w:rPr>
                <w:rFonts w:ascii="仿宋" w:hAnsi="仿宋"/>
                <w:sz w:val="24"/>
                <w:szCs w:val="24"/>
              </w:rPr>
              <w:t>0</w:t>
            </w:r>
          </w:p>
        </w:tc>
        <w:tc>
          <w:tcPr>
            <w:tcW w:w="1176" w:type="dxa"/>
            <w:tcBorders>
              <w:top w:val="nil"/>
              <w:left w:val="nil"/>
              <w:bottom w:val="single" w:color="000000" w:sz="4" w:space="0"/>
              <w:right w:val="single" w:color="000000" w:sz="4" w:space="0"/>
            </w:tcBorders>
            <w:vAlign w:val="center"/>
          </w:tcPr>
          <w:p w14:paraId="329AA62C">
            <w:pPr>
              <w:jc w:val="center"/>
            </w:pPr>
            <w:r>
              <w:rPr>
                <w:rFonts w:ascii="仿宋" w:hAnsi="仿宋"/>
                <w:sz w:val="24"/>
                <w:szCs w:val="24"/>
              </w:rPr>
              <w:t>0</w:t>
            </w:r>
          </w:p>
        </w:tc>
        <w:tc>
          <w:tcPr>
            <w:tcW w:w="3111" w:type="dxa"/>
            <w:tcBorders>
              <w:top w:val="nil"/>
              <w:left w:val="nil"/>
              <w:bottom w:val="single" w:color="000000" w:sz="4" w:space="0"/>
              <w:right w:val="single" w:color="000000" w:sz="4" w:space="0"/>
            </w:tcBorders>
            <w:vAlign w:val="center"/>
          </w:tcPr>
          <w:p w14:paraId="2F1D1468">
            <w:pPr>
              <w:jc w:val="left"/>
            </w:pPr>
            <w:r>
              <w:rPr>
                <w:rFonts w:ascii="仿宋" w:hAnsi="仿宋"/>
                <w:sz w:val="24"/>
                <w:szCs w:val="24"/>
              </w:rPr>
              <w:t>无增减变化</w:t>
            </w:r>
          </w:p>
        </w:tc>
      </w:tr>
      <w:tr w14:paraId="5D8DFA47">
        <w:tblPrEx>
          <w:tblCellMar>
            <w:top w:w="0" w:type="dxa"/>
            <w:left w:w="108" w:type="dxa"/>
            <w:bottom w:w="0" w:type="dxa"/>
            <w:right w:w="108" w:type="dxa"/>
          </w:tblCellMar>
        </w:tblPrEx>
        <w:trPr>
          <w:trHeight w:val="285" w:hRule="atLeast"/>
        </w:trPr>
        <w:tc>
          <w:tcPr>
            <w:tcW w:w="2136" w:type="dxa"/>
            <w:tcBorders>
              <w:top w:val="nil"/>
              <w:left w:val="single" w:color="000000" w:sz="4" w:space="0"/>
              <w:bottom w:val="single" w:color="000000" w:sz="4" w:space="0"/>
              <w:right w:val="single" w:color="000000" w:sz="4" w:space="0"/>
            </w:tcBorders>
            <w:vAlign w:val="center"/>
          </w:tcPr>
          <w:p w14:paraId="57CE1F83">
            <w:pPr>
              <w:jc w:val="center"/>
            </w:pPr>
            <w:r>
              <w:rPr>
                <w:rFonts w:ascii="仿宋" w:hAnsi="仿宋"/>
                <w:sz w:val="24"/>
                <w:szCs w:val="24"/>
              </w:rPr>
              <w:t>公务用车购置经费</w:t>
            </w:r>
          </w:p>
        </w:tc>
        <w:tc>
          <w:tcPr>
            <w:tcW w:w="1716" w:type="dxa"/>
            <w:tcBorders>
              <w:top w:val="nil"/>
              <w:left w:val="nil"/>
              <w:bottom w:val="single" w:color="000000" w:sz="4" w:space="0"/>
              <w:right w:val="single" w:color="000000" w:sz="4" w:space="0"/>
            </w:tcBorders>
            <w:vAlign w:val="center"/>
          </w:tcPr>
          <w:p w14:paraId="73376CB7">
            <w:pPr>
              <w:jc w:val="center"/>
            </w:pPr>
            <w:r>
              <w:rPr>
                <w:rFonts w:ascii="仿宋" w:hAnsi="仿宋"/>
                <w:sz w:val="24"/>
                <w:szCs w:val="24"/>
              </w:rPr>
              <w:t>0</w:t>
            </w:r>
          </w:p>
        </w:tc>
        <w:tc>
          <w:tcPr>
            <w:tcW w:w="1716" w:type="dxa"/>
            <w:tcBorders>
              <w:top w:val="nil"/>
              <w:left w:val="nil"/>
              <w:bottom w:val="single" w:color="000000" w:sz="4" w:space="0"/>
              <w:right w:val="single" w:color="000000" w:sz="4" w:space="0"/>
            </w:tcBorders>
            <w:vAlign w:val="center"/>
          </w:tcPr>
          <w:p w14:paraId="6A370153">
            <w:pPr>
              <w:jc w:val="center"/>
            </w:pPr>
            <w:r>
              <w:rPr>
                <w:rFonts w:ascii="仿宋" w:hAnsi="仿宋"/>
                <w:sz w:val="24"/>
                <w:szCs w:val="24"/>
              </w:rPr>
              <w:t>0</w:t>
            </w:r>
          </w:p>
        </w:tc>
        <w:tc>
          <w:tcPr>
            <w:tcW w:w="1176" w:type="dxa"/>
            <w:tcBorders>
              <w:top w:val="nil"/>
              <w:left w:val="nil"/>
              <w:bottom w:val="single" w:color="000000" w:sz="4" w:space="0"/>
              <w:right w:val="single" w:color="000000" w:sz="4" w:space="0"/>
            </w:tcBorders>
            <w:vAlign w:val="center"/>
          </w:tcPr>
          <w:p w14:paraId="521219B1">
            <w:pPr>
              <w:jc w:val="center"/>
            </w:pPr>
            <w:r>
              <w:rPr>
                <w:rFonts w:ascii="仿宋" w:hAnsi="仿宋"/>
                <w:sz w:val="24"/>
                <w:szCs w:val="24"/>
              </w:rPr>
              <w:t>0</w:t>
            </w:r>
          </w:p>
        </w:tc>
        <w:tc>
          <w:tcPr>
            <w:tcW w:w="3111" w:type="dxa"/>
            <w:tcBorders>
              <w:top w:val="nil"/>
              <w:left w:val="nil"/>
              <w:bottom w:val="single" w:color="000000" w:sz="4" w:space="0"/>
              <w:right w:val="single" w:color="000000" w:sz="4" w:space="0"/>
            </w:tcBorders>
            <w:vAlign w:val="center"/>
          </w:tcPr>
          <w:p w14:paraId="63C083D8">
            <w:pPr>
              <w:jc w:val="left"/>
            </w:pPr>
            <w:r>
              <w:rPr>
                <w:rFonts w:ascii="仿宋" w:hAnsi="仿宋"/>
                <w:sz w:val="24"/>
                <w:szCs w:val="24"/>
              </w:rPr>
              <w:t>无增减变化</w:t>
            </w:r>
          </w:p>
        </w:tc>
      </w:tr>
      <w:tr w14:paraId="032A9D5F">
        <w:tblPrEx>
          <w:tblCellMar>
            <w:top w:w="0" w:type="dxa"/>
            <w:left w:w="108" w:type="dxa"/>
            <w:bottom w:w="0" w:type="dxa"/>
            <w:right w:w="108" w:type="dxa"/>
          </w:tblCellMar>
        </w:tblPrEx>
        <w:trPr>
          <w:trHeight w:val="570" w:hRule="atLeast"/>
        </w:trPr>
        <w:tc>
          <w:tcPr>
            <w:tcW w:w="2136" w:type="dxa"/>
            <w:tcBorders>
              <w:top w:val="nil"/>
              <w:left w:val="single" w:color="000000" w:sz="4" w:space="0"/>
              <w:bottom w:val="single" w:color="000000" w:sz="4" w:space="0"/>
              <w:right w:val="single" w:color="000000" w:sz="4" w:space="0"/>
            </w:tcBorders>
            <w:vAlign w:val="center"/>
          </w:tcPr>
          <w:p w14:paraId="6B1016E9">
            <w:pPr>
              <w:jc w:val="center"/>
            </w:pPr>
            <w:r>
              <w:rPr>
                <w:rFonts w:ascii="仿宋" w:hAnsi="仿宋"/>
                <w:sz w:val="24"/>
                <w:szCs w:val="24"/>
              </w:rPr>
              <w:t>公务用车运行经费</w:t>
            </w:r>
          </w:p>
        </w:tc>
        <w:tc>
          <w:tcPr>
            <w:tcW w:w="1716" w:type="dxa"/>
            <w:tcBorders>
              <w:top w:val="nil"/>
              <w:left w:val="nil"/>
              <w:bottom w:val="single" w:color="000000" w:sz="4" w:space="0"/>
              <w:right w:val="single" w:color="000000" w:sz="4" w:space="0"/>
            </w:tcBorders>
            <w:vAlign w:val="center"/>
          </w:tcPr>
          <w:p w14:paraId="728F151C">
            <w:pPr>
              <w:jc w:val="center"/>
            </w:pPr>
            <w:r>
              <w:rPr>
                <w:rFonts w:ascii="仿宋" w:hAnsi="仿宋"/>
                <w:sz w:val="24"/>
                <w:szCs w:val="24"/>
              </w:rPr>
              <w:t>20</w:t>
            </w:r>
          </w:p>
        </w:tc>
        <w:tc>
          <w:tcPr>
            <w:tcW w:w="1716" w:type="dxa"/>
            <w:tcBorders>
              <w:top w:val="nil"/>
              <w:left w:val="nil"/>
              <w:bottom w:val="single" w:color="000000" w:sz="4" w:space="0"/>
              <w:right w:val="single" w:color="000000" w:sz="4" w:space="0"/>
            </w:tcBorders>
            <w:vAlign w:val="center"/>
          </w:tcPr>
          <w:p w14:paraId="18495DD5">
            <w:pPr>
              <w:jc w:val="center"/>
            </w:pPr>
            <w:r>
              <w:rPr>
                <w:rFonts w:ascii="仿宋" w:hAnsi="仿宋"/>
                <w:sz w:val="24"/>
                <w:szCs w:val="24"/>
              </w:rPr>
              <w:t>20</w:t>
            </w:r>
          </w:p>
        </w:tc>
        <w:tc>
          <w:tcPr>
            <w:tcW w:w="1176" w:type="dxa"/>
            <w:tcBorders>
              <w:top w:val="nil"/>
              <w:left w:val="nil"/>
              <w:bottom w:val="single" w:color="000000" w:sz="4" w:space="0"/>
              <w:right w:val="single" w:color="000000" w:sz="4" w:space="0"/>
            </w:tcBorders>
            <w:vAlign w:val="center"/>
          </w:tcPr>
          <w:p w14:paraId="6473C80F">
            <w:pPr>
              <w:jc w:val="center"/>
            </w:pPr>
            <w:r>
              <w:rPr>
                <w:rFonts w:ascii="仿宋" w:hAnsi="仿宋"/>
                <w:sz w:val="24"/>
                <w:szCs w:val="24"/>
              </w:rPr>
              <w:t>0</w:t>
            </w:r>
          </w:p>
        </w:tc>
        <w:tc>
          <w:tcPr>
            <w:tcW w:w="3111" w:type="dxa"/>
            <w:tcBorders>
              <w:top w:val="nil"/>
              <w:left w:val="nil"/>
              <w:bottom w:val="single" w:color="000000" w:sz="4" w:space="0"/>
              <w:right w:val="single" w:color="000000" w:sz="4" w:space="0"/>
            </w:tcBorders>
            <w:vAlign w:val="center"/>
          </w:tcPr>
          <w:p w14:paraId="62B833CF">
            <w:pPr>
              <w:jc w:val="left"/>
            </w:pPr>
            <w:r>
              <w:rPr>
                <w:rFonts w:ascii="仿宋" w:hAnsi="仿宋"/>
                <w:sz w:val="24"/>
                <w:szCs w:val="24"/>
              </w:rPr>
              <w:t>无增减变化</w:t>
            </w:r>
          </w:p>
        </w:tc>
      </w:tr>
      <w:tr w14:paraId="4F7FB394">
        <w:tblPrEx>
          <w:tblCellMar>
            <w:top w:w="0" w:type="dxa"/>
            <w:left w:w="108" w:type="dxa"/>
            <w:bottom w:w="0" w:type="dxa"/>
            <w:right w:w="108" w:type="dxa"/>
          </w:tblCellMar>
        </w:tblPrEx>
        <w:trPr>
          <w:trHeight w:val="855" w:hRule="atLeast"/>
        </w:trPr>
        <w:tc>
          <w:tcPr>
            <w:tcW w:w="2136" w:type="dxa"/>
            <w:tcBorders>
              <w:top w:val="nil"/>
              <w:left w:val="single" w:color="000000" w:sz="4" w:space="0"/>
              <w:bottom w:val="single" w:color="000000" w:sz="4" w:space="0"/>
              <w:right w:val="single" w:color="000000" w:sz="4" w:space="0"/>
            </w:tcBorders>
            <w:vAlign w:val="center"/>
          </w:tcPr>
          <w:p w14:paraId="5D6AE6E9">
            <w:pPr>
              <w:jc w:val="center"/>
            </w:pPr>
            <w:r>
              <w:rPr>
                <w:rFonts w:ascii="仿宋" w:hAnsi="仿宋"/>
                <w:sz w:val="24"/>
                <w:szCs w:val="24"/>
              </w:rPr>
              <w:t>公务接待费支出</w:t>
            </w:r>
          </w:p>
        </w:tc>
        <w:tc>
          <w:tcPr>
            <w:tcW w:w="1716" w:type="dxa"/>
            <w:tcBorders>
              <w:top w:val="nil"/>
              <w:left w:val="nil"/>
              <w:bottom w:val="single" w:color="000000" w:sz="4" w:space="0"/>
              <w:right w:val="single" w:color="000000" w:sz="4" w:space="0"/>
            </w:tcBorders>
            <w:vAlign w:val="center"/>
          </w:tcPr>
          <w:p w14:paraId="221A06FB">
            <w:pPr>
              <w:jc w:val="center"/>
            </w:pPr>
            <w:r>
              <w:rPr>
                <w:rFonts w:ascii="仿宋" w:hAnsi="仿宋"/>
                <w:sz w:val="24"/>
                <w:szCs w:val="24"/>
              </w:rPr>
              <w:t>2</w:t>
            </w:r>
          </w:p>
        </w:tc>
        <w:tc>
          <w:tcPr>
            <w:tcW w:w="1716" w:type="dxa"/>
            <w:tcBorders>
              <w:top w:val="nil"/>
              <w:left w:val="nil"/>
              <w:bottom w:val="single" w:color="000000" w:sz="4" w:space="0"/>
              <w:right w:val="single" w:color="000000" w:sz="4" w:space="0"/>
            </w:tcBorders>
            <w:vAlign w:val="center"/>
          </w:tcPr>
          <w:p w14:paraId="6E9F6D62">
            <w:pPr>
              <w:jc w:val="center"/>
            </w:pPr>
            <w:r>
              <w:rPr>
                <w:rFonts w:ascii="仿宋" w:hAnsi="仿宋"/>
                <w:sz w:val="24"/>
                <w:szCs w:val="24"/>
              </w:rPr>
              <w:t>2</w:t>
            </w:r>
          </w:p>
        </w:tc>
        <w:tc>
          <w:tcPr>
            <w:tcW w:w="1176" w:type="dxa"/>
            <w:tcBorders>
              <w:top w:val="nil"/>
              <w:left w:val="nil"/>
              <w:bottom w:val="single" w:color="000000" w:sz="4" w:space="0"/>
              <w:right w:val="single" w:color="000000" w:sz="4" w:space="0"/>
            </w:tcBorders>
            <w:vAlign w:val="center"/>
          </w:tcPr>
          <w:p w14:paraId="08011C8D">
            <w:pPr>
              <w:jc w:val="center"/>
            </w:pPr>
            <w:r>
              <w:rPr>
                <w:rFonts w:ascii="仿宋" w:hAnsi="仿宋"/>
                <w:sz w:val="24"/>
                <w:szCs w:val="24"/>
              </w:rPr>
              <w:t>0</w:t>
            </w:r>
          </w:p>
        </w:tc>
        <w:tc>
          <w:tcPr>
            <w:tcW w:w="3111" w:type="dxa"/>
            <w:tcBorders>
              <w:top w:val="nil"/>
              <w:left w:val="nil"/>
              <w:bottom w:val="single" w:color="000000" w:sz="4" w:space="0"/>
              <w:right w:val="single" w:color="000000" w:sz="4" w:space="0"/>
            </w:tcBorders>
            <w:vAlign w:val="center"/>
          </w:tcPr>
          <w:p w14:paraId="1302162D">
            <w:pPr>
              <w:jc w:val="left"/>
            </w:pPr>
            <w:r>
              <w:rPr>
                <w:rFonts w:ascii="仿宋" w:hAnsi="仿宋"/>
                <w:sz w:val="24"/>
                <w:szCs w:val="24"/>
              </w:rPr>
              <w:t>无增减变化</w:t>
            </w:r>
          </w:p>
        </w:tc>
      </w:tr>
      <w:tr w14:paraId="40107C4F">
        <w:tblPrEx>
          <w:tblCellMar>
            <w:top w:w="0" w:type="dxa"/>
            <w:left w:w="108" w:type="dxa"/>
            <w:bottom w:w="0" w:type="dxa"/>
            <w:right w:w="108" w:type="dxa"/>
          </w:tblCellMar>
        </w:tblPrEx>
        <w:trPr>
          <w:trHeight w:val="1140" w:hRule="atLeast"/>
        </w:trPr>
        <w:tc>
          <w:tcPr>
            <w:tcW w:w="2136" w:type="dxa"/>
            <w:tcBorders>
              <w:top w:val="nil"/>
              <w:left w:val="single" w:color="000000" w:sz="4" w:space="0"/>
              <w:bottom w:val="single" w:color="000000" w:sz="4" w:space="0"/>
              <w:right w:val="single" w:color="000000" w:sz="4" w:space="0"/>
            </w:tcBorders>
            <w:vAlign w:val="center"/>
          </w:tcPr>
          <w:p w14:paraId="530F0BD5">
            <w:pPr>
              <w:jc w:val="center"/>
            </w:pPr>
            <w:r>
              <w:rPr>
                <w:rFonts w:ascii="仿宋" w:hAnsi="仿宋"/>
                <w:sz w:val="24"/>
                <w:szCs w:val="24"/>
              </w:rPr>
              <w:t>合计</w:t>
            </w:r>
          </w:p>
        </w:tc>
        <w:tc>
          <w:tcPr>
            <w:tcW w:w="1716" w:type="dxa"/>
            <w:tcBorders>
              <w:top w:val="nil"/>
              <w:left w:val="nil"/>
              <w:bottom w:val="single" w:color="000000" w:sz="4" w:space="0"/>
              <w:right w:val="single" w:color="000000" w:sz="4" w:space="0"/>
            </w:tcBorders>
            <w:vAlign w:val="center"/>
          </w:tcPr>
          <w:p w14:paraId="049510F3">
            <w:pPr>
              <w:jc w:val="center"/>
            </w:pPr>
            <w:r>
              <w:rPr>
                <w:rFonts w:ascii="仿宋" w:hAnsi="仿宋"/>
                <w:sz w:val="24"/>
                <w:szCs w:val="24"/>
              </w:rPr>
              <w:t>22</w:t>
            </w:r>
          </w:p>
        </w:tc>
        <w:tc>
          <w:tcPr>
            <w:tcW w:w="1716" w:type="dxa"/>
            <w:tcBorders>
              <w:top w:val="nil"/>
              <w:left w:val="nil"/>
              <w:bottom w:val="single" w:color="000000" w:sz="4" w:space="0"/>
              <w:right w:val="single" w:color="000000" w:sz="4" w:space="0"/>
            </w:tcBorders>
            <w:vAlign w:val="center"/>
          </w:tcPr>
          <w:p w14:paraId="2BA8DDB4">
            <w:pPr>
              <w:jc w:val="center"/>
            </w:pPr>
            <w:r>
              <w:rPr>
                <w:rFonts w:ascii="仿宋" w:hAnsi="仿宋"/>
                <w:sz w:val="24"/>
                <w:szCs w:val="24"/>
              </w:rPr>
              <w:t>22</w:t>
            </w:r>
          </w:p>
        </w:tc>
        <w:tc>
          <w:tcPr>
            <w:tcW w:w="1176" w:type="dxa"/>
            <w:tcBorders>
              <w:top w:val="nil"/>
              <w:left w:val="nil"/>
              <w:bottom w:val="single" w:color="000000" w:sz="4" w:space="0"/>
              <w:right w:val="single" w:color="000000" w:sz="4" w:space="0"/>
            </w:tcBorders>
            <w:vAlign w:val="center"/>
          </w:tcPr>
          <w:p w14:paraId="2C6F26B9">
            <w:pPr>
              <w:jc w:val="center"/>
            </w:pPr>
            <w:r>
              <w:rPr>
                <w:rFonts w:ascii="仿宋" w:hAnsi="仿宋"/>
                <w:sz w:val="24"/>
                <w:szCs w:val="24"/>
              </w:rPr>
              <w:t>0</w:t>
            </w:r>
          </w:p>
        </w:tc>
        <w:tc>
          <w:tcPr>
            <w:tcW w:w="3111" w:type="dxa"/>
            <w:tcBorders>
              <w:top w:val="nil"/>
              <w:left w:val="nil"/>
              <w:bottom w:val="single" w:color="000000" w:sz="4" w:space="0"/>
              <w:right w:val="single" w:color="000000" w:sz="4" w:space="0"/>
            </w:tcBorders>
            <w:vAlign w:val="center"/>
          </w:tcPr>
          <w:p w14:paraId="5A5050FD">
            <w:pPr>
              <w:jc w:val="left"/>
            </w:pPr>
            <w:r>
              <w:rPr>
                <w:rFonts w:ascii="仿宋" w:hAnsi="仿宋"/>
                <w:sz w:val="24"/>
                <w:szCs w:val="24"/>
              </w:rPr>
              <w:t>2017年，我单位针对三公经费支出制定了严格的管理制度，认真执行中央八项规定，厉行节约，杜绝浪费。</w:t>
            </w:r>
          </w:p>
        </w:tc>
      </w:tr>
      <w:tr w14:paraId="0BE95126">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4DF7A30B">
            <w:pPr>
              <w:jc w:val="left"/>
            </w:pPr>
          </w:p>
        </w:tc>
        <w:tc>
          <w:tcPr>
            <w:tcW w:w="1716" w:type="dxa"/>
            <w:tcBorders>
              <w:top w:val="nil"/>
              <w:left w:val="nil"/>
              <w:bottom w:val="nil"/>
              <w:right w:val="nil"/>
            </w:tcBorders>
            <w:vAlign w:val="center"/>
          </w:tcPr>
          <w:p w14:paraId="7B6F343B">
            <w:pPr>
              <w:jc w:val="left"/>
            </w:pPr>
          </w:p>
        </w:tc>
        <w:tc>
          <w:tcPr>
            <w:tcW w:w="1716" w:type="dxa"/>
            <w:tcBorders>
              <w:top w:val="nil"/>
              <w:left w:val="nil"/>
              <w:bottom w:val="nil"/>
              <w:right w:val="nil"/>
            </w:tcBorders>
            <w:vAlign w:val="center"/>
          </w:tcPr>
          <w:p w14:paraId="0637CA3A">
            <w:pPr>
              <w:jc w:val="left"/>
            </w:pPr>
          </w:p>
        </w:tc>
        <w:tc>
          <w:tcPr>
            <w:tcW w:w="1176" w:type="dxa"/>
            <w:tcBorders>
              <w:top w:val="nil"/>
              <w:left w:val="nil"/>
              <w:bottom w:val="nil"/>
              <w:right w:val="nil"/>
            </w:tcBorders>
            <w:vAlign w:val="center"/>
          </w:tcPr>
          <w:p w14:paraId="2C15779E">
            <w:pPr>
              <w:jc w:val="left"/>
            </w:pPr>
          </w:p>
        </w:tc>
        <w:tc>
          <w:tcPr>
            <w:tcW w:w="3111" w:type="dxa"/>
            <w:tcBorders>
              <w:top w:val="nil"/>
              <w:left w:val="nil"/>
              <w:bottom w:val="nil"/>
              <w:right w:val="nil"/>
            </w:tcBorders>
            <w:vAlign w:val="center"/>
          </w:tcPr>
          <w:p w14:paraId="06686F31">
            <w:pPr>
              <w:jc w:val="left"/>
            </w:pPr>
          </w:p>
        </w:tc>
      </w:tr>
    </w:tbl>
    <w:p w14:paraId="4123A484">
      <w:pPr>
        <w:spacing w:line="600" w:lineRule="exact"/>
        <w:ind w:firstLine="660"/>
        <w:rPr>
          <w:rFonts w:ascii="仿宋_GB2312"/>
          <w:sz w:val="32"/>
          <w:szCs w:val="21"/>
        </w:rPr>
      </w:pPr>
    </w:p>
    <w:p w14:paraId="7B7BB47F">
      <w:pPr>
        <w:spacing w:line="520" w:lineRule="exact"/>
        <w:jc w:val="center"/>
      </w:pPr>
      <w:r>
        <w:rPr>
          <w:rFonts w:ascii="黑体" w:hAnsi="黑体"/>
          <w:sz w:val="32"/>
          <w:szCs w:val="32"/>
        </w:rPr>
        <w:t>第五部分：绩效预算信息</w:t>
      </w:r>
    </w:p>
    <w:p w14:paraId="5E7695D0">
      <w:pPr>
        <w:spacing w:line="600" w:lineRule="exact"/>
        <w:ind w:firstLine="640"/>
        <w:rPr>
          <w:rFonts w:ascii="黑体"/>
          <w:b/>
          <w:sz w:val="32"/>
          <w:szCs w:val="21"/>
        </w:rPr>
      </w:pPr>
    </w:p>
    <w:p w14:paraId="0B57DA23">
      <w:pPr>
        <w:spacing w:line="600" w:lineRule="exact"/>
        <w:ind w:firstLine="640"/>
        <w:rPr>
          <w:rFonts w:ascii="方正楷体_GBK"/>
          <w:b/>
          <w:sz w:val="28"/>
        </w:rPr>
      </w:pPr>
      <w:r>
        <w:rPr>
          <w:rFonts w:ascii="黑体"/>
          <w:b/>
          <w:sz w:val="32"/>
          <w:szCs w:val="21"/>
        </w:rPr>
        <w:t>一、总体绩效目标</w:t>
      </w:r>
    </w:p>
    <w:p w14:paraId="49266A32">
      <w:pPr>
        <w:ind w:firstLine="560"/>
        <w:rPr>
          <w:rFonts w:ascii="仿宋" w:hAnsi="仿宋"/>
          <w:sz w:val="32"/>
          <w:szCs w:val="32"/>
        </w:rPr>
      </w:pPr>
      <w:r>
        <w:rPr>
          <w:rFonts w:ascii="仿宋" w:hAnsi="仿宋"/>
          <w:sz w:val="32"/>
          <w:szCs w:val="32"/>
        </w:rPr>
        <w:t>根据《中国人民政治协商会议章程》规定，召开全体会议、常委会会议、各专委会会议。地方各级委员会的全体会议每年至少举行一次。结合我区实际，依据区委常委会研究批准的政协党组关于召开</w:t>
      </w:r>
      <w:r>
        <w:rPr>
          <w:rFonts w:hint="eastAsia" w:ascii="仿宋" w:hAnsi="仿宋"/>
          <w:sz w:val="32"/>
          <w:szCs w:val="32"/>
          <w:lang w:val="en-US" w:eastAsia="zh-CN"/>
        </w:rPr>
        <w:t>保定市徐水</w:t>
      </w:r>
      <w:r>
        <w:rPr>
          <w:rFonts w:ascii="仿宋" w:hAnsi="仿宋"/>
          <w:sz w:val="32"/>
          <w:szCs w:val="32"/>
        </w:rPr>
        <w:t>区政协第二届委员会第一次会议有关事项的请示，择时召开政协全会。2017年在区委和区政府有关部门密切配合下对重大问题以及人民群众普遍关心的问题，开展调查研究，反映社情民意，进行协商讨论以调研报告、建议案或其他形式，向区委、区政府提出意见和建议。</w:t>
      </w:r>
    </w:p>
    <w:p w14:paraId="583AA0A8">
      <w:pPr>
        <w:spacing w:line="600" w:lineRule="exact"/>
        <w:ind w:firstLine="640"/>
        <w:rPr>
          <w:rFonts w:ascii="黑体"/>
          <w:b/>
          <w:sz w:val="32"/>
          <w:szCs w:val="21"/>
        </w:rPr>
      </w:pPr>
    </w:p>
    <w:p w14:paraId="71D6FE70">
      <w:pPr>
        <w:spacing w:line="600" w:lineRule="exact"/>
        <w:ind w:firstLine="640"/>
        <w:rPr>
          <w:rFonts w:ascii="黑体"/>
          <w:b/>
          <w:sz w:val="32"/>
          <w:szCs w:val="21"/>
        </w:rPr>
      </w:pPr>
      <w:bookmarkStart w:id="0" w:name="_GoBack"/>
      <w:bookmarkEnd w:id="0"/>
    </w:p>
    <w:p w14:paraId="6A9BB45C">
      <w:pPr>
        <w:spacing w:line="600" w:lineRule="exact"/>
        <w:ind w:firstLine="640"/>
        <w:rPr>
          <w:rFonts w:ascii="黑体"/>
          <w:b/>
          <w:sz w:val="32"/>
          <w:szCs w:val="21"/>
        </w:rPr>
      </w:pPr>
    </w:p>
    <w:p w14:paraId="286D630C">
      <w:pPr>
        <w:spacing w:line="600" w:lineRule="exact"/>
        <w:ind w:firstLine="640"/>
      </w:pPr>
      <w:r>
        <w:rPr>
          <w:rFonts w:ascii="黑体"/>
          <w:b/>
          <w:sz w:val="32"/>
          <w:szCs w:val="21"/>
        </w:rPr>
        <w:t>二、部门职责-工作活动绩效目标</w:t>
      </w:r>
    </w:p>
    <w:p w14:paraId="3D7E3D0E">
      <w:pPr>
        <w:spacing w:line="300" w:lineRule="exact"/>
        <w:jc w:val="left"/>
        <w:rPr>
          <w:rFonts w:ascii="宋体" w:hAnsi="宋体"/>
        </w:rPr>
      </w:pP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341"/>
        <w:gridCol w:w="1276"/>
        <w:gridCol w:w="2976"/>
        <w:gridCol w:w="2976"/>
        <w:gridCol w:w="1417"/>
        <w:gridCol w:w="780"/>
        <w:gridCol w:w="737"/>
        <w:gridCol w:w="737"/>
        <w:gridCol w:w="737"/>
      </w:tblGrid>
      <w:tr w14:paraId="52342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86" w:type="dxa"/>
            <w:gridSpan w:val="5"/>
            <w:tcBorders>
              <w:top w:val="single" w:color="FFFFFF" w:sz="6" w:space="0"/>
              <w:left w:val="single" w:color="FFFFFF" w:sz="6" w:space="0"/>
              <w:right w:val="single" w:color="FFFFFF" w:sz="6" w:space="0"/>
            </w:tcBorders>
            <w:vAlign w:val="center"/>
          </w:tcPr>
          <w:p w14:paraId="5215042E">
            <w:pPr>
              <w:spacing w:line="300" w:lineRule="exact"/>
              <w:jc w:val="left"/>
            </w:pPr>
            <w:r>
              <w:rPr>
                <w:rFonts w:ascii="方正小标宋_GBK"/>
                <w:sz w:val="24"/>
              </w:rPr>
              <w:t>131中国人民政治协商会议保定市徐水区委员会办公室</w:t>
            </w:r>
          </w:p>
        </w:tc>
        <w:tc>
          <w:tcPr>
            <w:tcW w:w="2948" w:type="dxa"/>
            <w:gridSpan w:val="4"/>
            <w:tcBorders>
              <w:top w:val="single" w:color="FFFFFF" w:sz="6" w:space="0"/>
              <w:left w:val="single" w:color="FFFFFF" w:sz="6" w:space="0"/>
              <w:right w:val="single" w:color="FFFFFF" w:sz="6" w:space="0"/>
            </w:tcBorders>
            <w:vAlign w:val="center"/>
          </w:tcPr>
          <w:p w14:paraId="070B936C">
            <w:pPr>
              <w:spacing w:line="300" w:lineRule="exact"/>
              <w:jc w:val="right"/>
            </w:pPr>
            <w:r>
              <w:rPr>
                <w:rFonts w:ascii="方正书宋_GBK"/>
                <w:sz w:val="24"/>
              </w:rPr>
              <w:t>单位：万元</w:t>
            </w:r>
          </w:p>
        </w:tc>
      </w:tr>
      <w:tr w14:paraId="06E22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79A65D87">
            <w:pPr>
              <w:spacing w:line="300" w:lineRule="exact"/>
              <w:jc w:val="center"/>
            </w:pPr>
            <w:r>
              <w:rPr>
                <w:rFonts w:ascii="方正书宋_GBK"/>
                <w:b/>
              </w:rPr>
              <w:t>职责活动</w:t>
            </w:r>
          </w:p>
        </w:tc>
        <w:tc>
          <w:tcPr>
            <w:tcW w:w="1276" w:type="dxa"/>
            <w:vMerge w:val="restart"/>
            <w:vAlign w:val="center"/>
          </w:tcPr>
          <w:p w14:paraId="2886BDC5">
            <w:pPr>
              <w:spacing w:line="300" w:lineRule="exact"/>
              <w:jc w:val="center"/>
            </w:pPr>
            <w:r>
              <w:rPr>
                <w:rFonts w:ascii="方正书宋_GBK"/>
                <w:b/>
              </w:rPr>
              <w:t>年度预算数</w:t>
            </w:r>
          </w:p>
        </w:tc>
        <w:tc>
          <w:tcPr>
            <w:tcW w:w="2976" w:type="dxa"/>
            <w:vMerge w:val="restart"/>
            <w:vAlign w:val="center"/>
          </w:tcPr>
          <w:p w14:paraId="3E22C8B1">
            <w:pPr>
              <w:spacing w:line="300" w:lineRule="exact"/>
              <w:jc w:val="center"/>
            </w:pPr>
            <w:r>
              <w:rPr>
                <w:rFonts w:ascii="方正书宋_GBK"/>
                <w:b/>
              </w:rPr>
              <w:t>内容描述</w:t>
            </w:r>
          </w:p>
        </w:tc>
        <w:tc>
          <w:tcPr>
            <w:tcW w:w="2976" w:type="dxa"/>
            <w:vMerge w:val="restart"/>
            <w:vAlign w:val="center"/>
          </w:tcPr>
          <w:p w14:paraId="3D307022">
            <w:pPr>
              <w:spacing w:line="300" w:lineRule="exact"/>
              <w:jc w:val="center"/>
            </w:pPr>
            <w:r>
              <w:rPr>
                <w:rFonts w:ascii="方正书宋_GBK"/>
                <w:b/>
              </w:rPr>
              <w:t>绩效目标</w:t>
            </w:r>
          </w:p>
        </w:tc>
        <w:tc>
          <w:tcPr>
            <w:tcW w:w="1417" w:type="dxa"/>
            <w:vMerge w:val="restart"/>
            <w:vAlign w:val="center"/>
          </w:tcPr>
          <w:p w14:paraId="0AAA6946">
            <w:pPr>
              <w:spacing w:line="300" w:lineRule="exact"/>
              <w:jc w:val="center"/>
            </w:pPr>
            <w:r>
              <w:rPr>
                <w:rFonts w:ascii="方正书宋_GBK"/>
                <w:b/>
              </w:rPr>
              <w:t>绩效指标</w:t>
            </w:r>
          </w:p>
        </w:tc>
        <w:tc>
          <w:tcPr>
            <w:tcW w:w="2948" w:type="dxa"/>
            <w:gridSpan w:val="4"/>
            <w:vAlign w:val="center"/>
          </w:tcPr>
          <w:p w14:paraId="35E243AA">
            <w:pPr>
              <w:spacing w:line="300" w:lineRule="exact"/>
              <w:jc w:val="center"/>
            </w:pPr>
            <w:r>
              <w:rPr>
                <w:rFonts w:ascii="方正书宋_GBK"/>
                <w:b/>
              </w:rPr>
              <w:t>评价标准</w:t>
            </w:r>
          </w:p>
        </w:tc>
      </w:tr>
      <w:tr w14:paraId="09110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4E0175C7"/>
        </w:tc>
        <w:tc>
          <w:tcPr>
            <w:vMerge w:val="continue"/>
          </w:tcPr>
          <w:p w14:paraId="6724B9FB"/>
        </w:tc>
        <w:tc>
          <w:tcPr>
            <w:vMerge w:val="continue"/>
          </w:tcPr>
          <w:p w14:paraId="020D5D36"/>
        </w:tc>
        <w:tc>
          <w:tcPr>
            <w:vMerge w:val="continue"/>
          </w:tcPr>
          <w:p w14:paraId="55F007F3"/>
        </w:tc>
        <w:tc>
          <w:tcPr>
            <w:vMerge w:val="continue"/>
          </w:tcPr>
          <w:p w14:paraId="7D60C354"/>
        </w:tc>
        <w:tc>
          <w:tcPr>
            <w:tcW w:w="737" w:type="dxa"/>
            <w:vAlign w:val="center"/>
          </w:tcPr>
          <w:p w14:paraId="2CA05137">
            <w:pPr>
              <w:spacing w:line="300" w:lineRule="exact"/>
              <w:jc w:val="center"/>
            </w:pPr>
            <w:r>
              <w:rPr>
                <w:rFonts w:ascii="方正书宋_GBK"/>
                <w:b/>
              </w:rPr>
              <w:t>优</w:t>
            </w:r>
          </w:p>
        </w:tc>
        <w:tc>
          <w:tcPr>
            <w:tcW w:w="737" w:type="dxa"/>
            <w:vAlign w:val="center"/>
          </w:tcPr>
          <w:p w14:paraId="4FFEF86F">
            <w:pPr>
              <w:spacing w:line="300" w:lineRule="exact"/>
              <w:jc w:val="center"/>
            </w:pPr>
            <w:r>
              <w:rPr>
                <w:rFonts w:ascii="方正书宋_GBK"/>
                <w:b/>
              </w:rPr>
              <w:t>良</w:t>
            </w:r>
          </w:p>
        </w:tc>
        <w:tc>
          <w:tcPr>
            <w:tcW w:w="737" w:type="dxa"/>
            <w:vAlign w:val="center"/>
          </w:tcPr>
          <w:p w14:paraId="33942F8C">
            <w:pPr>
              <w:spacing w:line="300" w:lineRule="exact"/>
              <w:jc w:val="center"/>
            </w:pPr>
            <w:r>
              <w:rPr>
                <w:rFonts w:ascii="方正书宋_GBK"/>
                <w:b/>
              </w:rPr>
              <w:t>中</w:t>
            </w:r>
          </w:p>
        </w:tc>
        <w:tc>
          <w:tcPr>
            <w:tcW w:w="737" w:type="dxa"/>
            <w:vAlign w:val="center"/>
          </w:tcPr>
          <w:p w14:paraId="5EB7BF14">
            <w:pPr>
              <w:spacing w:line="300" w:lineRule="exact"/>
              <w:jc w:val="center"/>
            </w:pPr>
            <w:r>
              <w:rPr>
                <w:rFonts w:ascii="方正书宋_GBK"/>
                <w:b/>
              </w:rPr>
              <w:t>差</w:t>
            </w:r>
          </w:p>
        </w:tc>
      </w:tr>
      <w:tr w14:paraId="38293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4E7F4718">
            <w:pPr>
              <w:spacing w:line="300" w:lineRule="exact"/>
              <w:jc w:val="center"/>
            </w:pPr>
            <w:r>
              <w:rPr>
                <w:rFonts w:ascii="方正书宋_GBK"/>
                <w:b/>
              </w:rPr>
              <w:t>政治协商</w:t>
            </w:r>
          </w:p>
        </w:tc>
        <w:tc>
          <w:tcPr>
            <w:tcW w:w="1276" w:type="dxa"/>
            <w:vAlign w:val="center"/>
          </w:tcPr>
          <w:p w14:paraId="654B8EDF">
            <w:pPr>
              <w:spacing w:line="300" w:lineRule="exact"/>
              <w:jc w:val="left"/>
            </w:pPr>
            <w:r>
              <w:rPr>
                <w:rFonts w:ascii="方正书宋_GBK"/>
              </w:rPr>
              <w:t>35.00</w:t>
            </w:r>
          </w:p>
        </w:tc>
        <w:tc>
          <w:tcPr>
            <w:tcW w:w="2976" w:type="dxa"/>
            <w:vAlign w:val="center"/>
          </w:tcPr>
          <w:p w14:paraId="2DC91FBF">
            <w:pPr>
              <w:spacing w:line="300" w:lineRule="exact"/>
              <w:jc w:val="left"/>
            </w:pPr>
            <w:r>
              <w:rPr>
                <w:rFonts w:ascii="方正书宋_GBK"/>
              </w:rPr>
              <w:t>就大政方针以及政治、经济、文化、社会和生态文明中的重要问题在决策之前进行协商和就决策执行过程中的重要问题进行协商。</w:t>
            </w:r>
          </w:p>
        </w:tc>
        <w:tc>
          <w:tcPr>
            <w:tcW w:w="2976" w:type="dxa"/>
            <w:vAlign w:val="center"/>
          </w:tcPr>
          <w:p w14:paraId="08C5441C">
            <w:pPr>
              <w:spacing w:line="300" w:lineRule="exact"/>
              <w:jc w:val="left"/>
            </w:pPr>
            <w:r>
              <w:rPr>
                <w:rFonts w:ascii="方正书宋_GBK"/>
              </w:rPr>
              <w:t>完善各项会议制度，规范会议程序，提高会议质量，提高政治协商水平。</w:t>
            </w:r>
          </w:p>
        </w:tc>
        <w:tc>
          <w:tcPr>
            <w:tcW w:w="1417" w:type="dxa"/>
            <w:vAlign w:val="center"/>
          </w:tcPr>
          <w:p w14:paraId="041E5983">
            <w:pPr>
              <w:spacing w:line="300" w:lineRule="exact"/>
              <w:jc w:val="left"/>
            </w:pPr>
          </w:p>
        </w:tc>
        <w:tc>
          <w:tcPr>
            <w:tcW w:w="737" w:type="dxa"/>
            <w:vAlign w:val="center"/>
          </w:tcPr>
          <w:p w14:paraId="2F95BD11">
            <w:pPr>
              <w:spacing w:line="300" w:lineRule="exact"/>
              <w:jc w:val="center"/>
            </w:pPr>
          </w:p>
        </w:tc>
        <w:tc>
          <w:tcPr>
            <w:tcW w:w="737" w:type="dxa"/>
            <w:vAlign w:val="center"/>
          </w:tcPr>
          <w:p w14:paraId="67482AA7">
            <w:pPr>
              <w:spacing w:line="300" w:lineRule="exact"/>
              <w:jc w:val="center"/>
            </w:pPr>
          </w:p>
        </w:tc>
        <w:tc>
          <w:tcPr>
            <w:tcW w:w="737" w:type="dxa"/>
            <w:vAlign w:val="center"/>
          </w:tcPr>
          <w:p w14:paraId="5EB8316E">
            <w:pPr>
              <w:spacing w:line="300" w:lineRule="exact"/>
              <w:jc w:val="center"/>
            </w:pPr>
          </w:p>
        </w:tc>
        <w:tc>
          <w:tcPr>
            <w:tcW w:w="737" w:type="dxa"/>
            <w:vAlign w:val="center"/>
          </w:tcPr>
          <w:p w14:paraId="0A6B4956">
            <w:pPr>
              <w:spacing w:line="300" w:lineRule="exact"/>
              <w:jc w:val="center"/>
            </w:pPr>
          </w:p>
        </w:tc>
      </w:tr>
      <w:tr w14:paraId="2E7CB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2CD93B4C">
            <w:pPr>
              <w:spacing w:line="300" w:lineRule="exact"/>
              <w:jc w:val="center"/>
            </w:pPr>
            <w:r>
              <w:rPr>
                <w:rFonts w:ascii="方正书宋_GBK"/>
                <w:b/>
              </w:rPr>
              <w:t>政协会议</w:t>
            </w:r>
          </w:p>
        </w:tc>
        <w:tc>
          <w:tcPr>
            <w:tcW w:w="1276" w:type="dxa"/>
            <w:vMerge w:val="restart"/>
            <w:vAlign w:val="center"/>
          </w:tcPr>
          <w:p w14:paraId="19317A4A">
            <w:pPr>
              <w:spacing w:line="300" w:lineRule="exact"/>
              <w:jc w:val="left"/>
            </w:pPr>
            <w:r>
              <w:rPr>
                <w:rFonts w:ascii="方正书宋_GBK"/>
              </w:rPr>
              <w:t>35.00</w:t>
            </w:r>
          </w:p>
        </w:tc>
        <w:tc>
          <w:tcPr>
            <w:tcW w:w="2976" w:type="dxa"/>
            <w:vMerge w:val="restart"/>
            <w:vAlign w:val="center"/>
          </w:tcPr>
          <w:p w14:paraId="0F57930F">
            <w:pPr>
              <w:spacing w:line="300" w:lineRule="exact"/>
              <w:jc w:val="left"/>
            </w:pPr>
            <w:r>
              <w:rPr>
                <w:rFonts w:ascii="方正书宋_GBK"/>
              </w:rPr>
              <w:t>会议是人民政协履行职能的主要形式，是开展工作的主体，是委员履行自身职责的主要途径。包括全体会议、常委会会议、主席会议、秘书长会议、各专委会会议等。</w:t>
            </w:r>
          </w:p>
        </w:tc>
        <w:tc>
          <w:tcPr>
            <w:tcW w:w="2976" w:type="dxa"/>
            <w:vMerge w:val="restart"/>
            <w:vAlign w:val="center"/>
          </w:tcPr>
          <w:p w14:paraId="3AA1AE36">
            <w:pPr>
              <w:spacing w:line="300" w:lineRule="exact"/>
              <w:jc w:val="left"/>
            </w:pPr>
            <w:r>
              <w:rPr>
                <w:rFonts w:ascii="方正书宋_GBK"/>
              </w:rPr>
              <w:t>完善各项会议制度，规范会议程序，提高会议质量，提高政治协商水平。</w:t>
            </w:r>
          </w:p>
        </w:tc>
        <w:tc>
          <w:tcPr>
            <w:tcW w:w="1417" w:type="dxa"/>
            <w:vAlign w:val="center"/>
          </w:tcPr>
          <w:p w14:paraId="59B42B56">
            <w:pPr>
              <w:spacing w:line="300" w:lineRule="exact"/>
              <w:jc w:val="left"/>
            </w:pPr>
            <w:r>
              <w:rPr>
                <w:rFonts w:ascii="方正书宋_GBK"/>
              </w:rPr>
              <w:t>政治任务实现率</w:t>
            </w:r>
          </w:p>
        </w:tc>
        <w:tc>
          <w:tcPr>
            <w:tcW w:w="737" w:type="dxa"/>
            <w:vAlign w:val="center"/>
          </w:tcPr>
          <w:p w14:paraId="10789D48">
            <w:pPr>
              <w:spacing w:line="300" w:lineRule="exact"/>
              <w:jc w:val="center"/>
            </w:pPr>
            <w:r>
              <w:rPr>
                <w:rFonts w:ascii="方正书宋_GBK"/>
              </w:rPr>
              <w:t>100%</w:t>
            </w:r>
          </w:p>
        </w:tc>
        <w:tc>
          <w:tcPr>
            <w:tcW w:w="737" w:type="dxa"/>
            <w:vAlign w:val="center"/>
          </w:tcPr>
          <w:p w14:paraId="1128A217">
            <w:pPr>
              <w:spacing w:line="300" w:lineRule="exact"/>
              <w:jc w:val="center"/>
            </w:pPr>
            <w:r>
              <w:rPr>
                <w:rFonts w:ascii="方正书宋_GBK"/>
              </w:rPr>
              <w:t>≥95%</w:t>
            </w:r>
          </w:p>
        </w:tc>
        <w:tc>
          <w:tcPr>
            <w:tcW w:w="737" w:type="dxa"/>
            <w:vAlign w:val="center"/>
          </w:tcPr>
          <w:p w14:paraId="2B91380A">
            <w:pPr>
              <w:spacing w:line="300" w:lineRule="exact"/>
              <w:jc w:val="center"/>
            </w:pPr>
            <w:r>
              <w:rPr>
                <w:rFonts w:ascii="方正书宋_GBK"/>
              </w:rPr>
              <w:t>≥90%</w:t>
            </w:r>
          </w:p>
        </w:tc>
        <w:tc>
          <w:tcPr>
            <w:tcW w:w="737" w:type="dxa"/>
            <w:vAlign w:val="center"/>
          </w:tcPr>
          <w:p w14:paraId="7A1DB513">
            <w:pPr>
              <w:spacing w:line="300" w:lineRule="exact"/>
              <w:jc w:val="center"/>
            </w:pPr>
            <w:r>
              <w:rPr>
                <w:rFonts w:ascii="方正书宋_GBK"/>
              </w:rPr>
              <w:t>＜90%</w:t>
            </w:r>
          </w:p>
        </w:tc>
      </w:tr>
      <w:tr w14:paraId="48B98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1BF39B57"/>
        </w:tc>
        <w:tc>
          <w:tcPr>
            <w:vMerge w:val="continue"/>
          </w:tcPr>
          <w:p w14:paraId="24916B30"/>
        </w:tc>
        <w:tc>
          <w:tcPr>
            <w:vMerge w:val="continue"/>
          </w:tcPr>
          <w:p w14:paraId="2ED73FAC"/>
        </w:tc>
        <w:tc>
          <w:tcPr>
            <w:vMerge w:val="continue"/>
          </w:tcPr>
          <w:p w14:paraId="1FDB09FF"/>
        </w:tc>
        <w:tc>
          <w:tcPr>
            <w:tcW w:w="1417" w:type="dxa"/>
            <w:vAlign w:val="center"/>
          </w:tcPr>
          <w:p w14:paraId="2C0F158F">
            <w:pPr>
              <w:spacing w:line="300" w:lineRule="exact"/>
              <w:jc w:val="left"/>
            </w:pPr>
            <w:r>
              <w:rPr>
                <w:rFonts w:ascii="方正书宋_GBK"/>
              </w:rPr>
              <w:t>会议筹备及会务工作的完成率</w:t>
            </w:r>
          </w:p>
        </w:tc>
        <w:tc>
          <w:tcPr>
            <w:tcW w:w="737" w:type="dxa"/>
            <w:vAlign w:val="center"/>
          </w:tcPr>
          <w:p w14:paraId="00D62CE8">
            <w:pPr>
              <w:spacing w:line="300" w:lineRule="exact"/>
              <w:jc w:val="center"/>
            </w:pPr>
            <w:r>
              <w:rPr>
                <w:rFonts w:ascii="方正书宋_GBK"/>
              </w:rPr>
              <w:t>100%</w:t>
            </w:r>
          </w:p>
        </w:tc>
        <w:tc>
          <w:tcPr>
            <w:tcW w:w="737" w:type="dxa"/>
            <w:vAlign w:val="center"/>
          </w:tcPr>
          <w:p w14:paraId="52F856A7">
            <w:pPr>
              <w:spacing w:line="300" w:lineRule="exact"/>
              <w:jc w:val="center"/>
            </w:pPr>
            <w:r>
              <w:rPr>
                <w:rFonts w:ascii="方正书宋_GBK"/>
              </w:rPr>
              <w:t>≥95%</w:t>
            </w:r>
          </w:p>
        </w:tc>
        <w:tc>
          <w:tcPr>
            <w:tcW w:w="737" w:type="dxa"/>
            <w:vAlign w:val="center"/>
          </w:tcPr>
          <w:p w14:paraId="750B056E">
            <w:pPr>
              <w:spacing w:line="300" w:lineRule="exact"/>
              <w:jc w:val="center"/>
            </w:pPr>
            <w:r>
              <w:rPr>
                <w:rFonts w:ascii="方正书宋_GBK"/>
              </w:rPr>
              <w:t>≥90%</w:t>
            </w:r>
          </w:p>
        </w:tc>
        <w:tc>
          <w:tcPr>
            <w:tcW w:w="737" w:type="dxa"/>
            <w:vAlign w:val="center"/>
          </w:tcPr>
          <w:p w14:paraId="097A97B5">
            <w:pPr>
              <w:spacing w:line="300" w:lineRule="exact"/>
              <w:jc w:val="center"/>
            </w:pPr>
            <w:r>
              <w:rPr>
                <w:rFonts w:ascii="方正书宋_GBK"/>
              </w:rPr>
              <w:t>＜90%</w:t>
            </w:r>
          </w:p>
        </w:tc>
      </w:tr>
      <w:tr w14:paraId="0EA93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3B3219BA">
            <w:pPr>
              <w:spacing w:line="300" w:lineRule="exact"/>
              <w:jc w:val="center"/>
            </w:pPr>
            <w:r>
              <w:rPr>
                <w:rFonts w:ascii="方正书宋_GBK"/>
                <w:b/>
              </w:rPr>
              <w:t>民主协商</w:t>
            </w:r>
          </w:p>
        </w:tc>
        <w:tc>
          <w:tcPr>
            <w:tcW w:w="1276" w:type="dxa"/>
            <w:vAlign w:val="center"/>
          </w:tcPr>
          <w:p w14:paraId="54FF5B2B">
            <w:pPr>
              <w:spacing w:line="300" w:lineRule="exact"/>
              <w:jc w:val="left"/>
            </w:pPr>
          </w:p>
        </w:tc>
        <w:tc>
          <w:tcPr>
            <w:tcW w:w="2976" w:type="dxa"/>
            <w:vAlign w:val="center"/>
          </w:tcPr>
          <w:p w14:paraId="5788A09C">
            <w:pPr>
              <w:spacing w:line="300" w:lineRule="exact"/>
              <w:jc w:val="left"/>
            </w:pPr>
            <w:r>
              <w:rPr>
                <w:rFonts w:ascii="方正书宋_GBK"/>
              </w:rPr>
              <w:t>根据形势、任务和党委政府统一部署，安排协商活动，召开专题协商会、协商民主会、专题座谈会、情况通报会、意见听取会、工作研讨会和学习座谈会等。</w:t>
            </w:r>
          </w:p>
        </w:tc>
        <w:tc>
          <w:tcPr>
            <w:tcW w:w="2976" w:type="dxa"/>
            <w:vAlign w:val="center"/>
          </w:tcPr>
          <w:p w14:paraId="3A854671">
            <w:pPr>
              <w:spacing w:line="300" w:lineRule="exact"/>
              <w:jc w:val="left"/>
            </w:pPr>
            <w:r>
              <w:rPr>
                <w:rFonts w:ascii="方正书宋_GBK"/>
              </w:rPr>
              <w:t>增强开展政治协商的自觉性和主动性，规范协商内容，丰富协商形式和层次，把政治协商纳入决策程序。</w:t>
            </w:r>
          </w:p>
        </w:tc>
        <w:tc>
          <w:tcPr>
            <w:tcW w:w="1417" w:type="dxa"/>
            <w:vAlign w:val="center"/>
          </w:tcPr>
          <w:p w14:paraId="3A6EFE52">
            <w:pPr>
              <w:spacing w:line="300" w:lineRule="exact"/>
              <w:jc w:val="left"/>
            </w:pPr>
            <w:r>
              <w:rPr>
                <w:rFonts w:ascii="方正书宋_GBK"/>
              </w:rPr>
              <w:t>专题协商活动完成率</w:t>
            </w:r>
          </w:p>
        </w:tc>
        <w:tc>
          <w:tcPr>
            <w:tcW w:w="737" w:type="dxa"/>
            <w:vAlign w:val="center"/>
          </w:tcPr>
          <w:p w14:paraId="66C67FCD">
            <w:pPr>
              <w:spacing w:line="300" w:lineRule="exact"/>
              <w:jc w:val="center"/>
            </w:pPr>
            <w:r>
              <w:rPr>
                <w:rFonts w:ascii="方正书宋_GBK"/>
              </w:rPr>
              <w:t>100%</w:t>
            </w:r>
          </w:p>
        </w:tc>
        <w:tc>
          <w:tcPr>
            <w:tcW w:w="737" w:type="dxa"/>
            <w:vAlign w:val="center"/>
          </w:tcPr>
          <w:p w14:paraId="54A7C27F">
            <w:pPr>
              <w:spacing w:line="300" w:lineRule="exact"/>
              <w:jc w:val="center"/>
            </w:pPr>
            <w:r>
              <w:rPr>
                <w:rFonts w:ascii="方正书宋_GBK"/>
              </w:rPr>
              <w:t>≥95%</w:t>
            </w:r>
          </w:p>
        </w:tc>
        <w:tc>
          <w:tcPr>
            <w:tcW w:w="737" w:type="dxa"/>
            <w:vAlign w:val="center"/>
          </w:tcPr>
          <w:p w14:paraId="29B55F0E">
            <w:pPr>
              <w:spacing w:line="300" w:lineRule="exact"/>
              <w:jc w:val="center"/>
            </w:pPr>
            <w:r>
              <w:rPr>
                <w:rFonts w:ascii="方正书宋_GBK"/>
              </w:rPr>
              <w:t>≥90%</w:t>
            </w:r>
          </w:p>
        </w:tc>
        <w:tc>
          <w:tcPr>
            <w:tcW w:w="737" w:type="dxa"/>
            <w:vAlign w:val="center"/>
          </w:tcPr>
          <w:p w14:paraId="1F00EA74">
            <w:pPr>
              <w:spacing w:line="300" w:lineRule="exact"/>
              <w:jc w:val="center"/>
            </w:pPr>
            <w:r>
              <w:rPr>
                <w:rFonts w:ascii="方正书宋_GBK"/>
              </w:rPr>
              <w:t>＜90%</w:t>
            </w:r>
          </w:p>
        </w:tc>
      </w:tr>
      <w:tr w14:paraId="268D7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699789A6">
            <w:pPr>
              <w:spacing w:line="300" w:lineRule="exact"/>
              <w:jc w:val="center"/>
            </w:pPr>
            <w:r>
              <w:rPr>
                <w:rFonts w:ascii="方正书宋_GBK"/>
                <w:b/>
              </w:rPr>
              <w:t>民主监督</w:t>
            </w:r>
          </w:p>
        </w:tc>
        <w:tc>
          <w:tcPr>
            <w:tcW w:w="1276" w:type="dxa"/>
            <w:vAlign w:val="center"/>
          </w:tcPr>
          <w:p w14:paraId="1540E186">
            <w:pPr>
              <w:spacing w:line="300" w:lineRule="exact"/>
              <w:jc w:val="left"/>
            </w:pPr>
          </w:p>
        </w:tc>
        <w:tc>
          <w:tcPr>
            <w:tcW w:w="2976" w:type="dxa"/>
            <w:vAlign w:val="center"/>
          </w:tcPr>
          <w:p w14:paraId="1418AE54">
            <w:pPr>
              <w:spacing w:line="300" w:lineRule="exact"/>
              <w:jc w:val="left"/>
            </w:pPr>
            <w:r>
              <w:rPr>
                <w:rFonts w:ascii="方正书宋_GBK"/>
              </w:rPr>
              <w:t>有效履行民主监督职责，发挥好协调关系、汇聚力量、建言献策、服务大局的作用。通过意见、建议、批评的方式对国家法律法规的实施、重大方针政策的贯彻执行、党和政府的工作进行政治监督。</w:t>
            </w:r>
          </w:p>
        </w:tc>
        <w:tc>
          <w:tcPr>
            <w:tcW w:w="2976" w:type="dxa"/>
            <w:vAlign w:val="center"/>
          </w:tcPr>
          <w:p w14:paraId="0199937B">
            <w:pPr>
              <w:spacing w:line="300" w:lineRule="exact"/>
              <w:jc w:val="left"/>
            </w:pPr>
            <w:r>
              <w:rPr>
                <w:rFonts w:ascii="方正书宋_GBK"/>
              </w:rPr>
              <w:t>完善民主监督机制，畅通民主监督渠道，建立健全知情、沟通制度，将民主监督寓于委员提案、进行视察、参与工作检查等活动中，提高民主监督质量和成效。</w:t>
            </w:r>
          </w:p>
        </w:tc>
        <w:tc>
          <w:tcPr>
            <w:tcW w:w="1417" w:type="dxa"/>
            <w:vAlign w:val="center"/>
          </w:tcPr>
          <w:p w14:paraId="2453CB54">
            <w:pPr>
              <w:spacing w:line="300" w:lineRule="exact"/>
              <w:jc w:val="left"/>
            </w:pPr>
          </w:p>
        </w:tc>
        <w:tc>
          <w:tcPr>
            <w:tcW w:w="737" w:type="dxa"/>
            <w:vAlign w:val="center"/>
          </w:tcPr>
          <w:p w14:paraId="65E129F5">
            <w:pPr>
              <w:spacing w:line="300" w:lineRule="exact"/>
              <w:jc w:val="center"/>
            </w:pPr>
          </w:p>
        </w:tc>
        <w:tc>
          <w:tcPr>
            <w:tcW w:w="737" w:type="dxa"/>
            <w:vAlign w:val="center"/>
          </w:tcPr>
          <w:p w14:paraId="1AB58691">
            <w:pPr>
              <w:spacing w:line="300" w:lineRule="exact"/>
              <w:jc w:val="center"/>
            </w:pPr>
          </w:p>
        </w:tc>
        <w:tc>
          <w:tcPr>
            <w:tcW w:w="737" w:type="dxa"/>
            <w:vAlign w:val="center"/>
          </w:tcPr>
          <w:p w14:paraId="368016F1">
            <w:pPr>
              <w:spacing w:line="300" w:lineRule="exact"/>
              <w:jc w:val="center"/>
            </w:pPr>
          </w:p>
        </w:tc>
        <w:tc>
          <w:tcPr>
            <w:tcW w:w="737" w:type="dxa"/>
            <w:vAlign w:val="center"/>
          </w:tcPr>
          <w:p w14:paraId="148D5966">
            <w:pPr>
              <w:spacing w:line="300" w:lineRule="exact"/>
              <w:jc w:val="center"/>
            </w:pPr>
          </w:p>
        </w:tc>
      </w:tr>
      <w:tr w14:paraId="2A9EC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6B03A099">
            <w:pPr>
              <w:spacing w:line="300" w:lineRule="exact"/>
              <w:jc w:val="center"/>
            </w:pPr>
            <w:r>
              <w:rPr>
                <w:rFonts w:ascii="方正书宋_GBK"/>
                <w:b/>
              </w:rPr>
              <w:t>监督事务</w:t>
            </w:r>
          </w:p>
        </w:tc>
        <w:tc>
          <w:tcPr>
            <w:tcW w:w="1276" w:type="dxa"/>
            <w:vAlign w:val="center"/>
          </w:tcPr>
          <w:p w14:paraId="77EAF8E3">
            <w:pPr>
              <w:spacing w:line="300" w:lineRule="exact"/>
              <w:jc w:val="left"/>
            </w:pPr>
          </w:p>
        </w:tc>
        <w:tc>
          <w:tcPr>
            <w:tcW w:w="2976" w:type="dxa"/>
            <w:vAlign w:val="center"/>
          </w:tcPr>
          <w:p w14:paraId="29778B2A">
            <w:pPr>
              <w:spacing w:line="300" w:lineRule="exact"/>
              <w:jc w:val="left"/>
            </w:pPr>
            <w:r>
              <w:rPr>
                <w:rFonts w:ascii="方正书宋_GBK"/>
              </w:rPr>
              <w:t>组织、鼓励和引导委员深入实际、走向基层、贴近群众开展视察考察，通过建议案、提案等形式进行监督。通过参加党委政府组织的调查和检查活动实施监督。</w:t>
            </w:r>
          </w:p>
        </w:tc>
        <w:tc>
          <w:tcPr>
            <w:tcW w:w="2976" w:type="dxa"/>
            <w:vAlign w:val="center"/>
          </w:tcPr>
          <w:p w14:paraId="1E4FF54F">
            <w:pPr>
              <w:spacing w:line="300" w:lineRule="exact"/>
              <w:jc w:val="left"/>
            </w:pPr>
            <w:r>
              <w:rPr>
                <w:rFonts w:ascii="方正书宋_GBK"/>
              </w:rPr>
              <w:t>完善民主监督机制，畅通民主监督渠道，建立健全知情、沟通制度，加强工作协调配合，提高民主监督的质量和成效。</w:t>
            </w:r>
          </w:p>
        </w:tc>
        <w:tc>
          <w:tcPr>
            <w:tcW w:w="1417" w:type="dxa"/>
            <w:vAlign w:val="center"/>
          </w:tcPr>
          <w:p w14:paraId="4C8FA458">
            <w:pPr>
              <w:spacing w:line="300" w:lineRule="exact"/>
              <w:jc w:val="left"/>
            </w:pPr>
            <w:r>
              <w:rPr>
                <w:rFonts w:ascii="方正书宋_GBK"/>
              </w:rPr>
              <w:t>监督工作任务完成率</w:t>
            </w:r>
          </w:p>
        </w:tc>
        <w:tc>
          <w:tcPr>
            <w:tcW w:w="737" w:type="dxa"/>
            <w:vAlign w:val="center"/>
          </w:tcPr>
          <w:p w14:paraId="49106FC5">
            <w:pPr>
              <w:spacing w:line="300" w:lineRule="exact"/>
              <w:jc w:val="center"/>
            </w:pPr>
            <w:r>
              <w:rPr>
                <w:rFonts w:ascii="方正书宋_GBK"/>
              </w:rPr>
              <w:t>≥100%</w:t>
            </w:r>
          </w:p>
        </w:tc>
        <w:tc>
          <w:tcPr>
            <w:tcW w:w="737" w:type="dxa"/>
            <w:vAlign w:val="center"/>
          </w:tcPr>
          <w:p w14:paraId="529E28C5">
            <w:pPr>
              <w:spacing w:line="300" w:lineRule="exact"/>
              <w:jc w:val="center"/>
            </w:pPr>
            <w:r>
              <w:rPr>
                <w:rFonts w:ascii="方正书宋_GBK"/>
              </w:rPr>
              <w:t>≥95%</w:t>
            </w:r>
          </w:p>
        </w:tc>
        <w:tc>
          <w:tcPr>
            <w:tcW w:w="737" w:type="dxa"/>
            <w:vAlign w:val="center"/>
          </w:tcPr>
          <w:p w14:paraId="3B67BAC7">
            <w:pPr>
              <w:spacing w:line="300" w:lineRule="exact"/>
              <w:jc w:val="center"/>
            </w:pPr>
            <w:r>
              <w:rPr>
                <w:rFonts w:ascii="方正书宋_GBK"/>
              </w:rPr>
              <w:t>≥90%</w:t>
            </w:r>
          </w:p>
        </w:tc>
        <w:tc>
          <w:tcPr>
            <w:tcW w:w="737" w:type="dxa"/>
            <w:vAlign w:val="center"/>
          </w:tcPr>
          <w:p w14:paraId="6DE7268B">
            <w:pPr>
              <w:spacing w:line="300" w:lineRule="exact"/>
              <w:jc w:val="center"/>
            </w:pPr>
            <w:r>
              <w:rPr>
                <w:rFonts w:ascii="方正书宋_GBK"/>
              </w:rPr>
              <w:t>＜90%</w:t>
            </w:r>
          </w:p>
        </w:tc>
      </w:tr>
      <w:tr w14:paraId="5DC45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7DDE6DB5">
            <w:pPr>
              <w:spacing w:line="300" w:lineRule="exact"/>
              <w:jc w:val="left"/>
            </w:pPr>
            <w:r>
              <w:rPr>
                <w:rFonts w:ascii="方正书宋_GBK"/>
                <w:b/>
              </w:rPr>
              <w:t>　　提案工作</w:t>
            </w:r>
          </w:p>
        </w:tc>
        <w:tc>
          <w:tcPr>
            <w:tcW w:w="1276" w:type="dxa"/>
            <w:vMerge w:val="restart"/>
            <w:vAlign w:val="center"/>
          </w:tcPr>
          <w:p w14:paraId="170DD80C">
            <w:pPr>
              <w:spacing w:line="300" w:lineRule="exact"/>
              <w:jc w:val="left"/>
            </w:pPr>
          </w:p>
        </w:tc>
        <w:tc>
          <w:tcPr>
            <w:tcW w:w="2976" w:type="dxa"/>
            <w:vMerge w:val="restart"/>
            <w:vAlign w:val="center"/>
          </w:tcPr>
          <w:p w14:paraId="7A60BC82">
            <w:pPr>
              <w:spacing w:line="300" w:lineRule="exact"/>
              <w:jc w:val="left"/>
            </w:pPr>
            <w:r>
              <w:rPr>
                <w:rFonts w:ascii="方正书宋_GBK"/>
              </w:rPr>
              <w:t>对政协委员和参加政协的各党派团体以及各专委会（提案者）的提案进行审查立案，立案后交承办单位办理，适时通过协调、沟通、座谈、视察等形式进行督办。</w:t>
            </w:r>
          </w:p>
        </w:tc>
        <w:tc>
          <w:tcPr>
            <w:tcW w:w="2976" w:type="dxa"/>
            <w:vMerge w:val="restart"/>
            <w:vAlign w:val="center"/>
          </w:tcPr>
          <w:p w14:paraId="5748F179">
            <w:pPr>
              <w:spacing w:line="300" w:lineRule="exact"/>
              <w:jc w:val="left"/>
            </w:pPr>
            <w:r>
              <w:rPr>
                <w:rFonts w:ascii="方正书宋_GBK"/>
              </w:rPr>
              <w:t>完善提案审查、办理和反馈机制，做到提案程序更加规范，制度更加完善，提案质量和办理质量不断提高，政协履职作用更加突出。</w:t>
            </w:r>
          </w:p>
        </w:tc>
        <w:tc>
          <w:tcPr>
            <w:tcW w:w="1417" w:type="dxa"/>
            <w:vAlign w:val="center"/>
          </w:tcPr>
          <w:p w14:paraId="26C7B7B6">
            <w:pPr>
              <w:spacing w:line="300" w:lineRule="exact"/>
              <w:jc w:val="left"/>
            </w:pPr>
            <w:r>
              <w:rPr>
                <w:rFonts w:ascii="方正书宋_GBK"/>
              </w:rPr>
              <w:t>提案督办完成率</w:t>
            </w:r>
          </w:p>
        </w:tc>
        <w:tc>
          <w:tcPr>
            <w:tcW w:w="737" w:type="dxa"/>
            <w:vAlign w:val="center"/>
          </w:tcPr>
          <w:p w14:paraId="74B8BE83">
            <w:pPr>
              <w:spacing w:line="300" w:lineRule="exact"/>
              <w:jc w:val="center"/>
            </w:pPr>
            <w:r>
              <w:rPr>
                <w:rFonts w:ascii="方正书宋_GBK"/>
              </w:rPr>
              <w:t>100%</w:t>
            </w:r>
          </w:p>
        </w:tc>
        <w:tc>
          <w:tcPr>
            <w:tcW w:w="737" w:type="dxa"/>
            <w:vAlign w:val="center"/>
          </w:tcPr>
          <w:p w14:paraId="47DE5265">
            <w:pPr>
              <w:spacing w:line="300" w:lineRule="exact"/>
              <w:jc w:val="center"/>
            </w:pPr>
            <w:r>
              <w:rPr>
                <w:rFonts w:ascii="方正书宋_GBK"/>
              </w:rPr>
              <w:t>≥95%</w:t>
            </w:r>
          </w:p>
        </w:tc>
        <w:tc>
          <w:tcPr>
            <w:tcW w:w="737" w:type="dxa"/>
            <w:vAlign w:val="center"/>
          </w:tcPr>
          <w:p w14:paraId="4F2E365E">
            <w:pPr>
              <w:spacing w:line="300" w:lineRule="exact"/>
              <w:jc w:val="center"/>
            </w:pPr>
            <w:r>
              <w:rPr>
                <w:rFonts w:ascii="方正书宋_GBK"/>
              </w:rPr>
              <w:t>≥90%</w:t>
            </w:r>
          </w:p>
        </w:tc>
        <w:tc>
          <w:tcPr>
            <w:tcW w:w="737" w:type="dxa"/>
            <w:vAlign w:val="center"/>
          </w:tcPr>
          <w:p w14:paraId="72C36665">
            <w:pPr>
              <w:spacing w:line="300" w:lineRule="exact"/>
              <w:jc w:val="center"/>
            </w:pPr>
            <w:r>
              <w:rPr>
                <w:rFonts w:ascii="方正书宋_GBK"/>
              </w:rPr>
              <w:t>＜90%</w:t>
            </w:r>
          </w:p>
        </w:tc>
      </w:tr>
      <w:tr w14:paraId="04FF7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799DB394"/>
        </w:tc>
        <w:tc>
          <w:tcPr>
            <w:vMerge w:val="continue"/>
          </w:tcPr>
          <w:p w14:paraId="2249F49F"/>
        </w:tc>
        <w:tc>
          <w:tcPr>
            <w:vMerge w:val="continue"/>
          </w:tcPr>
          <w:p w14:paraId="5FDAA63B"/>
        </w:tc>
        <w:tc>
          <w:tcPr>
            <w:vMerge w:val="continue"/>
          </w:tcPr>
          <w:p w14:paraId="3E7A66FA"/>
        </w:tc>
        <w:tc>
          <w:tcPr>
            <w:tcW w:w="1417" w:type="dxa"/>
            <w:vAlign w:val="center"/>
          </w:tcPr>
          <w:p w14:paraId="17D19E7E">
            <w:pPr>
              <w:spacing w:line="300" w:lineRule="exact"/>
              <w:jc w:val="left"/>
            </w:pPr>
            <w:r>
              <w:rPr>
                <w:rFonts w:ascii="方正书宋_GBK"/>
              </w:rPr>
              <w:t>提案交办率</w:t>
            </w:r>
          </w:p>
        </w:tc>
        <w:tc>
          <w:tcPr>
            <w:tcW w:w="737" w:type="dxa"/>
            <w:vAlign w:val="center"/>
          </w:tcPr>
          <w:p w14:paraId="139C5129">
            <w:pPr>
              <w:spacing w:line="300" w:lineRule="exact"/>
              <w:jc w:val="center"/>
            </w:pPr>
            <w:r>
              <w:rPr>
                <w:rFonts w:ascii="方正书宋_GBK"/>
              </w:rPr>
              <w:t>100%</w:t>
            </w:r>
          </w:p>
        </w:tc>
        <w:tc>
          <w:tcPr>
            <w:tcW w:w="737" w:type="dxa"/>
            <w:vAlign w:val="center"/>
          </w:tcPr>
          <w:p w14:paraId="4F7D7461">
            <w:pPr>
              <w:spacing w:line="300" w:lineRule="exact"/>
              <w:jc w:val="center"/>
            </w:pPr>
            <w:r>
              <w:rPr>
                <w:rFonts w:ascii="方正书宋_GBK"/>
              </w:rPr>
              <w:t>≥95%</w:t>
            </w:r>
          </w:p>
        </w:tc>
        <w:tc>
          <w:tcPr>
            <w:tcW w:w="737" w:type="dxa"/>
            <w:vAlign w:val="center"/>
          </w:tcPr>
          <w:p w14:paraId="01944D81">
            <w:pPr>
              <w:spacing w:line="300" w:lineRule="exact"/>
              <w:jc w:val="center"/>
            </w:pPr>
            <w:r>
              <w:rPr>
                <w:rFonts w:ascii="方正书宋_GBK"/>
              </w:rPr>
              <w:t>≥90%</w:t>
            </w:r>
          </w:p>
        </w:tc>
        <w:tc>
          <w:tcPr>
            <w:tcW w:w="737" w:type="dxa"/>
            <w:vAlign w:val="center"/>
          </w:tcPr>
          <w:p w14:paraId="558177A8">
            <w:pPr>
              <w:spacing w:line="300" w:lineRule="exact"/>
              <w:jc w:val="center"/>
            </w:pPr>
            <w:r>
              <w:rPr>
                <w:rFonts w:ascii="方正书宋_GBK"/>
              </w:rPr>
              <w:t>＜90%</w:t>
            </w:r>
          </w:p>
        </w:tc>
      </w:tr>
      <w:tr w14:paraId="4ACEF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0D3DDEE1">
            <w:pPr>
              <w:spacing w:line="300" w:lineRule="exact"/>
              <w:jc w:val="left"/>
            </w:pPr>
            <w:r>
              <w:rPr>
                <w:rFonts w:ascii="方正书宋_GBK"/>
                <w:b/>
              </w:rPr>
              <w:t>参政议政</w:t>
            </w:r>
          </w:p>
        </w:tc>
        <w:tc>
          <w:tcPr>
            <w:tcW w:w="1276" w:type="dxa"/>
            <w:vAlign w:val="center"/>
          </w:tcPr>
          <w:p w14:paraId="327DE52A">
            <w:pPr>
              <w:spacing w:line="300" w:lineRule="exact"/>
              <w:jc w:val="left"/>
            </w:pPr>
            <w:r>
              <w:rPr>
                <w:rFonts w:ascii="方正书宋_GBK"/>
              </w:rPr>
              <w:t>10.00</w:t>
            </w:r>
          </w:p>
        </w:tc>
        <w:tc>
          <w:tcPr>
            <w:tcW w:w="2976" w:type="dxa"/>
            <w:vAlign w:val="center"/>
          </w:tcPr>
          <w:p w14:paraId="6EBA8C4F">
            <w:pPr>
              <w:spacing w:line="300" w:lineRule="exact"/>
              <w:jc w:val="left"/>
            </w:pPr>
            <w:r>
              <w:rPr>
                <w:rFonts w:ascii="方正书宋_GBK"/>
              </w:rPr>
              <w:t>通过对重大问题以及人民群众普遍关心的问题，开展调查研究，反映社情民意，进行协商讨论，以调研报告、建议案或其他形式，向区委、区政府提出意见和建议。</w:t>
            </w:r>
          </w:p>
        </w:tc>
        <w:tc>
          <w:tcPr>
            <w:tcW w:w="2976" w:type="dxa"/>
            <w:vAlign w:val="center"/>
          </w:tcPr>
          <w:p w14:paraId="7A3E374D">
            <w:pPr>
              <w:spacing w:line="300" w:lineRule="exact"/>
              <w:jc w:val="left"/>
            </w:pPr>
            <w:r>
              <w:rPr>
                <w:rFonts w:ascii="方正书宋_GBK"/>
              </w:rPr>
              <w:t>发挥政协作为扩大社会各界有序参与的重要渠道作用，探索开展活动的新方法新途径，充分调动委员参政议政积极，向区委、区政府提出高质量的建议案。</w:t>
            </w:r>
          </w:p>
        </w:tc>
        <w:tc>
          <w:tcPr>
            <w:tcW w:w="1417" w:type="dxa"/>
            <w:vAlign w:val="center"/>
          </w:tcPr>
          <w:p w14:paraId="1132DD87">
            <w:pPr>
              <w:spacing w:line="300" w:lineRule="exact"/>
              <w:jc w:val="left"/>
            </w:pPr>
          </w:p>
        </w:tc>
        <w:tc>
          <w:tcPr>
            <w:tcW w:w="737" w:type="dxa"/>
            <w:vAlign w:val="center"/>
          </w:tcPr>
          <w:p w14:paraId="515A28C1">
            <w:pPr>
              <w:spacing w:line="300" w:lineRule="exact"/>
              <w:jc w:val="center"/>
            </w:pPr>
          </w:p>
        </w:tc>
        <w:tc>
          <w:tcPr>
            <w:tcW w:w="737" w:type="dxa"/>
            <w:vAlign w:val="center"/>
          </w:tcPr>
          <w:p w14:paraId="5DAAE93C">
            <w:pPr>
              <w:spacing w:line="300" w:lineRule="exact"/>
              <w:jc w:val="center"/>
            </w:pPr>
          </w:p>
        </w:tc>
        <w:tc>
          <w:tcPr>
            <w:tcW w:w="737" w:type="dxa"/>
            <w:vAlign w:val="center"/>
          </w:tcPr>
          <w:p w14:paraId="0A3393A3">
            <w:pPr>
              <w:spacing w:line="300" w:lineRule="exact"/>
              <w:jc w:val="center"/>
            </w:pPr>
          </w:p>
        </w:tc>
        <w:tc>
          <w:tcPr>
            <w:tcW w:w="737" w:type="dxa"/>
            <w:vAlign w:val="center"/>
          </w:tcPr>
          <w:p w14:paraId="437F75F8">
            <w:pPr>
              <w:spacing w:line="300" w:lineRule="exact"/>
              <w:jc w:val="center"/>
            </w:pPr>
          </w:p>
        </w:tc>
      </w:tr>
      <w:tr w14:paraId="48BBF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0E551D2F">
            <w:pPr>
              <w:spacing w:line="300" w:lineRule="exact"/>
              <w:jc w:val="left"/>
            </w:pPr>
            <w:r>
              <w:rPr>
                <w:rFonts w:ascii="方正书宋_GBK"/>
                <w:b/>
              </w:rPr>
              <w:t>　　专题调研</w:t>
            </w:r>
          </w:p>
        </w:tc>
        <w:tc>
          <w:tcPr>
            <w:tcW w:w="1276" w:type="dxa"/>
            <w:vMerge w:val="restart"/>
            <w:vAlign w:val="center"/>
          </w:tcPr>
          <w:p w14:paraId="746A927E">
            <w:pPr>
              <w:spacing w:line="300" w:lineRule="exact"/>
              <w:jc w:val="left"/>
            </w:pPr>
            <w:r>
              <w:rPr>
                <w:rFonts w:ascii="方正书宋_GBK"/>
              </w:rPr>
              <w:t>10.00</w:t>
            </w:r>
          </w:p>
        </w:tc>
        <w:tc>
          <w:tcPr>
            <w:tcW w:w="2976" w:type="dxa"/>
            <w:vMerge w:val="restart"/>
            <w:vAlign w:val="center"/>
          </w:tcPr>
          <w:p w14:paraId="25A9B8A6">
            <w:pPr>
              <w:spacing w:line="300" w:lineRule="exact"/>
              <w:jc w:val="left"/>
            </w:pPr>
            <w:r>
              <w:rPr>
                <w:rFonts w:ascii="方正书宋_GBK"/>
              </w:rPr>
              <w:t>选择经济社会发展中具有综合性、全局性、前瞻性的课题，在区委和区政府有关部门密切配合下，深入调查研究，开展咨询论证、提出意见建议。</w:t>
            </w:r>
          </w:p>
        </w:tc>
        <w:tc>
          <w:tcPr>
            <w:tcW w:w="2976" w:type="dxa"/>
            <w:vMerge w:val="restart"/>
            <w:vAlign w:val="center"/>
          </w:tcPr>
          <w:p w14:paraId="45895628">
            <w:pPr>
              <w:spacing w:line="300" w:lineRule="exact"/>
              <w:jc w:val="left"/>
            </w:pPr>
            <w:r>
              <w:rPr>
                <w:rFonts w:ascii="方正书宋_GBK"/>
              </w:rPr>
              <w:t>通过调研课题就党和政府关注的问题，提出客观、有价值、有分量、有影响的意见建议，促进决策民主化和科学化。</w:t>
            </w:r>
          </w:p>
        </w:tc>
        <w:tc>
          <w:tcPr>
            <w:tcW w:w="1417" w:type="dxa"/>
            <w:vAlign w:val="center"/>
          </w:tcPr>
          <w:p w14:paraId="351580DB">
            <w:pPr>
              <w:spacing w:line="300" w:lineRule="exact"/>
              <w:jc w:val="left"/>
            </w:pPr>
            <w:r>
              <w:rPr>
                <w:rFonts w:ascii="方正书宋_GBK"/>
              </w:rPr>
              <w:t>调研结果和政策建议采纳数</w:t>
            </w:r>
          </w:p>
        </w:tc>
        <w:tc>
          <w:tcPr>
            <w:tcW w:w="737" w:type="dxa"/>
            <w:vAlign w:val="center"/>
          </w:tcPr>
          <w:p w14:paraId="5554C8A8">
            <w:pPr>
              <w:spacing w:line="300" w:lineRule="exact"/>
              <w:jc w:val="center"/>
            </w:pPr>
            <w:r>
              <w:rPr>
                <w:rFonts w:ascii="方正书宋_GBK"/>
              </w:rPr>
              <w:t>≥50%</w:t>
            </w:r>
          </w:p>
        </w:tc>
        <w:tc>
          <w:tcPr>
            <w:tcW w:w="737" w:type="dxa"/>
            <w:vAlign w:val="center"/>
          </w:tcPr>
          <w:p w14:paraId="343EFEC8">
            <w:pPr>
              <w:spacing w:line="300" w:lineRule="exact"/>
              <w:jc w:val="center"/>
            </w:pPr>
            <w:r>
              <w:rPr>
                <w:rFonts w:ascii="方正书宋_GBK"/>
              </w:rPr>
              <w:t>≥30%</w:t>
            </w:r>
          </w:p>
        </w:tc>
        <w:tc>
          <w:tcPr>
            <w:tcW w:w="737" w:type="dxa"/>
            <w:vAlign w:val="center"/>
          </w:tcPr>
          <w:p w14:paraId="18A663AA">
            <w:pPr>
              <w:spacing w:line="300" w:lineRule="exact"/>
              <w:jc w:val="center"/>
            </w:pPr>
            <w:r>
              <w:rPr>
                <w:rFonts w:ascii="方正书宋_GBK"/>
              </w:rPr>
              <w:t>≥20%</w:t>
            </w:r>
          </w:p>
        </w:tc>
        <w:tc>
          <w:tcPr>
            <w:tcW w:w="737" w:type="dxa"/>
            <w:vAlign w:val="center"/>
          </w:tcPr>
          <w:p w14:paraId="26864536">
            <w:pPr>
              <w:spacing w:line="300" w:lineRule="exact"/>
              <w:jc w:val="center"/>
            </w:pPr>
            <w:r>
              <w:rPr>
                <w:rFonts w:ascii="方正书宋_GBK"/>
              </w:rPr>
              <w:t>＜20%</w:t>
            </w:r>
          </w:p>
        </w:tc>
      </w:tr>
      <w:tr w14:paraId="27AC2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2952F7DC"/>
        </w:tc>
        <w:tc>
          <w:tcPr>
            <w:vMerge w:val="continue"/>
          </w:tcPr>
          <w:p w14:paraId="1427A4BC"/>
        </w:tc>
        <w:tc>
          <w:tcPr>
            <w:vMerge w:val="continue"/>
          </w:tcPr>
          <w:p w14:paraId="790A72F9"/>
        </w:tc>
        <w:tc>
          <w:tcPr>
            <w:vMerge w:val="continue"/>
          </w:tcPr>
          <w:p w14:paraId="1C76A1E8"/>
        </w:tc>
        <w:tc>
          <w:tcPr>
            <w:tcW w:w="1417" w:type="dxa"/>
            <w:vAlign w:val="center"/>
          </w:tcPr>
          <w:p w14:paraId="609C4E96">
            <w:pPr>
              <w:spacing w:line="300" w:lineRule="exact"/>
              <w:jc w:val="left"/>
            </w:pPr>
            <w:r>
              <w:rPr>
                <w:rFonts w:ascii="方正书宋_GBK"/>
              </w:rPr>
              <w:t>重点课题和专项调研完成率</w:t>
            </w:r>
          </w:p>
        </w:tc>
        <w:tc>
          <w:tcPr>
            <w:tcW w:w="737" w:type="dxa"/>
            <w:vAlign w:val="center"/>
          </w:tcPr>
          <w:p w14:paraId="5D0615CB">
            <w:pPr>
              <w:spacing w:line="300" w:lineRule="exact"/>
              <w:jc w:val="center"/>
            </w:pPr>
            <w:r>
              <w:rPr>
                <w:rFonts w:ascii="方正书宋_GBK"/>
              </w:rPr>
              <w:t>≥100%</w:t>
            </w:r>
          </w:p>
        </w:tc>
        <w:tc>
          <w:tcPr>
            <w:tcW w:w="737" w:type="dxa"/>
            <w:vAlign w:val="center"/>
          </w:tcPr>
          <w:p w14:paraId="6042B3AB">
            <w:pPr>
              <w:spacing w:line="300" w:lineRule="exact"/>
              <w:jc w:val="center"/>
            </w:pPr>
            <w:r>
              <w:rPr>
                <w:rFonts w:ascii="方正书宋_GBK"/>
              </w:rPr>
              <w:t>≥95%</w:t>
            </w:r>
          </w:p>
        </w:tc>
        <w:tc>
          <w:tcPr>
            <w:tcW w:w="737" w:type="dxa"/>
            <w:vAlign w:val="center"/>
          </w:tcPr>
          <w:p w14:paraId="59FF16BE">
            <w:pPr>
              <w:spacing w:line="300" w:lineRule="exact"/>
              <w:jc w:val="center"/>
            </w:pPr>
            <w:r>
              <w:rPr>
                <w:rFonts w:ascii="方正书宋_GBK"/>
              </w:rPr>
              <w:t>≥90%</w:t>
            </w:r>
          </w:p>
        </w:tc>
        <w:tc>
          <w:tcPr>
            <w:tcW w:w="737" w:type="dxa"/>
            <w:vAlign w:val="center"/>
          </w:tcPr>
          <w:p w14:paraId="654B73D7">
            <w:pPr>
              <w:spacing w:line="300" w:lineRule="exact"/>
              <w:jc w:val="center"/>
            </w:pPr>
            <w:r>
              <w:rPr>
                <w:rFonts w:ascii="方正书宋_GBK"/>
              </w:rPr>
              <w:t>＜90%</w:t>
            </w:r>
          </w:p>
        </w:tc>
      </w:tr>
      <w:tr w14:paraId="15740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5A3C1B42">
            <w:pPr>
              <w:spacing w:line="300" w:lineRule="exact"/>
              <w:jc w:val="left"/>
            </w:pPr>
            <w:r>
              <w:rPr>
                <w:rFonts w:ascii="方正书宋_GBK"/>
                <w:b/>
              </w:rPr>
              <w:t>　　社情民意</w:t>
            </w:r>
          </w:p>
        </w:tc>
        <w:tc>
          <w:tcPr>
            <w:tcW w:w="1276" w:type="dxa"/>
            <w:vAlign w:val="center"/>
          </w:tcPr>
          <w:p w14:paraId="48875F33">
            <w:pPr>
              <w:spacing w:line="300" w:lineRule="exact"/>
              <w:jc w:val="left"/>
            </w:pPr>
          </w:p>
        </w:tc>
        <w:tc>
          <w:tcPr>
            <w:tcW w:w="2976" w:type="dxa"/>
            <w:vAlign w:val="center"/>
          </w:tcPr>
          <w:p w14:paraId="71130578">
            <w:pPr>
              <w:spacing w:line="300" w:lineRule="exact"/>
              <w:jc w:val="left"/>
            </w:pPr>
            <w:r>
              <w:rPr>
                <w:rFonts w:ascii="方正书宋_GBK"/>
              </w:rPr>
              <w:t>利用政协自身包容各界、联系广泛、人才聚集的优势和特点，了解和反映社会不同阶层、群体的愿望和要求，将分散在民间、基层有识之士的真知灼见反映给决策部门。</w:t>
            </w:r>
          </w:p>
        </w:tc>
        <w:tc>
          <w:tcPr>
            <w:tcW w:w="2976" w:type="dxa"/>
            <w:vAlign w:val="center"/>
          </w:tcPr>
          <w:p w14:paraId="746FF60A">
            <w:pPr>
              <w:spacing w:line="300" w:lineRule="exact"/>
              <w:jc w:val="left"/>
            </w:pPr>
            <w:r>
              <w:rPr>
                <w:rFonts w:ascii="方正书宋_GBK"/>
              </w:rPr>
              <w:t>通过界别渠道密切联系群众，反映社情民意，努力做到协调关系、化解矛盾、理顺情绪，增进社会各阶层不同利益群体的和谐和稳定。</w:t>
            </w:r>
          </w:p>
        </w:tc>
        <w:tc>
          <w:tcPr>
            <w:tcW w:w="1417" w:type="dxa"/>
            <w:vAlign w:val="center"/>
          </w:tcPr>
          <w:p w14:paraId="26ECD281">
            <w:pPr>
              <w:spacing w:line="300" w:lineRule="exact"/>
              <w:jc w:val="left"/>
            </w:pPr>
            <w:r>
              <w:rPr>
                <w:rFonts w:ascii="方正书宋_GBK"/>
              </w:rPr>
              <w:t>社情民意反映率</w:t>
            </w:r>
          </w:p>
        </w:tc>
        <w:tc>
          <w:tcPr>
            <w:tcW w:w="737" w:type="dxa"/>
            <w:vAlign w:val="center"/>
          </w:tcPr>
          <w:p w14:paraId="430BAC2D">
            <w:pPr>
              <w:spacing w:line="300" w:lineRule="exact"/>
              <w:jc w:val="center"/>
            </w:pPr>
            <w:r>
              <w:rPr>
                <w:rFonts w:ascii="方正书宋_GBK"/>
              </w:rPr>
              <w:t>≥80%</w:t>
            </w:r>
          </w:p>
        </w:tc>
        <w:tc>
          <w:tcPr>
            <w:tcW w:w="737" w:type="dxa"/>
            <w:vAlign w:val="center"/>
          </w:tcPr>
          <w:p w14:paraId="59BC5412">
            <w:pPr>
              <w:spacing w:line="300" w:lineRule="exact"/>
              <w:jc w:val="center"/>
            </w:pPr>
            <w:r>
              <w:rPr>
                <w:rFonts w:ascii="方正书宋_GBK"/>
              </w:rPr>
              <w:t>≥70%</w:t>
            </w:r>
          </w:p>
        </w:tc>
        <w:tc>
          <w:tcPr>
            <w:tcW w:w="737" w:type="dxa"/>
            <w:vAlign w:val="center"/>
          </w:tcPr>
          <w:p w14:paraId="22D9D1C5">
            <w:pPr>
              <w:spacing w:line="300" w:lineRule="exact"/>
              <w:jc w:val="center"/>
            </w:pPr>
            <w:r>
              <w:rPr>
                <w:rFonts w:ascii="方正书宋_GBK"/>
              </w:rPr>
              <w:t>≥50%</w:t>
            </w:r>
          </w:p>
        </w:tc>
        <w:tc>
          <w:tcPr>
            <w:tcW w:w="737" w:type="dxa"/>
            <w:vAlign w:val="center"/>
          </w:tcPr>
          <w:p w14:paraId="272C93AC">
            <w:pPr>
              <w:spacing w:line="300" w:lineRule="exact"/>
              <w:jc w:val="center"/>
            </w:pPr>
            <w:r>
              <w:rPr>
                <w:rFonts w:ascii="方正书宋_GBK"/>
              </w:rPr>
              <w:t>＜50%</w:t>
            </w:r>
          </w:p>
        </w:tc>
      </w:tr>
      <w:tr w14:paraId="36E39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7394156D">
            <w:pPr>
              <w:spacing w:line="300" w:lineRule="exact"/>
              <w:jc w:val="left"/>
            </w:pPr>
            <w:r>
              <w:rPr>
                <w:rFonts w:ascii="方正书宋_GBK"/>
                <w:b/>
              </w:rPr>
              <w:t>政协事务管理</w:t>
            </w:r>
          </w:p>
        </w:tc>
        <w:tc>
          <w:tcPr>
            <w:tcW w:w="1276" w:type="dxa"/>
            <w:vAlign w:val="center"/>
          </w:tcPr>
          <w:p w14:paraId="44B307D9">
            <w:pPr>
              <w:spacing w:line="300" w:lineRule="exact"/>
              <w:jc w:val="left"/>
            </w:pPr>
            <w:r>
              <w:rPr>
                <w:rFonts w:ascii="方正书宋_GBK"/>
              </w:rPr>
              <w:t>10.76</w:t>
            </w:r>
          </w:p>
        </w:tc>
        <w:tc>
          <w:tcPr>
            <w:tcW w:w="2976" w:type="dxa"/>
            <w:vAlign w:val="center"/>
          </w:tcPr>
          <w:p w14:paraId="6CE81D52">
            <w:pPr>
              <w:spacing w:line="300" w:lineRule="exact"/>
              <w:jc w:val="left"/>
            </w:pPr>
            <w:r>
              <w:rPr>
                <w:rFonts w:ascii="方正书宋_GBK"/>
              </w:rPr>
              <w:t>区政协自身建设、理论研究以及宣传工作，与区内外有关单位的联系协调；负责机关外事工作，机构编制、人事任免、人员培训、考核奖惩、工资福利，后勤保障、经费资产管理、基建和审计，接待、离退休人员服务，承办区政协主席、副主席、秘书长交办的其他事项。</w:t>
            </w:r>
          </w:p>
        </w:tc>
        <w:tc>
          <w:tcPr>
            <w:tcW w:w="2976" w:type="dxa"/>
            <w:vAlign w:val="center"/>
          </w:tcPr>
          <w:p w14:paraId="754EADF7">
            <w:pPr>
              <w:spacing w:line="300" w:lineRule="exact"/>
              <w:jc w:val="left"/>
            </w:pPr>
            <w:r>
              <w:rPr>
                <w:rFonts w:ascii="方正书宋_GBK"/>
              </w:rPr>
              <w:t>机关自身建设、服务保障能力进一步提升。</w:t>
            </w:r>
          </w:p>
        </w:tc>
        <w:tc>
          <w:tcPr>
            <w:tcW w:w="1417" w:type="dxa"/>
            <w:vAlign w:val="center"/>
          </w:tcPr>
          <w:p w14:paraId="313E98B7">
            <w:pPr>
              <w:spacing w:line="300" w:lineRule="exact"/>
              <w:jc w:val="left"/>
            </w:pPr>
          </w:p>
        </w:tc>
        <w:tc>
          <w:tcPr>
            <w:tcW w:w="737" w:type="dxa"/>
            <w:vAlign w:val="center"/>
          </w:tcPr>
          <w:p w14:paraId="7C56B3D9">
            <w:pPr>
              <w:spacing w:line="300" w:lineRule="exact"/>
              <w:jc w:val="center"/>
            </w:pPr>
          </w:p>
        </w:tc>
        <w:tc>
          <w:tcPr>
            <w:tcW w:w="737" w:type="dxa"/>
            <w:vAlign w:val="center"/>
          </w:tcPr>
          <w:p w14:paraId="46E9C648">
            <w:pPr>
              <w:spacing w:line="300" w:lineRule="exact"/>
              <w:jc w:val="center"/>
            </w:pPr>
          </w:p>
        </w:tc>
        <w:tc>
          <w:tcPr>
            <w:tcW w:w="737" w:type="dxa"/>
            <w:vAlign w:val="center"/>
          </w:tcPr>
          <w:p w14:paraId="34F1F16C">
            <w:pPr>
              <w:spacing w:line="300" w:lineRule="exact"/>
              <w:jc w:val="center"/>
            </w:pPr>
          </w:p>
        </w:tc>
        <w:tc>
          <w:tcPr>
            <w:tcW w:w="737" w:type="dxa"/>
            <w:vAlign w:val="center"/>
          </w:tcPr>
          <w:p w14:paraId="7A7F0316">
            <w:pPr>
              <w:spacing w:line="300" w:lineRule="exact"/>
              <w:jc w:val="center"/>
            </w:pPr>
          </w:p>
        </w:tc>
      </w:tr>
      <w:tr w14:paraId="45970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2FF4F53F">
            <w:pPr>
              <w:spacing w:line="300" w:lineRule="exact"/>
              <w:jc w:val="left"/>
            </w:pPr>
            <w:r>
              <w:rPr>
                <w:rFonts w:ascii="方正书宋_GBK"/>
                <w:b/>
              </w:rPr>
              <w:t>　　综合业务管理</w:t>
            </w:r>
          </w:p>
        </w:tc>
        <w:tc>
          <w:tcPr>
            <w:tcW w:w="1276" w:type="dxa"/>
            <w:vAlign w:val="center"/>
          </w:tcPr>
          <w:p w14:paraId="70F3D6D6">
            <w:pPr>
              <w:spacing w:line="300" w:lineRule="exact"/>
              <w:jc w:val="left"/>
            </w:pPr>
          </w:p>
        </w:tc>
        <w:tc>
          <w:tcPr>
            <w:tcW w:w="2976" w:type="dxa"/>
            <w:vAlign w:val="center"/>
          </w:tcPr>
          <w:p w14:paraId="1CA91D85">
            <w:pPr>
              <w:spacing w:line="300" w:lineRule="exact"/>
              <w:jc w:val="left"/>
            </w:pPr>
            <w:r>
              <w:rPr>
                <w:rFonts w:ascii="方正书宋_GBK"/>
              </w:rPr>
              <w:t>加强区政协机关与专委会自身建设以及理论研究和宣传工作，扩大与省市政协办公厅，区委、区人大常委会、区政府办公室，区各民主党派、工商联、人民团体、区直有关部门和乡政协的联系、协调工作。</w:t>
            </w:r>
          </w:p>
        </w:tc>
        <w:tc>
          <w:tcPr>
            <w:tcW w:w="2976" w:type="dxa"/>
            <w:vAlign w:val="center"/>
          </w:tcPr>
          <w:p w14:paraId="051859C2">
            <w:pPr>
              <w:spacing w:line="300" w:lineRule="exact"/>
              <w:jc w:val="left"/>
            </w:pPr>
            <w:r>
              <w:rPr>
                <w:rFonts w:ascii="方正书宋_GBK"/>
              </w:rPr>
              <w:t>政协自身建设质量更加扎实，工作科学化水平进一步提升。文史资料的社会功能增强，理论研究成果服务履职作用明显。</w:t>
            </w:r>
          </w:p>
        </w:tc>
        <w:tc>
          <w:tcPr>
            <w:tcW w:w="1417" w:type="dxa"/>
            <w:vAlign w:val="center"/>
          </w:tcPr>
          <w:p w14:paraId="5DDF0FE6">
            <w:pPr>
              <w:spacing w:line="300" w:lineRule="exact"/>
              <w:jc w:val="left"/>
            </w:pPr>
            <w:r>
              <w:rPr>
                <w:rFonts w:ascii="方正书宋_GBK"/>
              </w:rPr>
              <w:t>综合业务管理工作完成率</w:t>
            </w:r>
          </w:p>
        </w:tc>
        <w:tc>
          <w:tcPr>
            <w:tcW w:w="737" w:type="dxa"/>
            <w:vAlign w:val="center"/>
          </w:tcPr>
          <w:p w14:paraId="1226D306">
            <w:pPr>
              <w:spacing w:line="300" w:lineRule="exact"/>
              <w:jc w:val="center"/>
            </w:pPr>
            <w:r>
              <w:rPr>
                <w:rFonts w:ascii="方正书宋_GBK"/>
              </w:rPr>
              <w:t>100%</w:t>
            </w:r>
          </w:p>
        </w:tc>
        <w:tc>
          <w:tcPr>
            <w:tcW w:w="737" w:type="dxa"/>
            <w:vAlign w:val="center"/>
          </w:tcPr>
          <w:p w14:paraId="2379DB56">
            <w:pPr>
              <w:spacing w:line="300" w:lineRule="exact"/>
              <w:jc w:val="center"/>
            </w:pPr>
            <w:r>
              <w:rPr>
                <w:rFonts w:ascii="方正书宋_GBK"/>
              </w:rPr>
              <w:t>≥95%</w:t>
            </w:r>
          </w:p>
        </w:tc>
        <w:tc>
          <w:tcPr>
            <w:tcW w:w="737" w:type="dxa"/>
            <w:vAlign w:val="center"/>
          </w:tcPr>
          <w:p w14:paraId="4B51CDDE">
            <w:pPr>
              <w:spacing w:line="300" w:lineRule="exact"/>
              <w:jc w:val="center"/>
            </w:pPr>
            <w:r>
              <w:rPr>
                <w:rFonts w:ascii="方正书宋_GBK"/>
              </w:rPr>
              <w:t>≥90%</w:t>
            </w:r>
          </w:p>
        </w:tc>
        <w:tc>
          <w:tcPr>
            <w:tcW w:w="737" w:type="dxa"/>
            <w:vAlign w:val="center"/>
          </w:tcPr>
          <w:p w14:paraId="631B3269">
            <w:pPr>
              <w:spacing w:line="300" w:lineRule="exact"/>
              <w:jc w:val="center"/>
            </w:pPr>
            <w:r>
              <w:rPr>
                <w:rFonts w:ascii="方正书宋_GBK"/>
              </w:rPr>
              <w:t>＜90%</w:t>
            </w:r>
          </w:p>
        </w:tc>
      </w:tr>
      <w:tr w14:paraId="3476C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533F485F">
            <w:pPr>
              <w:spacing w:line="300" w:lineRule="exact"/>
              <w:jc w:val="left"/>
            </w:pPr>
            <w:r>
              <w:rPr>
                <w:rFonts w:ascii="方正书宋_GBK"/>
                <w:b/>
              </w:rPr>
              <w:t>　　综合事务管理</w:t>
            </w:r>
          </w:p>
        </w:tc>
        <w:tc>
          <w:tcPr>
            <w:tcW w:w="1276" w:type="dxa"/>
            <w:vAlign w:val="center"/>
          </w:tcPr>
          <w:p w14:paraId="3BF15296">
            <w:pPr>
              <w:spacing w:line="300" w:lineRule="exact"/>
              <w:jc w:val="left"/>
            </w:pPr>
            <w:r>
              <w:rPr>
                <w:rFonts w:ascii="方正书宋_GBK"/>
              </w:rPr>
              <w:t>10.76</w:t>
            </w:r>
          </w:p>
        </w:tc>
        <w:tc>
          <w:tcPr>
            <w:tcW w:w="2976" w:type="dxa"/>
            <w:vAlign w:val="center"/>
          </w:tcPr>
          <w:p w14:paraId="243A3A4C">
            <w:pPr>
              <w:spacing w:line="300" w:lineRule="exact"/>
              <w:jc w:val="left"/>
            </w:pPr>
            <w:r>
              <w:rPr>
                <w:rFonts w:ascii="方正书宋_GBK"/>
              </w:rPr>
              <w:t>区政协机关的机构编制、人事任免、调配及人员培训、考核奖惩、工资福利，后勤保障、机关经费管理、资产管理、基建和审计，机关接待、离退休人员服务，以及承办区政协主席、副主席、秘书长交办的其他事项。</w:t>
            </w:r>
          </w:p>
        </w:tc>
        <w:tc>
          <w:tcPr>
            <w:tcW w:w="2976" w:type="dxa"/>
            <w:vAlign w:val="center"/>
          </w:tcPr>
          <w:p w14:paraId="5DC550EA">
            <w:pPr>
              <w:spacing w:line="300" w:lineRule="exact"/>
              <w:jc w:val="left"/>
            </w:pPr>
            <w:r>
              <w:rPr>
                <w:rFonts w:ascii="方正书宋_GBK"/>
              </w:rPr>
              <w:t>机关基本设施设备正常运转、信息化保障、老干部服务保障能力进一步提高。</w:t>
            </w:r>
          </w:p>
        </w:tc>
        <w:tc>
          <w:tcPr>
            <w:tcW w:w="1417" w:type="dxa"/>
            <w:vAlign w:val="center"/>
          </w:tcPr>
          <w:p w14:paraId="0EA5EA05">
            <w:pPr>
              <w:spacing w:line="300" w:lineRule="exact"/>
              <w:jc w:val="left"/>
            </w:pPr>
            <w:r>
              <w:rPr>
                <w:rFonts w:ascii="方正书宋_GBK"/>
              </w:rPr>
              <w:t>综合事务保障率</w:t>
            </w:r>
          </w:p>
        </w:tc>
        <w:tc>
          <w:tcPr>
            <w:tcW w:w="737" w:type="dxa"/>
            <w:vAlign w:val="center"/>
          </w:tcPr>
          <w:p w14:paraId="6DBE50AB">
            <w:pPr>
              <w:spacing w:line="300" w:lineRule="exact"/>
              <w:jc w:val="center"/>
            </w:pPr>
            <w:r>
              <w:rPr>
                <w:rFonts w:ascii="方正书宋_GBK"/>
              </w:rPr>
              <w:t>100%</w:t>
            </w:r>
          </w:p>
        </w:tc>
        <w:tc>
          <w:tcPr>
            <w:tcW w:w="737" w:type="dxa"/>
            <w:vAlign w:val="center"/>
          </w:tcPr>
          <w:p w14:paraId="628C96B3">
            <w:pPr>
              <w:spacing w:line="300" w:lineRule="exact"/>
              <w:jc w:val="center"/>
            </w:pPr>
            <w:r>
              <w:rPr>
                <w:rFonts w:ascii="方正书宋_GBK"/>
              </w:rPr>
              <w:t>≥95%</w:t>
            </w:r>
          </w:p>
        </w:tc>
        <w:tc>
          <w:tcPr>
            <w:tcW w:w="737" w:type="dxa"/>
            <w:vAlign w:val="center"/>
          </w:tcPr>
          <w:p w14:paraId="78C086B5">
            <w:pPr>
              <w:spacing w:line="300" w:lineRule="exact"/>
              <w:jc w:val="center"/>
            </w:pPr>
            <w:r>
              <w:rPr>
                <w:rFonts w:ascii="方正书宋_GBK"/>
              </w:rPr>
              <w:t>≥90%</w:t>
            </w:r>
          </w:p>
        </w:tc>
        <w:tc>
          <w:tcPr>
            <w:tcW w:w="737" w:type="dxa"/>
            <w:vAlign w:val="center"/>
          </w:tcPr>
          <w:p w14:paraId="42E38DDF">
            <w:pPr>
              <w:spacing w:line="300" w:lineRule="exact"/>
              <w:jc w:val="center"/>
            </w:pPr>
            <w:r>
              <w:rPr>
                <w:rFonts w:ascii="方正书宋_GBK"/>
              </w:rPr>
              <w:t>＜90%</w:t>
            </w:r>
          </w:p>
        </w:tc>
      </w:tr>
    </w:tbl>
    <w:p w14:paraId="3DEA0CCE">
      <w:pPr>
        <w:spacing w:line="300" w:lineRule="exact"/>
        <w:jc w:val="left"/>
        <w:sectPr>
          <w:headerReference r:id="rId5" w:type="first"/>
          <w:footerReference r:id="rId8" w:type="first"/>
          <w:headerReference r:id="rId3" w:type="default"/>
          <w:footerReference r:id="rId6" w:type="default"/>
          <w:headerReference r:id="rId4" w:type="even"/>
          <w:footerReference r:id="rId7" w:type="even"/>
          <w:pgSz w:w="16839" w:h="11907" w:orient="landscape"/>
          <w:pgMar w:top="1021" w:right="1361" w:bottom="1021" w:left="1361" w:header="720" w:footer="720" w:gutter="0"/>
          <w:cols w:space="720" w:num="1"/>
        </w:sectPr>
      </w:pPr>
    </w:p>
    <w:p w14:paraId="30BD8456">
      <w:pPr>
        <w:spacing w:line="520" w:lineRule="exact"/>
        <w:jc w:val="center"/>
        <w:rPr>
          <w:rFonts w:ascii="黑体" w:hAnsi="黑体"/>
          <w:sz w:val="32"/>
          <w:szCs w:val="32"/>
        </w:rPr>
      </w:pPr>
      <w:r>
        <w:rPr>
          <w:rFonts w:ascii="黑体" w:hAnsi="黑体"/>
          <w:sz w:val="32"/>
          <w:szCs w:val="32"/>
        </w:rPr>
        <w:t>第六部分 政府采购预算情况</w:t>
      </w:r>
    </w:p>
    <w:p w14:paraId="524FC9F0">
      <w:pPr>
        <w:jc w:val="center"/>
        <w:rPr>
          <w:rFonts w:ascii="宋体" w:hAnsi="宋体"/>
          <w:b/>
          <w:sz w:val="32"/>
          <w:szCs w:val="32"/>
        </w:rPr>
      </w:pPr>
    </w:p>
    <w:p w14:paraId="6838C4A6">
      <w:pPr>
        <w:ind w:firstLine="640"/>
        <w:jc w:val="left"/>
      </w:pPr>
      <w:r>
        <w:rPr>
          <w:rFonts w:ascii="仿宋" w:hAnsi="仿宋"/>
          <w:sz w:val="32"/>
          <w:szCs w:val="32"/>
        </w:rPr>
        <w:t>2017年，保定市徐水区政协安排采购预算1.6万元。具体内容见下表：</w:t>
      </w:r>
    </w:p>
    <w:p w14:paraId="6D5EC107">
      <w:pPr>
        <w:ind w:firstLine="420"/>
        <w:rPr>
          <w:rFonts w:ascii="宋体" w:hAnsi="宋体"/>
          <w:sz w:val="32"/>
          <w:szCs w:val="32"/>
        </w:rPr>
      </w:pP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560"/>
        <w:gridCol w:w="740"/>
        <w:gridCol w:w="617"/>
        <w:gridCol w:w="740"/>
        <w:gridCol w:w="613"/>
        <w:gridCol w:w="613"/>
        <w:gridCol w:w="634"/>
        <w:gridCol w:w="631"/>
        <w:gridCol w:w="631"/>
        <w:gridCol w:w="632"/>
        <w:gridCol w:w="611"/>
        <w:gridCol w:w="611"/>
        <w:gridCol w:w="611"/>
        <w:gridCol w:w="611"/>
      </w:tblGrid>
      <w:tr w14:paraId="085FE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773" w:type="dxa"/>
            <w:gridSpan w:val="7"/>
            <w:tcBorders>
              <w:top w:val="single" w:color="FFFFFF" w:sz="6" w:space="0"/>
              <w:left w:val="single" w:color="FFFFFF" w:sz="6" w:space="0"/>
              <w:right w:val="single" w:color="FFFFFF" w:sz="6" w:space="0"/>
            </w:tcBorders>
            <w:vAlign w:val="center"/>
          </w:tcPr>
          <w:p w14:paraId="4B92F77D">
            <w:pPr>
              <w:spacing w:line="300" w:lineRule="exact"/>
              <w:jc w:val="left"/>
            </w:pPr>
            <w:r>
              <w:rPr>
                <w:rFonts w:ascii="方正小标宋_GBK"/>
                <w:sz w:val="24"/>
              </w:rPr>
              <w:t>131中国人民政治协商会议保定市徐水区委员会办公室</w:t>
            </w:r>
          </w:p>
        </w:tc>
        <w:tc>
          <w:tcPr>
            <w:tcW w:w="4484" w:type="dxa"/>
            <w:gridSpan w:val="7"/>
            <w:tcBorders>
              <w:top w:val="single" w:color="FFFFFF" w:sz="6" w:space="0"/>
              <w:left w:val="single" w:color="FFFFFF" w:sz="6" w:space="0"/>
              <w:right w:val="single" w:color="FFFFFF" w:sz="6" w:space="0"/>
            </w:tcBorders>
            <w:vAlign w:val="center"/>
          </w:tcPr>
          <w:p w14:paraId="4673933A">
            <w:pPr>
              <w:spacing w:line="300" w:lineRule="exact"/>
              <w:jc w:val="right"/>
            </w:pPr>
            <w:r>
              <w:rPr>
                <w:rFonts w:ascii="方正书宋_GBK"/>
                <w:sz w:val="24"/>
              </w:rPr>
              <w:t>单位：万元</w:t>
            </w:r>
          </w:p>
        </w:tc>
      </w:tr>
      <w:tr w14:paraId="2F286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454" w:type="dxa"/>
            <w:gridSpan w:val="2"/>
            <w:vAlign w:val="center"/>
          </w:tcPr>
          <w:p w14:paraId="155F5676">
            <w:pPr>
              <w:spacing w:line="300" w:lineRule="exact"/>
              <w:jc w:val="center"/>
            </w:pPr>
            <w:r>
              <w:rPr>
                <w:rFonts w:ascii="方正书宋_GBK"/>
                <w:b/>
              </w:rPr>
              <w:t>政府采购项目来源</w:t>
            </w:r>
          </w:p>
        </w:tc>
        <w:tc>
          <w:tcPr>
            <w:tcW w:w="647" w:type="dxa"/>
            <w:vMerge w:val="restart"/>
            <w:vAlign w:val="center"/>
          </w:tcPr>
          <w:p w14:paraId="58C0B84E">
            <w:pPr>
              <w:spacing w:line="300" w:lineRule="exact"/>
              <w:jc w:val="center"/>
            </w:pPr>
            <w:r>
              <w:rPr>
                <w:rFonts w:ascii="方正书宋_GBK"/>
                <w:b/>
              </w:rPr>
              <w:t>采购物品名称</w:t>
            </w:r>
          </w:p>
        </w:tc>
        <w:tc>
          <w:tcPr>
            <w:tcW w:w="741" w:type="dxa"/>
            <w:vMerge w:val="restart"/>
            <w:vAlign w:val="center"/>
          </w:tcPr>
          <w:p w14:paraId="5E7DCBF2">
            <w:pPr>
              <w:spacing w:line="300" w:lineRule="exact"/>
              <w:jc w:val="center"/>
            </w:pPr>
            <w:r>
              <w:rPr>
                <w:rFonts w:ascii="方正书宋_GBK"/>
                <w:b/>
              </w:rPr>
              <w:t>政府采购目录序号</w:t>
            </w:r>
          </w:p>
        </w:tc>
        <w:tc>
          <w:tcPr>
            <w:tcW w:w="643" w:type="dxa"/>
            <w:vMerge w:val="restart"/>
            <w:vAlign w:val="center"/>
          </w:tcPr>
          <w:p w14:paraId="32EDBE20">
            <w:pPr>
              <w:spacing w:line="300" w:lineRule="exact"/>
              <w:jc w:val="center"/>
            </w:pPr>
            <w:r>
              <w:rPr>
                <w:rFonts w:ascii="方正书宋_GBK"/>
                <w:b/>
              </w:rPr>
              <w:t>数量  单位</w:t>
            </w:r>
          </w:p>
        </w:tc>
        <w:tc>
          <w:tcPr>
            <w:tcW w:w="643" w:type="dxa"/>
            <w:vMerge w:val="restart"/>
            <w:vAlign w:val="center"/>
          </w:tcPr>
          <w:p w14:paraId="00001E93">
            <w:pPr>
              <w:spacing w:line="300" w:lineRule="exact"/>
              <w:jc w:val="center"/>
            </w:pPr>
            <w:r>
              <w:rPr>
                <w:rFonts w:ascii="方正书宋_GBK"/>
                <w:b/>
              </w:rPr>
              <w:t>数量</w:t>
            </w:r>
          </w:p>
        </w:tc>
        <w:tc>
          <w:tcPr>
            <w:tcW w:w="645" w:type="dxa"/>
            <w:vMerge w:val="restart"/>
            <w:vAlign w:val="center"/>
          </w:tcPr>
          <w:p w14:paraId="7C691FA8">
            <w:pPr>
              <w:spacing w:line="300" w:lineRule="exact"/>
              <w:jc w:val="center"/>
            </w:pPr>
            <w:r>
              <w:rPr>
                <w:rFonts w:ascii="方正书宋_GBK"/>
                <w:b/>
              </w:rPr>
              <w:t>单价</w:t>
            </w:r>
          </w:p>
        </w:tc>
        <w:tc>
          <w:tcPr>
            <w:tcW w:w="4484" w:type="dxa"/>
            <w:gridSpan w:val="7"/>
            <w:vAlign w:val="center"/>
          </w:tcPr>
          <w:p w14:paraId="164A8F5F">
            <w:pPr>
              <w:spacing w:line="300" w:lineRule="exact"/>
              <w:jc w:val="center"/>
            </w:pPr>
            <w:r>
              <w:rPr>
                <w:rFonts w:ascii="方正书宋_GBK"/>
                <w:b/>
              </w:rPr>
              <w:t>政府采购金额</w:t>
            </w:r>
          </w:p>
        </w:tc>
      </w:tr>
      <w:tr w14:paraId="56902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2" w:type="dxa"/>
            <w:vMerge w:val="restart"/>
            <w:vAlign w:val="center"/>
          </w:tcPr>
          <w:p w14:paraId="3BC379D8">
            <w:pPr>
              <w:spacing w:line="300" w:lineRule="exact"/>
              <w:jc w:val="center"/>
            </w:pPr>
            <w:r>
              <w:rPr>
                <w:rFonts w:ascii="方正书宋_GBK"/>
                <w:b/>
              </w:rPr>
              <w:t>项目名称</w:t>
            </w:r>
          </w:p>
        </w:tc>
        <w:tc>
          <w:tcPr>
            <w:tcW w:w="752" w:type="dxa"/>
            <w:vMerge w:val="restart"/>
            <w:vAlign w:val="center"/>
          </w:tcPr>
          <w:p w14:paraId="088BE6D9">
            <w:pPr>
              <w:spacing w:line="300" w:lineRule="exact"/>
              <w:jc w:val="center"/>
            </w:pPr>
            <w:r>
              <w:rPr>
                <w:rFonts w:ascii="方正书宋_GBK"/>
                <w:b/>
              </w:rPr>
              <w:t>预算资金</w:t>
            </w:r>
          </w:p>
        </w:tc>
        <w:tc>
          <w:tcPr>
            <w:vMerge w:val="continue"/>
          </w:tcPr>
          <w:p w14:paraId="65CC8EBA"/>
        </w:tc>
        <w:tc>
          <w:tcPr>
            <w:vMerge w:val="continue"/>
          </w:tcPr>
          <w:p w14:paraId="1B0E65BC"/>
        </w:tc>
        <w:tc>
          <w:tcPr>
            <w:vMerge w:val="continue"/>
          </w:tcPr>
          <w:p w14:paraId="746A36EC"/>
        </w:tc>
        <w:tc>
          <w:tcPr>
            <w:vMerge w:val="continue"/>
          </w:tcPr>
          <w:p w14:paraId="63D68839"/>
        </w:tc>
        <w:tc>
          <w:tcPr>
            <w:vMerge w:val="continue"/>
          </w:tcPr>
          <w:p w14:paraId="3F0D8F45"/>
        </w:tc>
        <w:tc>
          <w:tcPr>
            <w:tcW w:w="641" w:type="dxa"/>
            <w:vMerge w:val="restart"/>
            <w:vAlign w:val="center"/>
          </w:tcPr>
          <w:p w14:paraId="26023FD7">
            <w:pPr>
              <w:spacing w:line="300" w:lineRule="exact"/>
              <w:jc w:val="center"/>
            </w:pPr>
            <w:r>
              <w:rPr>
                <w:rFonts w:ascii="方正书宋_GBK"/>
                <w:b/>
              </w:rPr>
              <w:t>总计</w:t>
            </w:r>
          </w:p>
        </w:tc>
        <w:tc>
          <w:tcPr>
            <w:tcW w:w="3203" w:type="dxa"/>
            <w:gridSpan w:val="5"/>
            <w:vAlign w:val="center"/>
          </w:tcPr>
          <w:p w14:paraId="6FFECAD4">
            <w:pPr>
              <w:spacing w:line="300" w:lineRule="exact"/>
              <w:jc w:val="center"/>
            </w:pPr>
            <w:r>
              <w:rPr>
                <w:rFonts w:ascii="方正书宋_GBK"/>
                <w:b/>
              </w:rPr>
              <w:t>当年部门预算安排资金</w:t>
            </w:r>
          </w:p>
        </w:tc>
        <w:tc>
          <w:tcPr>
            <w:tcW w:w="640" w:type="dxa"/>
            <w:vMerge w:val="restart"/>
            <w:vAlign w:val="center"/>
          </w:tcPr>
          <w:p w14:paraId="385E7BA0">
            <w:pPr>
              <w:spacing w:line="300" w:lineRule="exact"/>
              <w:jc w:val="center"/>
            </w:pPr>
            <w:r>
              <w:rPr>
                <w:rFonts w:ascii="方正书宋_GBK"/>
                <w:b/>
              </w:rPr>
              <w:t>其他渠道资金</w:t>
            </w:r>
          </w:p>
        </w:tc>
      </w:tr>
      <w:tr w14:paraId="37C97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vMerge w:val="continue"/>
          </w:tcPr>
          <w:p w14:paraId="16824466"/>
        </w:tc>
        <w:tc>
          <w:tcPr>
            <w:vMerge w:val="continue"/>
          </w:tcPr>
          <w:p w14:paraId="5972E55D"/>
        </w:tc>
        <w:tc>
          <w:tcPr>
            <w:vMerge w:val="continue"/>
          </w:tcPr>
          <w:p w14:paraId="372F2602"/>
        </w:tc>
        <w:tc>
          <w:tcPr>
            <w:vMerge w:val="continue"/>
          </w:tcPr>
          <w:p w14:paraId="77E12D96"/>
        </w:tc>
        <w:tc>
          <w:tcPr>
            <w:vMerge w:val="continue"/>
          </w:tcPr>
          <w:p w14:paraId="21871D81"/>
        </w:tc>
        <w:tc>
          <w:tcPr>
            <w:vMerge w:val="continue"/>
          </w:tcPr>
          <w:p w14:paraId="6678064E"/>
        </w:tc>
        <w:tc>
          <w:tcPr>
            <w:vMerge w:val="continue"/>
          </w:tcPr>
          <w:p w14:paraId="602DAFE4"/>
        </w:tc>
        <w:tc>
          <w:tcPr>
            <w:vMerge w:val="continue"/>
          </w:tcPr>
          <w:p w14:paraId="1804367D"/>
        </w:tc>
        <w:tc>
          <w:tcPr>
            <w:tcW w:w="641" w:type="dxa"/>
            <w:vAlign w:val="center"/>
          </w:tcPr>
          <w:p w14:paraId="5E55F8E9">
            <w:pPr>
              <w:spacing w:line="300" w:lineRule="exact"/>
              <w:jc w:val="center"/>
            </w:pPr>
            <w:r>
              <w:rPr>
                <w:rFonts w:ascii="方正书宋_GBK"/>
                <w:b/>
              </w:rPr>
              <w:t>合计</w:t>
            </w:r>
          </w:p>
        </w:tc>
        <w:tc>
          <w:tcPr>
            <w:tcW w:w="642" w:type="dxa"/>
            <w:vAlign w:val="center"/>
          </w:tcPr>
          <w:p w14:paraId="4BBB9B21">
            <w:pPr>
              <w:spacing w:line="300" w:lineRule="exact"/>
              <w:jc w:val="center"/>
            </w:pPr>
            <w:r>
              <w:rPr>
                <w:rFonts w:ascii="方正书宋_GBK"/>
                <w:b/>
              </w:rPr>
              <w:t>一般公共预算拨款</w:t>
            </w:r>
          </w:p>
        </w:tc>
        <w:tc>
          <w:tcPr>
            <w:tcW w:w="640" w:type="dxa"/>
            <w:vAlign w:val="center"/>
          </w:tcPr>
          <w:p w14:paraId="3846D843">
            <w:pPr>
              <w:spacing w:line="300" w:lineRule="exact"/>
              <w:jc w:val="center"/>
            </w:pPr>
            <w:r>
              <w:rPr>
                <w:rFonts w:ascii="方正书宋_GBK"/>
                <w:b/>
              </w:rPr>
              <w:t>基金预算拨款</w:t>
            </w:r>
          </w:p>
        </w:tc>
        <w:tc>
          <w:tcPr>
            <w:tcW w:w="640" w:type="dxa"/>
            <w:vAlign w:val="center"/>
          </w:tcPr>
          <w:p w14:paraId="55A7D1F8">
            <w:pPr>
              <w:spacing w:line="300" w:lineRule="exact"/>
              <w:jc w:val="center"/>
            </w:pPr>
            <w:r>
              <w:rPr>
                <w:rFonts w:ascii="方正书宋_GBK"/>
                <w:b/>
              </w:rPr>
              <w:t>财政专户核拨</w:t>
            </w:r>
          </w:p>
        </w:tc>
        <w:tc>
          <w:tcPr>
            <w:tcW w:w="640" w:type="dxa"/>
            <w:vAlign w:val="center"/>
          </w:tcPr>
          <w:p w14:paraId="787E8E6A">
            <w:pPr>
              <w:spacing w:line="300" w:lineRule="exact"/>
              <w:jc w:val="center"/>
            </w:pPr>
            <w:r>
              <w:rPr>
                <w:rFonts w:ascii="方正书宋_GBK"/>
                <w:b/>
              </w:rPr>
              <w:t>其他来源收入</w:t>
            </w:r>
          </w:p>
        </w:tc>
        <w:tc>
          <w:tcPr>
            <w:vMerge w:val="continue"/>
          </w:tcPr>
          <w:p w14:paraId="6965ED8F"/>
        </w:tc>
      </w:tr>
      <w:tr w14:paraId="7A517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2" w:type="dxa"/>
            <w:vAlign w:val="center"/>
          </w:tcPr>
          <w:p w14:paraId="0612187E">
            <w:pPr>
              <w:spacing w:line="300" w:lineRule="exact"/>
              <w:jc w:val="center"/>
            </w:pPr>
            <w:r>
              <w:rPr>
                <w:rFonts w:ascii="方正书宋_GBK"/>
                <w:b/>
              </w:rPr>
              <w:t>政协（机关）小计</w:t>
            </w:r>
          </w:p>
        </w:tc>
        <w:tc>
          <w:tcPr>
            <w:tcW w:w="752" w:type="dxa"/>
            <w:vAlign w:val="center"/>
          </w:tcPr>
          <w:p w14:paraId="77596A55">
            <w:pPr>
              <w:spacing w:line="300" w:lineRule="exact"/>
              <w:jc w:val="right"/>
            </w:pPr>
          </w:p>
        </w:tc>
        <w:tc>
          <w:tcPr>
            <w:tcW w:w="647" w:type="dxa"/>
            <w:vAlign w:val="center"/>
          </w:tcPr>
          <w:p w14:paraId="0BD1152D">
            <w:pPr>
              <w:spacing w:line="300" w:lineRule="exact"/>
              <w:jc w:val="left"/>
            </w:pPr>
          </w:p>
        </w:tc>
        <w:tc>
          <w:tcPr>
            <w:tcW w:w="741" w:type="dxa"/>
            <w:vAlign w:val="center"/>
          </w:tcPr>
          <w:p w14:paraId="46BD3962">
            <w:pPr>
              <w:spacing w:line="300" w:lineRule="exact"/>
              <w:jc w:val="left"/>
            </w:pPr>
          </w:p>
        </w:tc>
        <w:tc>
          <w:tcPr>
            <w:tcW w:w="643" w:type="dxa"/>
            <w:vAlign w:val="center"/>
          </w:tcPr>
          <w:p w14:paraId="5D03ED19">
            <w:pPr>
              <w:spacing w:line="300" w:lineRule="exact"/>
              <w:jc w:val="left"/>
            </w:pPr>
          </w:p>
        </w:tc>
        <w:tc>
          <w:tcPr>
            <w:tcW w:w="643" w:type="dxa"/>
            <w:vAlign w:val="center"/>
          </w:tcPr>
          <w:p w14:paraId="73C84DD6">
            <w:pPr>
              <w:spacing w:line="300" w:lineRule="exact"/>
              <w:jc w:val="right"/>
            </w:pPr>
          </w:p>
        </w:tc>
        <w:tc>
          <w:tcPr>
            <w:tcW w:w="645" w:type="dxa"/>
            <w:vAlign w:val="center"/>
          </w:tcPr>
          <w:p w14:paraId="3DBBDDD2">
            <w:pPr>
              <w:spacing w:line="300" w:lineRule="exact"/>
              <w:jc w:val="right"/>
            </w:pPr>
          </w:p>
        </w:tc>
        <w:tc>
          <w:tcPr>
            <w:tcW w:w="641" w:type="dxa"/>
            <w:vAlign w:val="center"/>
          </w:tcPr>
          <w:p w14:paraId="4589104C">
            <w:pPr>
              <w:spacing w:line="300" w:lineRule="exact"/>
              <w:jc w:val="right"/>
            </w:pPr>
            <w:r>
              <w:rPr>
                <w:rFonts w:ascii="方正书宋_GBK"/>
                <w:b/>
              </w:rPr>
              <w:t>1.60</w:t>
            </w:r>
          </w:p>
        </w:tc>
        <w:tc>
          <w:tcPr>
            <w:tcW w:w="641" w:type="dxa"/>
            <w:vAlign w:val="center"/>
          </w:tcPr>
          <w:p w14:paraId="5F43A63F">
            <w:pPr>
              <w:spacing w:line="300" w:lineRule="exact"/>
              <w:jc w:val="right"/>
            </w:pPr>
            <w:r>
              <w:rPr>
                <w:rFonts w:ascii="方正书宋_GBK"/>
                <w:b/>
              </w:rPr>
              <w:t>1.60</w:t>
            </w:r>
          </w:p>
        </w:tc>
        <w:tc>
          <w:tcPr>
            <w:tcW w:w="642" w:type="dxa"/>
            <w:vAlign w:val="center"/>
          </w:tcPr>
          <w:p w14:paraId="37B4AE59">
            <w:pPr>
              <w:spacing w:line="300" w:lineRule="exact"/>
              <w:jc w:val="right"/>
            </w:pPr>
            <w:r>
              <w:rPr>
                <w:rFonts w:ascii="方正书宋_GBK"/>
                <w:b/>
              </w:rPr>
              <w:t>1.60</w:t>
            </w:r>
          </w:p>
        </w:tc>
        <w:tc>
          <w:tcPr>
            <w:tcW w:w="640" w:type="dxa"/>
            <w:vAlign w:val="center"/>
          </w:tcPr>
          <w:p w14:paraId="6055C59A">
            <w:pPr>
              <w:spacing w:line="300" w:lineRule="exact"/>
              <w:jc w:val="right"/>
            </w:pPr>
          </w:p>
        </w:tc>
        <w:tc>
          <w:tcPr>
            <w:tcW w:w="640" w:type="dxa"/>
            <w:vAlign w:val="center"/>
          </w:tcPr>
          <w:p w14:paraId="1AF8C197">
            <w:pPr>
              <w:spacing w:line="300" w:lineRule="exact"/>
              <w:jc w:val="right"/>
            </w:pPr>
          </w:p>
        </w:tc>
        <w:tc>
          <w:tcPr>
            <w:tcW w:w="640" w:type="dxa"/>
            <w:vAlign w:val="center"/>
          </w:tcPr>
          <w:p w14:paraId="2AEA13C7">
            <w:pPr>
              <w:spacing w:line="300" w:lineRule="exact"/>
              <w:jc w:val="right"/>
            </w:pPr>
          </w:p>
        </w:tc>
        <w:tc>
          <w:tcPr>
            <w:tcW w:w="640" w:type="dxa"/>
            <w:vAlign w:val="center"/>
          </w:tcPr>
          <w:p w14:paraId="5583AE15">
            <w:pPr>
              <w:spacing w:line="300" w:lineRule="exact"/>
              <w:jc w:val="right"/>
            </w:pPr>
          </w:p>
        </w:tc>
      </w:tr>
      <w:tr w14:paraId="23953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2" w:type="dxa"/>
            <w:vAlign w:val="center"/>
          </w:tcPr>
          <w:p w14:paraId="6782040D">
            <w:pPr>
              <w:spacing w:line="300" w:lineRule="exact"/>
              <w:jc w:val="left"/>
            </w:pPr>
            <w:r>
              <w:rPr>
                <w:rFonts w:ascii="方正书宋_GBK"/>
              </w:rPr>
              <w:t>日常公用经费</w:t>
            </w:r>
          </w:p>
        </w:tc>
        <w:tc>
          <w:tcPr>
            <w:tcW w:w="752" w:type="dxa"/>
            <w:vAlign w:val="center"/>
          </w:tcPr>
          <w:p w14:paraId="0C4F335E">
            <w:pPr>
              <w:spacing w:line="300" w:lineRule="exact"/>
              <w:jc w:val="right"/>
            </w:pPr>
            <w:r>
              <w:rPr>
                <w:rFonts w:ascii="方正书宋_GBK"/>
              </w:rPr>
              <w:t>33.83</w:t>
            </w:r>
          </w:p>
        </w:tc>
        <w:tc>
          <w:tcPr>
            <w:tcW w:w="647" w:type="dxa"/>
            <w:vAlign w:val="center"/>
          </w:tcPr>
          <w:p w14:paraId="11233FA2">
            <w:pPr>
              <w:spacing w:line="300" w:lineRule="exact"/>
              <w:jc w:val="left"/>
            </w:pPr>
            <w:r>
              <w:rPr>
                <w:rFonts w:ascii="方正书宋_GBK"/>
              </w:rPr>
              <w:t>保险服务</w:t>
            </w:r>
          </w:p>
        </w:tc>
        <w:tc>
          <w:tcPr>
            <w:tcW w:w="741" w:type="dxa"/>
            <w:vAlign w:val="center"/>
          </w:tcPr>
          <w:p w14:paraId="1E6E881A">
            <w:pPr>
              <w:spacing w:line="300" w:lineRule="exact"/>
              <w:jc w:val="left"/>
            </w:pPr>
            <w:r>
              <w:rPr>
                <w:rFonts w:ascii="方正书宋_GBK"/>
              </w:rPr>
              <w:t>C1504</w:t>
            </w:r>
          </w:p>
        </w:tc>
        <w:tc>
          <w:tcPr>
            <w:tcW w:w="643" w:type="dxa"/>
            <w:vAlign w:val="center"/>
          </w:tcPr>
          <w:p w14:paraId="149E3433">
            <w:pPr>
              <w:spacing w:line="300" w:lineRule="exact"/>
              <w:jc w:val="left"/>
            </w:pPr>
            <w:r>
              <w:rPr>
                <w:rFonts w:ascii="方正书宋_GBK"/>
              </w:rPr>
              <w:t>辆</w:t>
            </w:r>
          </w:p>
        </w:tc>
        <w:tc>
          <w:tcPr>
            <w:tcW w:w="643" w:type="dxa"/>
            <w:vAlign w:val="center"/>
          </w:tcPr>
          <w:p w14:paraId="5E38D398">
            <w:pPr>
              <w:spacing w:line="300" w:lineRule="exact"/>
              <w:jc w:val="right"/>
            </w:pPr>
            <w:r>
              <w:rPr>
                <w:rFonts w:ascii="方正书宋_GBK"/>
              </w:rPr>
              <w:t>4</w:t>
            </w:r>
          </w:p>
        </w:tc>
        <w:tc>
          <w:tcPr>
            <w:tcW w:w="645" w:type="dxa"/>
            <w:vAlign w:val="center"/>
          </w:tcPr>
          <w:p w14:paraId="684CF01B">
            <w:pPr>
              <w:spacing w:line="300" w:lineRule="exact"/>
              <w:jc w:val="right"/>
            </w:pPr>
            <w:r>
              <w:rPr>
                <w:rFonts w:ascii="方正书宋_GBK"/>
              </w:rPr>
              <w:t>0.40</w:t>
            </w:r>
          </w:p>
        </w:tc>
        <w:tc>
          <w:tcPr>
            <w:tcW w:w="641" w:type="dxa"/>
            <w:vAlign w:val="center"/>
          </w:tcPr>
          <w:p w14:paraId="12637210">
            <w:pPr>
              <w:spacing w:line="300" w:lineRule="exact"/>
              <w:jc w:val="right"/>
            </w:pPr>
            <w:r>
              <w:rPr>
                <w:rFonts w:ascii="方正书宋_GBK"/>
              </w:rPr>
              <w:t>1.60</w:t>
            </w:r>
          </w:p>
        </w:tc>
        <w:tc>
          <w:tcPr>
            <w:tcW w:w="641" w:type="dxa"/>
            <w:vAlign w:val="center"/>
          </w:tcPr>
          <w:p w14:paraId="0AAD173E">
            <w:pPr>
              <w:spacing w:line="300" w:lineRule="exact"/>
              <w:jc w:val="right"/>
            </w:pPr>
            <w:r>
              <w:rPr>
                <w:rFonts w:ascii="方正书宋_GBK"/>
              </w:rPr>
              <w:t>1.60</w:t>
            </w:r>
          </w:p>
        </w:tc>
        <w:tc>
          <w:tcPr>
            <w:tcW w:w="642" w:type="dxa"/>
            <w:vAlign w:val="center"/>
          </w:tcPr>
          <w:p w14:paraId="1603808D">
            <w:pPr>
              <w:spacing w:line="300" w:lineRule="exact"/>
              <w:jc w:val="right"/>
            </w:pPr>
            <w:r>
              <w:rPr>
                <w:rFonts w:ascii="方正书宋_GBK"/>
              </w:rPr>
              <w:t>1.60</w:t>
            </w:r>
          </w:p>
        </w:tc>
        <w:tc>
          <w:tcPr>
            <w:tcW w:w="640" w:type="dxa"/>
            <w:vAlign w:val="center"/>
          </w:tcPr>
          <w:p w14:paraId="58457045">
            <w:pPr>
              <w:spacing w:line="300" w:lineRule="exact"/>
              <w:jc w:val="right"/>
            </w:pPr>
          </w:p>
        </w:tc>
        <w:tc>
          <w:tcPr>
            <w:tcW w:w="640" w:type="dxa"/>
            <w:vAlign w:val="center"/>
          </w:tcPr>
          <w:p w14:paraId="62C299B2">
            <w:pPr>
              <w:spacing w:line="300" w:lineRule="exact"/>
              <w:jc w:val="right"/>
            </w:pPr>
          </w:p>
        </w:tc>
        <w:tc>
          <w:tcPr>
            <w:tcW w:w="640" w:type="dxa"/>
            <w:vAlign w:val="center"/>
          </w:tcPr>
          <w:p w14:paraId="7E8819C1">
            <w:pPr>
              <w:spacing w:line="300" w:lineRule="exact"/>
              <w:jc w:val="right"/>
            </w:pPr>
          </w:p>
        </w:tc>
        <w:tc>
          <w:tcPr>
            <w:tcW w:w="640" w:type="dxa"/>
            <w:vAlign w:val="center"/>
          </w:tcPr>
          <w:p w14:paraId="55796EA8">
            <w:pPr>
              <w:spacing w:line="300" w:lineRule="exact"/>
              <w:jc w:val="right"/>
            </w:pPr>
          </w:p>
        </w:tc>
      </w:tr>
    </w:tbl>
    <w:p w14:paraId="13827A38">
      <w:pPr>
        <w:spacing w:line="300" w:lineRule="exact"/>
        <w:jc w:val="left"/>
        <w:rPr>
          <w:rFonts w:ascii="仿宋" w:hAnsi="仿宋"/>
          <w:sz w:val="30"/>
          <w:szCs w:val="30"/>
        </w:rPr>
      </w:pPr>
    </w:p>
    <w:p w14:paraId="574FC498"/>
    <w:p w14:paraId="5DB27F10">
      <w:pPr>
        <w:spacing w:line="520" w:lineRule="exact"/>
        <w:jc w:val="center"/>
      </w:pPr>
      <w:r>
        <w:rPr>
          <w:rFonts w:ascii="黑体" w:hAnsi="黑体"/>
          <w:sz w:val="32"/>
          <w:szCs w:val="32"/>
        </w:rPr>
        <w:t>第七部分 国有资产预算情况说明</w:t>
      </w:r>
    </w:p>
    <w:p w14:paraId="56D69382">
      <w:r>
        <w:rPr>
          <w:rFonts w:ascii="宋体" w:hAnsi="宋体"/>
          <w:sz w:val="32"/>
          <w:szCs w:val="32"/>
        </w:rPr>
        <w:t xml:space="preserve">  </w:t>
      </w:r>
    </w:p>
    <w:p w14:paraId="7E7A8825">
      <w:pPr>
        <w:ind w:firstLine="640"/>
      </w:pPr>
      <w:r>
        <w:rPr>
          <w:rFonts w:ascii="仿宋" w:hAnsi="仿宋"/>
          <w:sz w:val="32"/>
          <w:szCs w:val="32"/>
        </w:rPr>
        <w:t>我单位2016年末资产总额为126.63万元，其中流动资产30.02万元，主要为行政事业单位养老保险及职业年金的预留资金；固定资产96.61万元，其中车辆资产价值72.75万元，其他办公设备及家具等资产价值23.86万元。</w:t>
      </w:r>
    </w:p>
    <w:p w14:paraId="7A7DDBBA">
      <w:pPr>
        <w:ind w:firstLine="640"/>
        <w:rPr>
          <w:rFonts w:ascii="仿宋" w:hAnsi="仿宋"/>
          <w:sz w:val="32"/>
          <w:szCs w:val="32"/>
        </w:rPr>
      </w:pPr>
      <w:r>
        <w:rPr>
          <w:rFonts w:ascii="仿宋" w:hAnsi="仿宋"/>
          <w:sz w:val="32"/>
          <w:szCs w:val="32"/>
        </w:rPr>
        <w:t>2017年根据安排将增加及更新部分办公设备及家具，预计资产增加额为2.5万元，特此说明。</w:t>
      </w:r>
    </w:p>
    <w:p w14:paraId="6572193B">
      <w:pPr>
        <w:spacing w:line="560" w:lineRule="exact"/>
        <w:jc w:val="center"/>
        <w:rPr>
          <w:rFonts w:ascii="方正小标宋简体" w:hAnsi="仿宋_GB2312"/>
          <w:sz w:val="30"/>
          <w:szCs w:val="30"/>
        </w:rPr>
      </w:pPr>
      <w:r>
        <w:rPr>
          <w:rFonts w:ascii="方正小标宋简体" w:hAnsi="仿宋_GB2312"/>
          <w:sz w:val="30"/>
          <w:szCs w:val="30"/>
        </w:rPr>
        <w:t>保定市徐水区政协固定资产占用情况表</w:t>
      </w:r>
    </w:p>
    <w:p w14:paraId="1ED27E28">
      <w:pPr>
        <w:spacing w:line="560" w:lineRule="exact"/>
        <w:jc w:val="center"/>
      </w:pPr>
      <w:r>
        <w:rPr>
          <w:rFonts w:ascii="仿宋_GB2312" w:hAnsi="仿宋_GB2312"/>
          <w:b/>
        </w:rPr>
        <w:t xml:space="preserve">  截止时间：2016年12月31日</w:t>
      </w:r>
    </w:p>
    <w:tbl>
      <w:tblPr>
        <w:tblStyle w:val="11"/>
        <w:tblW w:w="0" w:type="auto"/>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675"/>
        <w:gridCol w:w="1230"/>
        <w:gridCol w:w="3390"/>
      </w:tblGrid>
      <w:tr w14:paraId="172A3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0" w:hRule="atLeast"/>
        </w:trPr>
        <w:tc>
          <w:tcPr>
            <w:tcW w:w="3675" w:type="dxa"/>
            <w:vMerge w:val="restart"/>
            <w:tcBorders>
              <w:top w:val="single" w:color="000000" w:sz="6" w:space="0"/>
              <w:left w:val="single" w:color="000000" w:sz="6" w:space="0"/>
              <w:bottom w:val="single" w:color="000000" w:sz="6" w:space="0"/>
              <w:right w:val="single" w:color="000000" w:sz="6" w:space="0"/>
            </w:tcBorders>
            <w:vAlign w:val="center"/>
          </w:tcPr>
          <w:p w14:paraId="6AD42663">
            <w:pPr>
              <w:spacing w:line="560" w:lineRule="exact"/>
              <w:jc w:val="center"/>
            </w:pPr>
            <w:r>
              <w:rPr>
                <w:rFonts w:ascii="方正小标宋简体" w:hAnsi="仿宋_GB2312"/>
              </w:rPr>
              <w:t>项目</w:t>
            </w:r>
          </w:p>
        </w:tc>
        <w:tc>
          <w:tcPr>
            <w:tcW w:w="1230" w:type="dxa"/>
            <w:vMerge w:val="restart"/>
            <w:tcBorders>
              <w:top w:val="single" w:color="000000" w:sz="6" w:space="0"/>
              <w:left w:val="single" w:color="000000" w:sz="6" w:space="0"/>
              <w:bottom w:val="single" w:color="000000" w:sz="6" w:space="0"/>
              <w:right w:val="single" w:color="000000" w:sz="6" w:space="0"/>
            </w:tcBorders>
            <w:vAlign w:val="center"/>
          </w:tcPr>
          <w:p w14:paraId="524BD3D5">
            <w:pPr>
              <w:spacing w:line="560" w:lineRule="exact"/>
              <w:jc w:val="center"/>
            </w:pPr>
            <w:r>
              <w:rPr>
                <w:rFonts w:ascii="方正小标宋简体" w:hAnsi="仿宋_GB2312"/>
              </w:rPr>
              <w:t>数量</w:t>
            </w:r>
          </w:p>
        </w:tc>
        <w:tc>
          <w:tcPr>
            <w:tcW w:w="3390" w:type="dxa"/>
            <w:vMerge w:val="restart"/>
            <w:tcBorders>
              <w:top w:val="single" w:color="000000" w:sz="6" w:space="0"/>
              <w:left w:val="single" w:color="000000" w:sz="6" w:space="0"/>
              <w:bottom w:val="single" w:color="000000" w:sz="6" w:space="0"/>
              <w:right w:val="single" w:color="000000" w:sz="6" w:space="0"/>
            </w:tcBorders>
            <w:vAlign w:val="center"/>
          </w:tcPr>
          <w:p w14:paraId="66B5C496">
            <w:pPr>
              <w:spacing w:line="560" w:lineRule="exact"/>
              <w:jc w:val="center"/>
            </w:pPr>
            <w:r>
              <w:rPr>
                <w:rFonts w:ascii="方正小标宋简体" w:hAnsi="仿宋_GB2312"/>
              </w:rPr>
              <w:t>价值（单位：万元 ）</w:t>
            </w:r>
          </w:p>
        </w:tc>
      </w:tr>
      <w:tr w14:paraId="49C3D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op w:val="single" w:color="000000" w:sz="6" w:space="0"/>
              <w:left w:val="single" w:color="000000" w:sz="6" w:space="0"/>
              <w:bottom w:val="single" w:color="000000" w:sz="6" w:space="0"/>
              <w:right w:val="single" w:color="000000" w:sz="6" w:space="0"/>
            </w:tcBorders>
          </w:tcPr>
          <w:p w14:paraId="73DD0AEB"/>
        </w:tc>
        <w:tc>
          <w:tcPr>
            <w:vMerge w:val="continue"/>
            <w:tcBorders>
              <w:top w:val="single" w:color="000000" w:sz="6" w:space="0"/>
              <w:left w:val="single" w:color="000000" w:sz="6" w:space="0"/>
              <w:bottom w:val="single" w:color="000000" w:sz="6" w:space="0"/>
              <w:right w:val="single" w:color="000000" w:sz="6" w:space="0"/>
            </w:tcBorders>
          </w:tcPr>
          <w:p w14:paraId="766788B3"/>
        </w:tc>
        <w:tc>
          <w:tcPr>
            <w:vMerge w:val="continue"/>
            <w:tcBorders>
              <w:top w:val="single" w:color="000000" w:sz="6" w:space="0"/>
              <w:left w:val="single" w:color="000000" w:sz="6" w:space="0"/>
              <w:bottom w:val="single" w:color="000000" w:sz="6" w:space="0"/>
              <w:right w:val="single" w:color="000000" w:sz="6" w:space="0"/>
            </w:tcBorders>
          </w:tcPr>
          <w:p w14:paraId="035EAC60"/>
        </w:tc>
      </w:tr>
      <w:tr w14:paraId="30038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3675" w:type="dxa"/>
            <w:tcBorders>
              <w:top w:val="single" w:color="000000" w:sz="6" w:space="0"/>
              <w:left w:val="single" w:color="000000" w:sz="6" w:space="0"/>
              <w:bottom w:val="single" w:color="000000" w:sz="6" w:space="0"/>
              <w:right w:val="single" w:color="000000" w:sz="6" w:space="0"/>
            </w:tcBorders>
            <w:vAlign w:val="center"/>
          </w:tcPr>
          <w:p w14:paraId="5F5229F4">
            <w:pPr>
              <w:spacing w:line="560" w:lineRule="exact"/>
              <w:jc w:val="center"/>
            </w:pPr>
            <w:r>
              <w:rPr>
                <w:rFonts w:ascii="仿宋_GB2312" w:hAnsi="仿宋_GB2312"/>
                <w:b/>
              </w:rPr>
              <w:t>固定资产总额</w:t>
            </w:r>
          </w:p>
        </w:tc>
        <w:tc>
          <w:tcPr>
            <w:tcW w:w="1230" w:type="dxa"/>
            <w:tcBorders>
              <w:top w:val="single" w:color="000000" w:sz="6" w:space="0"/>
              <w:left w:val="single" w:color="000000" w:sz="6" w:space="0"/>
              <w:bottom w:val="single" w:color="000000" w:sz="6" w:space="0"/>
              <w:right w:val="single" w:color="000000" w:sz="6" w:space="0"/>
            </w:tcBorders>
            <w:vAlign w:val="center"/>
          </w:tcPr>
          <w:p w14:paraId="76B8FCFD">
            <w:pPr>
              <w:spacing w:line="560" w:lineRule="exact"/>
              <w:jc w:val="center"/>
            </w:pPr>
            <w:r>
              <w:rPr>
                <w:rFonts w:ascii="仿宋_GB2312" w:hAnsi="仿宋_GB2312"/>
              </w:rPr>
              <w:t>——</w:t>
            </w:r>
          </w:p>
        </w:tc>
        <w:tc>
          <w:tcPr>
            <w:tcW w:w="3390" w:type="dxa"/>
            <w:tcBorders>
              <w:top w:val="single" w:color="000000" w:sz="6" w:space="0"/>
              <w:left w:val="single" w:color="000000" w:sz="6" w:space="0"/>
              <w:bottom w:val="single" w:color="000000" w:sz="6" w:space="0"/>
              <w:right w:val="single" w:color="000000" w:sz="6" w:space="0"/>
            </w:tcBorders>
            <w:vAlign w:val="center"/>
          </w:tcPr>
          <w:p w14:paraId="26C85A30">
            <w:pPr>
              <w:spacing w:line="560" w:lineRule="exact"/>
              <w:jc w:val="center"/>
            </w:pPr>
            <w:r>
              <w:rPr>
                <w:rFonts w:ascii="仿宋_GB2312" w:hAnsi="仿宋_GB2312"/>
                <w:b/>
              </w:rPr>
              <w:t>96.61</w:t>
            </w:r>
          </w:p>
        </w:tc>
      </w:tr>
      <w:tr w14:paraId="17D94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3675" w:type="dxa"/>
            <w:tcBorders>
              <w:top w:val="single" w:color="000000" w:sz="6" w:space="0"/>
              <w:left w:val="single" w:color="000000" w:sz="6" w:space="0"/>
              <w:bottom w:val="single" w:color="000000" w:sz="6" w:space="0"/>
              <w:right w:val="single" w:color="000000" w:sz="6" w:space="0"/>
            </w:tcBorders>
            <w:vAlign w:val="center"/>
          </w:tcPr>
          <w:p w14:paraId="6D3DECB0">
            <w:pPr>
              <w:spacing w:line="560" w:lineRule="exact"/>
              <w:jc w:val="left"/>
            </w:pPr>
            <w:r>
              <w:rPr>
                <w:rFonts w:ascii="仿宋_GB2312" w:hAnsi="仿宋_GB2312"/>
              </w:rPr>
              <w:t>1、房屋（平方米）</w:t>
            </w:r>
          </w:p>
        </w:tc>
        <w:tc>
          <w:tcPr>
            <w:tcW w:w="1230" w:type="dxa"/>
            <w:tcBorders>
              <w:top w:val="single" w:color="000000" w:sz="6" w:space="0"/>
              <w:left w:val="single" w:color="000000" w:sz="6" w:space="0"/>
              <w:bottom w:val="single" w:color="000000" w:sz="6" w:space="0"/>
              <w:right w:val="single" w:color="000000" w:sz="6" w:space="0"/>
            </w:tcBorders>
            <w:vAlign w:val="center"/>
          </w:tcPr>
          <w:p w14:paraId="6CD1729F">
            <w:pPr>
              <w:spacing w:line="560" w:lineRule="exact"/>
              <w:jc w:val="center"/>
            </w:pPr>
          </w:p>
        </w:tc>
        <w:tc>
          <w:tcPr>
            <w:tcW w:w="3390" w:type="dxa"/>
            <w:tcBorders>
              <w:top w:val="single" w:color="000000" w:sz="6" w:space="0"/>
              <w:left w:val="single" w:color="000000" w:sz="6" w:space="0"/>
              <w:bottom w:val="single" w:color="000000" w:sz="6" w:space="0"/>
              <w:right w:val="single" w:color="000000" w:sz="6" w:space="0"/>
            </w:tcBorders>
            <w:vAlign w:val="center"/>
          </w:tcPr>
          <w:p w14:paraId="558252B5">
            <w:pPr>
              <w:spacing w:line="560" w:lineRule="exact"/>
              <w:jc w:val="center"/>
            </w:pPr>
          </w:p>
        </w:tc>
      </w:tr>
      <w:tr w14:paraId="4F450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3675" w:type="dxa"/>
            <w:tcBorders>
              <w:top w:val="single" w:color="000000" w:sz="6" w:space="0"/>
              <w:left w:val="single" w:color="000000" w:sz="6" w:space="0"/>
              <w:bottom w:val="single" w:color="000000" w:sz="6" w:space="0"/>
              <w:right w:val="single" w:color="000000" w:sz="6" w:space="0"/>
            </w:tcBorders>
            <w:vAlign w:val="center"/>
          </w:tcPr>
          <w:p w14:paraId="14B27B48">
            <w:pPr>
              <w:spacing w:line="560" w:lineRule="exact"/>
              <w:jc w:val="left"/>
            </w:pPr>
            <w:r>
              <w:rPr>
                <w:rFonts w:ascii="仿宋_GB2312" w:hAnsi="仿宋_GB2312"/>
              </w:rPr>
              <w:t>2、车辆（台、辆）</w:t>
            </w:r>
          </w:p>
        </w:tc>
        <w:tc>
          <w:tcPr>
            <w:tcW w:w="1230" w:type="dxa"/>
            <w:tcBorders>
              <w:top w:val="single" w:color="000000" w:sz="6" w:space="0"/>
              <w:left w:val="single" w:color="000000" w:sz="6" w:space="0"/>
              <w:bottom w:val="single" w:color="000000" w:sz="6" w:space="0"/>
              <w:right w:val="single" w:color="000000" w:sz="6" w:space="0"/>
            </w:tcBorders>
            <w:vAlign w:val="center"/>
          </w:tcPr>
          <w:p w14:paraId="1F9C29C0">
            <w:pPr>
              <w:spacing w:line="560" w:lineRule="exact"/>
              <w:jc w:val="center"/>
            </w:pPr>
            <w:r>
              <w:rPr>
                <w:rFonts w:ascii="仿宋_GB2312" w:hAnsi="仿宋_GB2312"/>
              </w:rPr>
              <w:t>4</w:t>
            </w:r>
          </w:p>
        </w:tc>
        <w:tc>
          <w:tcPr>
            <w:tcW w:w="3390" w:type="dxa"/>
            <w:tcBorders>
              <w:top w:val="single" w:color="000000" w:sz="6" w:space="0"/>
              <w:left w:val="single" w:color="000000" w:sz="6" w:space="0"/>
              <w:bottom w:val="single" w:color="000000" w:sz="6" w:space="0"/>
              <w:right w:val="single" w:color="000000" w:sz="6" w:space="0"/>
            </w:tcBorders>
            <w:vAlign w:val="center"/>
          </w:tcPr>
          <w:p w14:paraId="3EC34370">
            <w:pPr>
              <w:spacing w:line="560" w:lineRule="exact"/>
              <w:jc w:val="center"/>
            </w:pPr>
            <w:r>
              <w:rPr>
                <w:rFonts w:ascii="仿宋_GB2312" w:hAnsi="仿宋_GB2312"/>
              </w:rPr>
              <w:t>72.75</w:t>
            </w:r>
          </w:p>
        </w:tc>
      </w:tr>
      <w:tr w14:paraId="391CC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trPr>
        <w:tc>
          <w:tcPr>
            <w:tcW w:w="3675" w:type="dxa"/>
            <w:tcBorders>
              <w:top w:val="single" w:color="000000" w:sz="6" w:space="0"/>
              <w:left w:val="single" w:color="000000" w:sz="6" w:space="0"/>
              <w:bottom w:val="single" w:color="000000" w:sz="6" w:space="0"/>
              <w:right w:val="single" w:color="000000" w:sz="6" w:space="0"/>
            </w:tcBorders>
            <w:vAlign w:val="center"/>
          </w:tcPr>
          <w:p w14:paraId="42CCED23">
            <w:pPr>
              <w:spacing w:line="560" w:lineRule="exact"/>
              <w:jc w:val="left"/>
            </w:pPr>
            <w:r>
              <w:rPr>
                <w:rFonts w:ascii="仿宋_GB2312" w:hAnsi="仿宋_GB2312"/>
              </w:rPr>
              <w:t>3、单价在50万以上设备（台、套）</w:t>
            </w:r>
          </w:p>
        </w:tc>
        <w:tc>
          <w:tcPr>
            <w:tcW w:w="1230" w:type="dxa"/>
            <w:tcBorders>
              <w:top w:val="single" w:color="000000" w:sz="6" w:space="0"/>
              <w:left w:val="single" w:color="000000" w:sz="6" w:space="0"/>
              <w:bottom w:val="single" w:color="000000" w:sz="6" w:space="0"/>
              <w:right w:val="single" w:color="000000" w:sz="6" w:space="0"/>
            </w:tcBorders>
            <w:vAlign w:val="center"/>
          </w:tcPr>
          <w:p w14:paraId="72A4C309">
            <w:pPr>
              <w:spacing w:line="560" w:lineRule="exact"/>
              <w:jc w:val="center"/>
            </w:pPr>
          </w:p>
        </w:tc>
        <w:tc>
          <w:tcPr>
            <w:tcW w:w="3390" w:type="dxa"/>
            <w:tcBorders>
              <w:top w:val="single" w:color="000000" w:sz="6" w:space="0"/>
              <w:left w:val="single" w:color="000000" w:sz="6" w:space="0"/>
              <w:bottom w:val="single" w:color="000000" w:sz="6" w:space="0"/>
              <w:right w:val="single" w:color="000000" w:sz="6" w:space="0"/>
            </w:tcBorders>
            <w:vAlign w:val="center"/>
          </w:tcPr>
          <w:p w14:paraId="52673BE9">
            <w:pPr>
              <w:spacing w:line="560" w:lineRule="exact"/>
              <w:jc w:val="center"/>
            </w:pPr>
          </w:p>
        </w:tc>
      </w:tr>
      <w:tr w14:paraId="2C646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3675" w:type="dxa"/>
            <w:tcBorders>
              <w:top w:val="single" w:color="000000" w:sz="6" w:space="0"/>
              <w:left w:val="single" w:color="000000" w:sz="6" w:space="0"/>
              <w:bottom w:val="single" w:color="000000" w:sz="6" w:space="0"/>
              <w:right w:val="single" w:color="000000" w:sz="6" w:space="0"/>
            </w:tcBorders>
            <w:vAlign w:val="center"/>
          </w:tcPr>
          <w:p w14:paraId="73E29263">
            <w:pPr>
              <w:spacing w:line="560" w:lineRule="exact"/>
              <w:jc w:val="left"/>
            </w:pPr>
            <w:r>
              <w:rPr>
                <w:rFonts w:ascii="仿宋_GB2312" w:hAnsi="仿宋_GB2312"/>
              </w:rPr>
              <w:t>4、其他固定资产</w:t>
            </w:r>
          </w:p>
        </w:tc>
        <w:tc>
          <w:tcPr>
            <w:tcW w:w="1230" w:type="dxa"/>
            <w:tcBorders>
              <w:top w:val="single" w:color="000000" w:sz="6" w:space="0"/>
              <w:left w:val="single" w:color="000000" w:sz="6" w:space="0"/>
              <w:bottom w:val="single" w:color="000000" w:sz="6" w:space="0"/>
              <w:right w:val="single" w:color="000000" w:sz="6" w:space="0"/>
            </w:tcBorders>
            <w:vAlign w:val="center"/>
          </w:tcPr>
          <w:p w14:paraId="3B5B76D0">
            <w:pPr>
              <w:spacing w:line="560" w:lineRule="exact"/>
              <w:jc w:val="center"/>
            </w:pPr>
            <w:r>
              <w:rPr>
                <w:rFonts w:ascii="仿宋_GB2312" w:hAnsi="仿宋_GB2312"/>
              </w:rPr>
              <w:t>——</w:t>
            </w:r>
          </w:p>
        </w:tc>
        <w:tc>
          <w:tcPr>
            <w:tcW w:w="3390" w:type="dxa"/>
            <w:tcBorders>
              <w:top w:val="single" w:color="000000" w:sz="6" w:space="0"/>
              <w:left w:val="single" w:color="000000" w:sz="6" w:space="0"/>
              <w:bottom w:val="single" w:color="000000" w:sz="6" w:space="0"/>
              <w:right w:val="single" w:color="000000" w:sz="6" w:space="0"/>
            </w:tcBorders>
            <w:vAlign w:val="center"/>
          </w:tcPr>
          <w:p w14:paraId="418D68F7">
            <w:pPr>
              <w:spacing w:line="560" w:lineRule="exact"/>
              <w:jc w:val="center"/>
            </w:pPr>
            <w:r>
              <w:rPr>
                <w:rFonts w:ascii="仿宋_GB2312" w:hAnsi="仿宋_GB2312"/>
              </w:rPr>
              <w:t>23.86</w:t>
            </w:r>
          </w:p>
        </w:tc>
      </w:tr>
    </w:tbl>
    <w:p w14:paraId="7F1668BD">
      <w:pPr>
        <w:spacing w:line="560" w:lineRule="exact"/>
        <w:jc w:val="left"/>
        <w:rPr>
          <w:rFonts w:ascii="仿宋_GB2312" w:hAnsi="仿宋_GB2312"/>
          <w:b/>
          <w:sz w:val="32"/>
          <w:szCs w:val="32"/>
        </w:rPr>
      </w:pPr>
    </w:p>
    <w:p w14:paraId="537A31FD">
      <w:pPr>
        <w:spacing w:line="600" w:lineRule="exact"/>
        <w:ind w:firstLine="720"/>
        <w:jc w:val="center"/>
        <w:rPr>
          <w:rFonts w:ascii="方正小标宋简体" w:hAnsi="黑体"/>
          <w:sz w:val="36"/>
          <w:szCs w:val="36"/>
        </w:rPr>
      </w:pPr>
    </w:p>
    <w:p w14:paraId="0FA191B5">
      <w:pPr>
        <w:spacing w:line="600" w:lineRule="exact"/>
        <w:ind w:firstLine="720"/>
        <w:jc w:val="center"/>
        <w:rPr>
          <w:rFonts w:ascii="方正小标宋简体" w:hAnsi="黑体"/>
          <w:sz w:val="36"/>
          <w:szCs w:val="36"/>
        </w:rPr>
      </w:pPr>
    </w:p>
    <w:p w14:paraId="68980E65">
      <w:pPr>
        <w:spacing w:line="600" w:lineRule="exact"/>
        <w:rPr>
          <w:rFonts w:ascii="方正小标宋简体" w:hAnsi="黑体"/>
          <w:sz w:val="36"/>
          <w:szCs w:val="36"/>
        </w:rPr>
      </w:pPr>
    </w:p>
    <w:p w14:paraId="2D5A611B">
      <w:pPr>
        <w:spacing w:after="200" w:line="520" w:lineRule="exact"/>
        <w:ind w:left="720" w:firstLine="640"/>
        <w:jc w:val="center"/>
        <w:rPr>
          <w:rFonts w:ascii="黑体" w:hAnsi="黑体"/>
          <w:sz w:val="32"/>
          <w:szCs w:val="32"/>
        </w:rPr>
      </w:pPr>
    </w:p>
    <w:p w14:paraId="1D8A95A5">
      <w:pPr>
        <w:spacing w:after="200" w:line="520" w:lineRule="exact"/>
        <w:ind w:left="720" w:firstLine="640"/>
        <w:jc w:val="center"/>
        <w:rPr>
          <w:rFonts w:ascii="黑体" w:hAnsi="黑体"/>
          <w:sz w:val="32"/>
          <w:szCs w:val="32"/>
        </w:rPr>
      </w:pPr>
      <w:r>
        <w:rPr>
          <w:rFonts w:ascii="黑体" w:hAnsi="黑体"/>
          <w:sz w:val="32"/>
          <w:szCs w:val="32"/>
        </w:rPr>
        <w:t>第八部分 名词解释</w:t>
      </w:r>
    </w:p>
    <w:p w14:paraId="5DF59E82">
      <w:pPr>
        <w:spacing w:line="500" w:lineRule="exact"/>
        <w:ind w:firstLine="643"/>
        <w:jc w:val="left"/>
      </w:pPr>
      <w:r>
        <w:rPr>
          <w:rFonts w:ascii="仿宋_GB2312" w:hAnsi="仿宋"/>
          <w:b/>
          <w:sz w:val="32"/>
          <w:szCs w:val="32"/>
        </w:rPr>
        <w:t>1、一般公共预算财政拨款收入：</w:t>
      </w:r>
      <w:r>
        <w:rPr>
          <w:rFonts w:ascii="仿宋_GB2312" w:hAnsi="仿宋"/>
          <w:sz w:val="32"/>
          <w:szCs w:val="32"/>
        </w:rPr>
        <w:t>指区级财政当年拨付的资金。</w:t>
      </w:r>
    </w:p>
    <w:p w14:paraId="22388BF1">
      <w:pPr>
        <w:spacing w:line="500" w:lineRule="exact"/>
        <w:ind w:firstLine="643"/>
        <w:jc w:val="left"/>
      </w:pPr>
      <w:r>
        <w:rPr>
          <w:rFonts w:ascii="仿宋_GB2312" w:hAnsi="仿宋"/>
          <w:b/>
          <w:sz w:val="32"/>
          <w:szCs w:val="32"/>
        </w:rPr>
        <w:t>2、其他收入：</w:t>
      </w:r>
      <w:r>
        <w:rPr>
          <w:rFonts w:ascii="仿宋_GB2312" w:hAnsi="仿宋"/>
          <w:sz w:val="32"/>
          <w:szCs w:val="32"/>
        </w:rPr>
        <w:t>指除上述“财政拨款收入”、“事业收入”等以外的收入。</w:t>
      </w:r>
    </w:p>
    <w:p w14:paraId="5D9C0F21">
      <w:pPr>
        <w:spacing w:line="500" w:lineRule="exact"/>
        <w:ind w:firstLine="643"/>
        <w:jc w:val="left"/>
      </w:pPr>
      <w:r>
        <w:rPr>
          <w:rFonts w:ascii="仿宋_GB2312" w:hAnsi="仿宋"/>
          <w:b/>
          <w:sz w:val="32"/>
          <w:szCs w:val="32"/>
        </w:rPr>
        <w:t>3、基本支出：</w:t>
      </w:r>
      <w:r>
        <w:rPr>
          <w:rFonts w:ascii="仿宋_GB2312" w:hAnsi="仿宋"/>
          <w:sz w:val="32"/>
          <w:szCs w:val="32"/>
        </w:rPr>
        <w:t>指为保障机构正常运转、完成日常工作任务而发生的人员支出和公用支出。</w:t>
      </w:r>
    </w:p>
    <w:p w14:paraId="4EC05F65">
      <w:pPr>
        <w:spacing w:line="500" w:lineRule="exact"/>
        <w:ind w:firstLine="643"/>
        <w:jc w:val="left"/>
      </w:pPr>
      <w:r>
        <w:rPr>
          <w:rFonts w:ascii="仿宋_GB2312" w:hAnsi="仿宋"/>
          <w:b/>
          <w:sz w:val="32"/>
          <w:szCs w:val="32"/>
        </w:rPr>
        <w:t>4、项目支出：</w:t>
      </w:r>
      <w:r>
        <w:rPr>
          <w:rFonts w:ascii="仿宋_GB2312" w:hAnsi="仿宋"/>
          <w:sz w:val="32"/>
          <w:szCs w:val="32"/>
        </w:rPr>
        <w:t>指在基本支出之外为完成特定行政任务和事业发展目标所发生的支出。</w:t>
      </w:r>
    </w:p>
    <w:p w14:paraId="2E3E09A9">
      <w:pPr>
        <w:spacing w:line="500" w:lineRule="exact"/>
        <w:ind w:firstLine="643"/>
        <w:jc w:val="left"/>
      </w:pPr>
      <w:r>
        <w:rPr>
          <w:rFonts w:ascii="仿宋_GB2312" w:hAnsi="仿宋"/>
          <w:b/>
          <w:sz w:val="32"/>
          <w:szCs w:val="32"/>
        </w:rPr>
        <w:t>5、“三公”经费：</w:t>
      </w:r>
      <w:r>
        <w:rPr>
          <w:rFonts w:ascii="仿宋_GB2312" w:hAnsi="仿宋"/>
          <w:sz w:val="32"/>
          <w:szCs w:val="32"/>
        </w:rPr>
        <w:t>纳入区级财政预算管理的“三公”经费，是指区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49F0261A">
      <w:pPr>
        <w:ind w:firstLine="803"/>
        <w:rPr>
          <w:rFonts w:ascii="仿宋_GB2312" w:hAnsi="仿宋"/>
          <w:sz w:val="32"/>
          <w:szCs w:val="32"/>
        </w:rPr>
      </w:pPr>
      <w:r>
        <w:rPr>
          <w:rFonts w:ascii="仿宋_GB2312" w:hAnsi="仿宋"/>
          <w:b/>
          <w:sz w:val="32"/>
          <w:szCs w:val="32"/>
        </w:rPr>
        <w:t>6、机关运行费：</w:t>
      </w:r>
      <w:r>
        <w:rPr>
          <w:rFonts w:ascii="仿宋_GB2312" w:hAnsi="仿宋"/>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CDDAE0F">
      <w:pPr>
        <w:ind w:firstLine="800"/>
        <w:rPr>
          <w:rFonts w:ascii="仿宋_GB2312" w:hAnsi="仿宋"/>
          <w:sz w:val="32"/>
          <w:szCs w:val="32"/>
        </w:rPr>
      </w:pPr>
    </w:p>
    <w:p w14:paraId="31DBBACA">
      <w:pPr>
        <w:ind w:firstLine="800"/>
        <w:rPr>
          <w:rFonts w:ascii="仿宋_GB2312" w:hAnsi="仿宋"/>
          <w:sz w:val="32"/>
          <w:szCs w:val="32"/>
        </w:rPr>
      </w:pPr>
    </w:p>
    <w:p w14:paraId="4C8DE10A">
      <w:pPr>
        <w:spacing w:line="520" w:lineRule="exact"/>
        <w:jc w:val="center"/>
        <w:rPr>
          <w:rFonts w:ascii="黑体" w:hAnsi="黑体"/>
          <w:sz w:val="32"/>
          <w:szCs w:val="32"/>
        </w:rPr>
      </w:pPr>
      <w:r>
        <w:rPr>
          <w:rFonts w:ascii="黑体" w:hAnsi="黑体"/>
          <w:sz w:val="32"/>
          <w:szCs w:val="32"/>
        </w:rPr>
        <w:t>第九部分 其他需要说明的事项</w:t>
      </w:r>
    </w:p>
    <w:p w14:paraId="1015CFC6">
      <w:pPr>
        <w:spacing w:line="500" w:lineRule="exact"/>
        <w:ind w:firstLine="640"/>
        <w:jc w:val="left"/>
        <w:rPr>
          <w:rFonts w:ascii="仿宋" w:hAnsi="仿宋"/>
          <w:sz w:val="32"/>
          <w:szCs w:val="32"/>
        </w:rPr>
      </w:pPr>
    </w:p>
    <w:p w14:paraId="025B44EF">
      <w:pPr>
        <w:spacing w:line="500" w:lineRule="exact"/>
        <w:ind w:firstLine="640"/>
        <w:jc w:val="left"/>
      </w:pPr>
      <w:r>
        <w:rPr>
          <w:rFonts w:ascii="仿宋" w:hAnsi="仿宋"/>
          <w:sz w:val="32"/>
          <w:szCs w:val="32"/>
        </w:rPr>
        <w:t>无其他需要说明的重要事项。</w:t>
      </w:r>
    </w:p>
    <w:sectPr>
      <w:pgSz w:w="11907" w:h="16839"/>
      <w:pgMar w:top="1531" w:right="1134" w:bottom="147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AF6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A3C4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A042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C7F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B637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A62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docVars>
    <w:docVar w:name="commondata" w:val="eyJoZGlkIjoiYmM5ZTY4OGU2ZTJlMzY0MTVlZGQ3NDZmYmYzNmMwZWIifQ=="/>
  </w:docVars>
  <w:rsids>
    <w:rsidRoot w:val="00000000"/>
    <w:rsid w:val="0E507FD7"/>
    <w:rsid w:val="1FE20F46"/>
    <w:rsid w:val="3C505195"/>
    <w:rsid w:val="441B67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Theme="minorHAnsi" w:eastAsiaTheme="minorEastAsia" w:cstheme="minorBidi"/>
    </w:rPr>
  </w:style>
  <w:style w:type="paragraph" w:styleId="2">
    <w:name w:val="heading 1"/>
    <w:basedOn w:val="1"/>
    <w:next w:val="1"/>
    <w:qFormat/>
    <w:uiPriority w:val="0"/>
    <w:pPr>
      <w:spacing w:before="480"/>
    </w:pPr>
    <w:rPr>
      <w:b/>
      <w:color w:val="345A8A"/>
      <w:sz w:val="32"/>
    </w:rPr>
  </w:style>
  <w:style w:type="paragraph" w:styleId="3">
    <w:name w:val="heading 2"/>
    <w:basedOn w:val="1"/>
    <w:next w:val="1"/>
    <w:qFormat/>
    <w:uiPriority w:val="0"/>
    <w:pPr>
      <w:spacing w:before="200"/>
    </w:pPr>
    <w:rPr>
      <w:b/>
      <w:color w:val="4F81BD"/>
      <w:sz w:val="26"/>
    </w:rPr>
  </w:style>
  <w:style w:type="paragraph" w:styleId="4">
    <w:name w:val="heading 3"/>
    <w:basedOn w:val="1"/>
    <w:next w:val="1"/>
    <w:qFormat/>
    <w:uiPriority w:val="0"/>
    <w:pPr>
      <w:spacing w:before="200"/>
    </w:pPr>
    <w:rPr>
      <w:b/>
      <w:color w:val="4F81BD"/>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Subtitle"/>
    <w:basedOn w:val="1"/>
    <w:qFormat/>
    <w:uiPriority w:val="0"/>
    <w:rPr>
      <w:i/>
      <w:color w:val="4F81BD"/>
      <w:sz w:val="24"/>
    </w:rPr>
  </w:style>
  <w:style w:type="paragraph" w:styleId="6">
    <w:name w:val="Title"/>
    <w:basedOn w:val="1"/>
    <w:qFormat/>
    <w:uiPriority w:val="0"/>
    <w:pPr>
      <w:spacing w:after="300"/>
    </w:pPr>
    <w:rPr>
      <w:color w:val="17365D"/>
      <w:sz w:val="52"/>
    </w:rPr>
  </w:style>
  <w:style w:type="paragraph" w:customStyle="1" w:styleId="9">
    <w:name w:val="正文1"/>
    <w:qFormat/>
    <w:uiPriority w:val="0"/>
    <w:pPr>
      <w:jc w:val="both"/>
    </w:pPr>
    <w:rPr>
      <w:rFonts w:ascii="Calibri" w:hAnsiTheme="minorHAnsi" w:eastAsiaTheme="minorEastAsia" w:cstheme="minorBidi"/>
      <w:sz w:val="21"/>
      <w:szCs w:val="22"/>
    </w:rPr>
  </w:style>
  <w:style w:type="character" w:customStyle="1" w:styleId="10">
    <w:name w:val="默认段落字体1"/>
    <w:qFormat/>
    <w:uiPriority w:val="0"/>
  </w:style>
  <w:style w:type="table" w:customStyle="1" w:styleId="11">
    <w:name w:val="普通表格1"/>
    <w:qFormat/>
    <w:uiPriority w:val="0"/>
  </w:style>
  <w:style w:type="character" w:customStyle="1" w:styleId="12">
    <w:name w:val="要点1"/>
    <w:qFormat/>
    <w:uiPriority w:val="0"/>
    <w:rPr>
      <w:b/>
    </w:rPr>
  </w:style>
  <w:style w:type="character" w:customStyle="1" w:styleId="13">
    <w:name w:val="页脚 Char"/>
    <w:qFormat/>
    <w:uiPriority w:val="0"/>
    <w:rPr>
      <w:sz w:val="18"/>
      <w:szCs w:val="18"/>
    </w:rPr>
  </w:style>
  <w:style w:type="character" w:customStyle="1" w:styleId="14">
    <w:name w:val="批注框文本 Char"/>
    <w:qFormat/>
    <w:uiPriority w:val="0"/>
    <w:rPr>
      <w:sz w:val="18"/>
      <w:szCs w:val="18"/>
    </w:rPr>
  </w:style>
  <w:style w:type="character" w:customStyle="1" w:styleId="15">
    <w:name w:val="正文文本缩进 Char"/>
    <w:qFormat/>
    <w:uiPriority w:val="0"/>
    <w:rPr>
      <w:rFonts w:ascii="Times New Roman" w:hAnsi="Times New Roman"/>
      <w:sz w:val="32"/>
      <w:szCs w:val="24"/>
    </w:rPr>
  </w:style>
  <w:style w:type="character" w:customStyle="1" w:styleId="16">
    <w:name w:val="页眉 Char"/>
    <w:qFormat/>
    <w:uiPriority w:val="0"/>
    <w:rPr>
      <w:sz w:val="18"/>
      <w:szCs w:val="18"/>
    </w:rPr>
  </w:style>
  <w:style w:type="paragraph" w:customStyle="1" w:styleId="17">
    <w:name w:val="批注框文本1"/>
    <w:basedOn w:val="9"/>
    <w:qFormat/>
    <w:uiPriority w:val="0"/>
    <w:rPr>
      <w:sz w:val="18"/>
      <w:szCs w:val="18"/>
    </w:rPr>
  </w:style>
  <w:style w:type="paragraph" w:customStyle="1" w:styleId="18">
    <w:name w:val="页眉1"/>
    <w:basedOn w:val="9"/>
    <w:qFormat/>
    <w:uiPriority w:val="0"/>
    <w:pPr>
      <w:pBdr>
        <w:bottom w:val="single" w:color="000000" w:sz="6" w:space="1"/>
      </w:pBdr>
      <w:jc w:val="center"/>
    </w:pPr>
    <w:rPr>
      <w:sz w:val="18"/>
      <w:szCs w:val="18"/>
    </w:rPr>
  </w:style>
  <w:style w:type="paragraph" w:customStyle="1" w:styleId="19">
    <w:name w:val="目录 21"/>
    <w:basedOn w:val="9"/>
    <w:qFormat/>
    <w:uiPriority w:val="0"/>
    <w:pPr>
      <w:ind w:left="420"/>
    </w:pPr>
  </w:style>
  <w:style w:type="paragraph" w:customStyle="1" w:styleId="20">
    <w:name w:val="目录 11"/>
    <w:basedOn w:val="9"/>
    <w:qFormat/>
    <w:uiPriority w:val="0"/>
  </w:style>
  <w:style w:type="paragraph" w:customStyle="1" w:styleId="21">
    <w:name w:val="页脚1"/>
    <w:basedOn w:val="9"/>
    <w:qFormat/>
    <w:uiPriority w:val="0"/>
    <w:pPr>
      <w:jc w:val="left"/>
    </w:pPr>
    <w:rPr>
      <w:sz w:val="18"/>
      <w:szCs w:val="18"/>
    </w:rPr>
  </w:style>
  <w:style w:type="paragraph" w:customStyle="1" w:styleId="22">
    <w:name w:val="正文文本缩进1"/>
    <w:basedOn w:val="9"/>
    <w:qFormat/>
    <w:uiPriority w:val="0"/>
    <w:pPr>
      <w:spacing w:line="420" w:lineRule="exact"/>
      <w:ind w:firstLine="630"/>
    </w:pPr>
    <w:rPr>
      <w:rFonts w:ascii="Times New Roman" w:hAnsi="Times New Roman"/>
      <w:sz w:val="32"/>
      <w:szCs w:val="24"/>
    </w:rPr>
  </w:style>
  <w:style w:type="paragraph" w:customStyle="1" w:styleId="23">
    <w:name w:val="列出段落"/>
    <w:basedOn w:val="9"/>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1324</Words>
  <Characters>1432</Characters>
  <Lines>0</Lines>
  <Paragraphs>0</Paragraphs>
  <TotalTime>12</TotalTime>
  <ScaleCrop>false</ScaleCrop>
  <LinksUpToDate>false</LinksUpToDate>
  <CharactersWithSpaces>1460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2007-04-30T19:01:00Z</dcterms:created>
  <dc:creator>Administrator</dc:creator>
  <cp:lastModifiedBy>杰子</cp:lastModifiedBy>
  <dcterms:modified xsi:type="dcterms:W3CDTF">2026-08-10T06:23:07Z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BD39C2DB146A4DF4926E5717A64F7A8F</vt:lpwstr>
  </property>
  <property fmtid="{D5CDD505-2E9C-101B-9397-08002B2CF9AE}" pid="4" name="KSOTemplateDocerSaveRecord">
    <vt:lpwstr>eyJoZGlkIjoiYmM5ZTY4OGU2ZTJlMzY0MTVlZGQ3NDZmYmYzNmMwZWIiLCJ1c2VySWQiOiI4NTg5MzQ2NjYifQ==</vt:lpwstr>
  </property>
</Properties>
</file>