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D6973">
      <w:pPr>
        <w:keepNext w:val="0"/>
        <w:keepLines w:val="0"/>
        <w:pageBreakBefore w:val="0"/>
        <w:widowControl/>
        <w:tabs>
          <w:tab w:val="left" w:pos="139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120" w:lineRule="auto"/>
        <w:jc w:val="center"/>
        <w:textAlignment w:val="baseline"/>
        <w:rPr>
          <w:rFonts w:ascii="宋体" w:hAnsi="宋体" w:eastAsia="宋体" w:cs="宋体"/>
          <w:b/>
          <w:bCs/>
          <w:spacing w:val="1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1"/>
          <w:sz w:val="43"/>
          <w:szCs w:val="43"/>
          <w:lang w:eastAsia="zh-CN"/>
        </w:rPr>
        <w:t>徐水区</w:t>
      </w:r>
      <w:r>
        <w:rPr>
          <w:rFonts w:hint="eastAsia" w:ascii="宋体" w:hAnsi="宋体" w:eastAsia="宋体" w:cs="宋体"/>
          <w:b/>
          <w:bCs/>
          <w:spacing w:val="1"/>
          <w:sz w:val="43"/>
          <w:szCs w:val="43"/>
          <w:lang w:val="en-US" w:eastAsia="zh-CN"/>
        </w:rPr>
        <w:t>2026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年第</w:t>
      </w:r>
      <w:r>
        <w:rPr>
          <w:rFonts w:hint="eastAsia" w:ascii="宋体" w:hAnsi="宋体" w:eastAsia="宋体" w:cs="宋体"/>
          <w:b/>
          <w:bCs/>
          <w:spacing w:val="1"/>
          <w:sz w:val="43"/>
          <w:szCs w:val="43"/>
          <w:lang w:eastAsia="zh-CN"/>
        </w:rPr>
        <w:t>二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季度饮用水水质监测信息公示</w:t>
      </w:r>
    </w:p>
    <w:p w14:paraId="3E4A111E">
      <w:pPr>
        <w:keepNext w:val="0"/>
        <w:keepLines w:val="0"/>
        <w:pageBreakBefore w:val="0"/>
        <w:widowControl/>
        <w:tabs>
          <w:tab w:val="left" w:pos="139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120" w:lineRule="auto"/>
        <w:jc w:val="center"/>
        <w:textAlignment w:val="baseline"/>
        <w:rPr>
          <w:rFonts w:ascii="宋体" w:hAnsi="宋体" w:eastAsia="宋体" w:cs="宋体"/>
          <w:b/>
          <w:bCs/>
          <w:spacing w:val="1"/>
          <w:sz w:val="43"/>
          <w:szCs w:val="43"/>
        </w:rPr>
      </w:pPr>
    </w:p>
    <w:p w14:paraId="07F35F99">
      <w:pPr>
        <w:pStyle w:val="2"/>
        <w:tabs>
          <w:tab w:val="left" w:pos="9465"/>
        </w:tabs>
        <w:spacing w:before="155" w:line="364" w:lineRule="auto"/>
        <w:ind w:left="694" w:right="629" w:firstLine="649"/>
        <w:jc w:val="both"/>
      </w:pPr>
      <w:r>
        <w:rPr>
          <w:spacing w:val="2"/>
        </w:rPr>
        <w:t>依据《中华人民共和国水污染防治法》和《关于进一步加强</w:t>
      </w:r>
      <w:r>
        <w:rPr>
          <w:spacing w:val="12"/>
        </w:rPr>
        <w:t xml:space="preserve"> </w:t>
      </w:r>
      <w:r>
        <w:rPr>
          <w:spacing w:val="-4"/>
        </w:rPr>
        <w:t>农村饮用水水质监测和信息公开工作的通知》相关要求，现将</w:t>
      </w:r>
      <w:r>
        <w:rPr>
          <w:rFonts w:hint="eastAsia"/>
          <w:u w:val="none" w:color="auto"/>
          <w:lang w:val="en-US" w:eastAsia="zh-CN"/>
        </w:rPr>
        <w:t>2026</w:t>
      </w:r>
      <w:r>
        <w:rPr>
          <w:u w:val="none" w:color="auto"/>
        </w:rPr>
        <w:t xml:space="preserve"> </w:t>
      </w:r>
      <w:r>
        <w:rPr>
          <w:spacing w:val="-3"/>
        </w:rPr>
        <w:t>年第</w:t>
      </w:r>
      <w:r>
        <w:rPr>
          <w:rFonts w:hint="eastAsia"/>
          <w:spacing w:val="-3"/>
          <w:lang w:eastAsia="zh-CN"/>
        </w:rPr>
        <w:t>二</w:t>
      </w:r>
      <w:r>
        <w:rPr>
          <w:spacing w:val="-3"/>
        </w:rPr>
        <w:t>季度生活饮用水监测信息公示如下：</w:t>
      </w:r>
    </w:p>
    <w:p w14:paraId="63553A16">
      <w:pPr>
        <w:pStyle w:val="2"/>
        <w:tabs>
          <w:tab w:val="left" w:pos="1793"/>
        </w:tabs>
        <w:spacing w:before="44" w:line="369" w:lineRule="auto"/>
        <w:ind w:left="694" w:right="387" w:firstLine="619"/>
        <w:rPr>
          <w:spacing w:val="13"/>
        </w:rPr>
      </w:pPr>
      <w:r>
        <w:rPr>
          <w:rFonts w:hint="eastAsia"/>
          <w:u w:val="none" w:color="auto"/>
          <w:lang w:eastAsia="zh-CN"/>
        </w:rPr>
        <w:t>徐水区</w:t>
      </w:r>
      <w:r>
        <w:rPr>
          <w:spacing w:val="1"/>
        </w:rPr>
        <w:t>本季度共设置用户水龙头水监测点</w:t>
      </w:r>
      <w:r>
        <w:rPr>
          <w:rFonts w:hint="eastAsia"/>
          <w:spacing w:val="1"/>
          <w:u w:val="none" w:color="auto"/>
          <w:lang w:val="en-US" w:eastAsia="zh-CN"/>
        </w:rPr>
        <w:t>5</w:t>
      </w:r>
      <w:r>
        <w:rPr>
          <w:spacing w:val="1"/>
        </w:rPr>
        <w:t>处</w:t>
      </w:r>
      <w:r>
        <w:rPr>
          <w:rFonts w:hint="eastAsia"/>
          <w:spacing w:val="1"/>
          <w:lang w:eastAsia="zh-CN"/>
        </w:rPr>
        <w:t>，</w:t>
      </w:r>
      <w:r>
        <w:rPr>
          <w:spacing w:val="1"/>
        </w:rPr>
        <w:t>分别为</w:t>
      </w:r>
      <w:r>
        <w:rPr>
          <w:rFonts w:hint="eastAsia"/>
          <w:spacing w:val="1"/>
          <w:u w:val="none" w:color="auto"/>
          <w:lang w:eastAsia="zh-CN"/>
        </w:rPr>
        <w:t>东方名苑小区、仁安胡同小区、物探家属院、烟草公司家属院、新华书店家属院</w:t>
      </w:r>
      <w:r>
        <w:rPr>
          <w:rFonts w:ascii="宋体" w:hAnsi="宋体" w:eastAsia="宋体" w:cs="宋体"/>
          <w:spacing w:val="1"/>
        </w:rPr>
        <w:t>;</w:t>
      </w:r>
      <w:r>
        <w:rPr>
          <w:spacing w:val="2"/>
        </w:rPr>
        <w:t>监测指标涵盖浑浊度、色度、臭和味、肉眼可见物、高锰酸盐指</w:t>
      </w:r>
      <w:r>
        <w:rPr>
          <w:rFonts w:hint="eastAsia"/>
          <w:spacing w:val="2"/>
          <w:lang w:eastAsia="zh-CN"/>
        </w:rPr>
        <w:t>数</w:t>
      </w:r>
      <w:r>
        <w:rPr>
          <w:spacing w:val="8"/>
        </w:rPr>
        <w:t>、游离氯、菌落总数、总大肠菌群等，共</w:t>
      </w:r>
      <w:r>
        <w:rPr>
          <w:rFonts w:hint="eastAsia"/>
          <w:spacing w:val="8"/>
          <w:u w:val="none" w:color="auto"/>
          <w:lang w:val="en-US" w:eastAsia="zh-CN"/>
        </w:rPr>
        <w:t>8</w:t>
      </w:r>
      <w:r>
        <w:rPr>
          <w:spacing w:val="8"/>
        </w:rPr>
        <w:t>项。</w:t>
      </w:r>
      <w:r>
        <w:rPr>
          <w:rFonts w:hint="eastAsia"/>
          <w:spacing w:val="8"/>
          <w:u w:val="none" w:color="auto"/>
          <w:lang w:eastAsia="zh-CN"/>
        </w:rPr>
        <w:t>徐水区</w:t>
      </w:r>
      <w:r>
        <w:rPr>
          <w:spacing w:val="8"/>
        </w:rPr>
        <w:t>疾控中</w:t>
      </w:r>
      <w:r>
        <w:rPr>
          <w:spacing w:val="-3"/>
        </w:rPr>
        <w:t>心采集水样并按照《生活饮用水标准检验方法》</w:t>
      </w:r>
      <w:r>
        <w:rPr>
          <w:rFonts w:ascii="宋体" w:hAnsi="宋体" w:eastAsia="宋体" w:cs="宋体"/>
          <w:spacing w:val="-3"/>
        </w:rPr>
        <w:t>(G</w:t>
      </w:r>
      <w:r>
        <w:rPr>
          <w:rFonts w:ascii="宋体" w:hAnsi="宋体" w:eastAsia="宋体" w:cs="宋体"/>
          <w:spacing w:val="-4"/>
        </w:rPr>
        <w:t>B/T5750-2023)</w:t>
      </w:r>
      <w:r>
        <w:rPr>
          <w:spacing w:val="4"/>
        </w:rPr>
        <w:t>进行检测。检测结果显示，各项指标均符合《生活饮用</w:t>
      </w:r>
      <w:r>
        <w:rPr>
          <w:spacing w:val="3"/>
        </w:rPr>
        <w:t>水卫生标</w:t>
      </w:r>
      <w:r>
        <w:rPr>
          <w:spacing w:val="10"/>
        </w:rPr>
        <w:t>准</w:t>
      </w:r>
      <w:r>
        <w:rPr>
          <w:rFonts w:hint="eastAsia"/>
          <w:spacing w:val="-29"/>
          <w:lang w:eastAsia="zh-CN"/>
        </w:rPr>
        <w:t>》</w:t>
      </w:r>
      <w:r>
        <w:rPr>
          <w:rFonts w:ascii="宋体" w:hAnsi="宋体" w:eastAsia="宋体" w:cs="宋体"/>
          <w:spacing w:val="-3"/>
        </w:rPr>
        <w:t>(GB5749-2022)</w:t>
      </w:r>
      <w:r>
        <w:rPr>
          <w:spacing w:val="10"/>
        </w:rPr>
        <w:t>限值要求</w:t>
      </w:r>
      <w:r>
        <w:rPr>
          <w:rFonts w:hint="eastAsia"/>
          <w:spacing w:val="10"/>
          <w:lang w:eastAsia="zh-CN"/>
        </w:rPr>
        <w:t>，</w:t>
      </w:r>
      <w:r>
        <w:rPr>
          <w:spacing w:val="10"/>
        </w:rPr>
        <w:t>总体合格率为100%</w:t>
      </w:r>
      <w:r>
        <w:rPr>
          <w:spacing w:val="13"/>
        </w:rPr>
        <w:t>。详见附表</w:t>
      </w:r>
    </w:p>
    <w:p w14:paraId="33B89C27">
      <w:pPr>
        <w:spacing w:before="13" w:line="219" w:lineRule="auto"/>
        <w:ind w:left="20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附表</w:t>
      </w:r>
      <w:r>
        <w:rPr>
          <w:rFonts w:ascii="宋体" w:hAnsi="宋体" w:eastAsia="宋体" w:cs="宋体"/>
          <w:spacing w:val="149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  <w:t>2026</w:t>
      </w: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 xml:space="preserve"> 年第</w:t>
      </w:r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eastAsia="zh-CN"/>
        </w:rPr>
        <w:t>二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季度生活饮用水检测结果</w:t>
      </w:r>
    </w:p>
    <w:p w14:paraId="3C26566A">
      <w:pPr>
        <w:spacing w:line="109" w:lineRule="exact"/>
      </w:pPr>
    </w:p>
    <w:tbl>
      <w:tblPr>
        <w:tblStyle w:val="6"/>
        <w:tblpPr w:leftFromText="180" w:rightFromText="180" w:vertAnchor="text" w:horzAnchor="page" w:tblpX="1169" w:tblpY="116"/>
        <w:tblOverlap w:val="never"/>
        <w:tblW w:w="95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58"/>
        <w:gridCol w:w="1065"/>
        <w:gridCol w:w="780"/>
        <w:gridCol w:w="870"/>
        <w:gridCol w:w="735"/>
        <w:gridCol w:w="780"/>
        <w:gridCol w:w="1095"/>
        <w:gridCol w:w="855"/>
        <w:gridCol w:w="1560"/>
        <w:gridCol w:w="480"/>
      </w:tblGrid>
      <w:tr w14:paraId="33215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545" w:type="dxa"/>
            <w:textDirection w:val="tbRlV"/>
            <w:vAlign w:val="top"/>
          </w:tcPr>
          <w:p w14:paraId="70694B5B">
            <w:pPr>
              <w:pStyle w:val="7"/>
              <w:spacing w:before="173" w:line="199" w:lineRule="auto"/>
              <w:ind w:left="473"/>
            </w:pPr>
            <w:r>
              <w:t>序</w:t>
            </w:r>
            <w:r>
              <w:rPr>
                <w:spacing w:val="47"/>
              </w:rPr>
              <w:t xml:space="preserve"> </w:t>
            </w:r>
            <w:r>
              <w:t>号</w:t>
            </w:r>
          </w:p>
        </w:tc>
        <w:tc>
          <w:tcPr>
            <w:tcW w:w="758" w:type="dxa"/>
            <w:vAlign w:val="top"/>
          </w:tcPr>
          <w:p w14:paraId="295D9941">
            <w:pPr>
              <w:spacing w:line="440" w:lineRule="auto"/>
              <w:rPr>
                <w:rFonts w:ascii="Arial"/>
                <w:sz w:val="21"/>
              </w:rPr>
            </w:pPr>
          </w:p>
          <w:p w14:paraId="17C3815E">
            <w:pPr>
              <w:pStyle w:val="7"/>
              <w:spacing w:before="72" w:line="221" w:lineRule="auto"/>
              <w:ind w:left="109"/>
            </w:pPr>
            <w:r>
              <w:rPr>
                <w:spacing w:val="9"/>
              </w:rPr>
              <w:t>监测</w:t>
            </w:r>
          </w:p>
          <w:p w14:paraId="6CB535F3">
            <w:pPr>
              <w:pStyle w:val="7"/>
              <w:spacing w:before="50" w:line="224" w:lineRule="auto"/>
              <w:ind w:left="109"/>
            </w:pPr>
            <w:r>
              <w:rPr>
                <w:spacing w:val="9"/>
              </w:rPr>
              <w:t>地点</w:t>
            </w:r>
          </w:p>
        </w:tc>
        <w:tc>
          <w:tcPr>
            <w:tcW w:w="1065" w:type="dxa"/>
            <w:vAlign w:val="top"/>
          </w:tcPr>
          <w:p w14:paraId="7F21DBB1">
            <w:pPr>
              <w:pStyle w:val="7"/>
              <w:spacing w:before="204" w:line="219" w:lineRule="auto"/>
              <w:ind w:left="171"/>
            </w:pPr>
            <w:r>
              <w:rPr>
                <w:spacing w:val="3"/>
              </w:rPr>
              <w:t>高锰酸</w:t>
            </w:r>
          </w:p>
          <w:p w14:paraId="0D3E4727">
            <w:pPr>
              <w:pStyle w:val="7"/>
              <w:spacing w:before="49" w:line="219" w:lineRule="auto"/>
              <w:ind w:left="171"/>
            </w:pPr>
            <w:r>
              <w:rPr>
                <w:spacing w:val="-3"/>
              </w:rPr>
              <w:t>盐指数</w:t>
            </w:r>
          </w:p>
          <w:p w14:paraId="297C3B34">
            <w:pPr>
              <w:pStyle w:val="7"/>
              <w:spacing w:before="52" w:line="247" w:lineRule="auto"/>
              <w:ind w:left="390" w:right="285" w:hanging="159"/>
            </w:pPr>
            <w:r>
              <w:rPr>
                <w:spacing w:val="-10"/>
              </w:rPr>
              <w:t>(3mg/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L)</w:t>
            </w:r>
          </w:p>
        </w:tc>
        <w:tc>
          <w:tcPr>
            <w:tcW w:w="780" w:type="dxa"/>
            <w:vAlign w:val="top"/>
          </w:tcPr>
          <w:p w14:paraId="0FA11795">
            <w:pPr>
              <w:spacing w:line="279" w:lineRule="auto"/>
              <w:rPr>
                <w:rFonts w:ascii="Arial"/>
                <w:sz w:val="21"/>
              </w:rPr>
            </w:pPr>
          </w:p>
          <w:p w14:paraId="028DC27D">
            <w:pPr>
              <w:pStyle w:val="7"/>
              <w:spacing w:before="72" w:line="258" w:lineRule="auto"/>
              <w:ind w:left="190" w:right="133" w:hanging="49"/>
            </w:pPr>
            <w:r>
              <w:rPr>
                <w:spacing w:val="6"/>
              </w:rPr>
              <w:t>色度</w:t>
            </w:r>
            <w:r>
              <w:t xml:space="preserve"> </w:t>
            </w:r>
            <w:r>
              <w:rPr>
                <w:spacing w:val="-16"/>
              </w:rPr>
              <w:t>(15</w:t>
            </w:r>
            <w:r>
              <w:t xml:space="preserve">  </w:t>
            </w:r>
            <w:r>
              <w:rPr>
                <w:spacing w:val="-4"/>
              </w:rPr>
              <w:t>度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870" w:type="dxa"/>
            <w:vAlign w:val="top"/>
          </w:tcPr>
          <w:p w14:paraId="55A86A52">
            <w:pPr>
              <w:spacing w:line="439" w:lineRule="auto"/>
              <w:rPr>
                <w:rFonts w:ascii="Arial"/>
                <w:sz w:val="21"/>
              </w:rPr>
            </w:pPr>
          </w:p>
          <w:p w14:paraId="06DA0CE9">
            <w:pPr>
              <w:pStyle w:val="7"/>
              <w:spacing w:before="72" w:line="219" w:lineRule="auto"/>
              <w:ind w:left="112"/>
            </w:pPr>
            <w:r>
              <w:rPr>
                <w:spacing w:val="4"/>
              </w:rPr>
              <w:t>浑浊度</w:t>
            </w:r>
          </w:p>
          <w:p w14:paraId="292F656D">
            <w:pPr>
              <w:pStyle w:val="7"/>
              <w:spacing w:before="62" w:line="222" w:lineRule="auto"/>
              <w:ind w:left="112"/>
            </w:pPr>
            <w:r>
              <w:rPr>
                <w:spacing w:val="-7"/>
              </w:rPr>
              <w:t>(1NTU)</w:t>
            </w:r>
          </w:p>
        </w:tc>
        <w:tc>
          <w:tcPr>
            <w:tcW w:w="735" w:type="dxa"/>
            <w:vAlign w:val="top"/>
          </w:tcPr>
          <w:p w14:paraId="6F86F689">
            <w:pPr>
              <w:pStyle w:val="7"/>
              <w:spacing w:before="193" w:line="265" w:lineRule="auto"/>
              <w:ind w:left="223" w:right="106" w:hanging="109"/>
            </w:pPr>
            <w:r>
              <w:rPr>
                <w:spacing w:val="8"/>
              </w:rPr>
              <w:t>臭和</w:t>
            </w:r>
            <w:r>
              <w:t xml:space="preserve"> 味</w:t>
            </w:r>
          </w:p>
          <w:p w14:paraId="558EB760">
            <w:pPr>
              <w:pStyle w:val="7"/>
              <w:spacing w:before="2" w:line="265" w:lineRule="auto"/>
              <w:ind w:left="283" w:right="135" w:hanging="79"/>
            </w:pPr>
            <w:r>
              <w:rPr>
                <w:spacing w:val="4"/>
              </w:rPr>
              <w:t>(无</w:t>
            </w:r>
            <w:r>
              <w:t xml:space="preserve"> )</w:t>
            </w:r>
          </w:p>
        </w:tc>
        <w:tc>
          <w:tcPr>
            <w:tcW w:w="780" w:type="dxa"/>
            <w:vAlign w:val="top"/>
          </w:tcPr>
          <w:p w14:paraId="198C6B5C">
            <w:pPr>
              <w:pStyle w:val="7"/>
              <w:spacing w:before="48" w:line="223" w:lineRule="auto"/>
              <w:ind w:left="115"/>
            </w:pPr>
            <w:r>
              <w:rPr>
                <w:spacing w:val="5"/>
              </w:rPr>
              <w:t>肉眼</w:t>
            </w:r>
          </w:p>
          <w:p w14:paraId="3164D241">
            <w:pPr>
              <w:pStyle w:val="7"/>
              <w:spacing w:before="40" w:line="256" w:lineRule="auto"/>
              <w:ind w:left="224" w:right="112" w:hanging="109"/>
            </w:pPr>
            <w:r>
              <w:rPr>
                <w:spacing w:val="5"/>
              </w:rPr>
              <w:t>可见</w:t>
            </w:r>
            <w:r>
              <w:t xml:space="preserve"> 物</w:t>
            </w:r>
          </w:p>
          <w:p w14:paraId="7311D6F5">
            <w:pPr>
              <w:pStyle w:val="7"/>
              <w:spacing w:line="245" w:lineRule="auto"/>
              <w:ind w:left="283" w:right="134" w:hanging="79"/>
            </w:pPr>
            <w:r>
              <w:rPr>
                <w:spacing w:val="4"/>
              </w:rPr>
              <w:t>(无</w:t>
            </w:r>
            <w:r>
              <w:t xml:space="preserve"> (</w:t>
            </w:r>
          </w:p>
        </w:tc>
        <w:tc>
          <w:tcPr>
            <w:tcW w:w="1095" w:type="dxa"/>
            <w:vAlign w:val="top"/>
          </w:tcPr>
          <w:p w14:paraId="12BFFA48">
            <w:pPr>
              <w:spacing w:line="281" w:lineRule="auto"/>
              <w:rPr>
                <w:rFonts w:ascii="Arial"/>
                <w:sz w:val="21"/>
              </w:rPr>
            </w:pPr>
          </w:p>
          <w:p w14:paraId="3903EDAC">
            <w:pPr>
              <w:pStyle w:val="7"/>
              <w:spacing w:before="71" w:line="220" w:lineRule="auto"/>
              <w:ind w:left="95"/>
            </w:pPr>
            <w:r>
              <w:rPr>
                <w:spacing w:val="-2"/>
              </w:rPr>
              <w:t>游离性余</w:t>
            </w:r>
          </w:p>
          <w:p w14:paraId="17F19ADD">
            <w:pPr>
              <w:pStyle w:val="7"/>
              <w:spacing w:before="58" w:line="221" w:lineRule="auto"/>
              <w:ind w:left="266"/>
            </w:pPr>
            <w:r>
              <w:rPr>
                <w:spacing w:val="7"/>
              </w:rPr>
              <w:t>氯(≥</w:t>
            </w:r>
          </w:p>
          <w:p w14:paraId="1FFAC123">
            <w:pPr>
              <w:pStyle w:val="7"/>
              <w:spacing w:before="57" w:line="214" w:lineRule="auto"/>
              <w:ind w:left="46"/>
            </w:pPr>
            <w:r>
              <w:rPr>
                <w:spacing w:val="-1"/>
              </w:rPr>
              <w:t>0.05mg/L)</w:t>
            </w:r>
          </w:p>
        </w:tc>
        <w:tc>
          <w:tcPr>
            <w:tcW w:w="855" w:type="dxa"/>
            <w:vAlign w:val="top"/>
          </w:tcPr>
          <w:p w14:paraId="060114B1">
            <w:pPr>
              <w:pStyle w:val="7"/>
              <w:spacing w:before="184" w:line="219" w:lineRule="auto"/>
              <w:ind w:left="127"/>
            </w:pPr>
            <w:r>
              <w:rPr>
                <w:spacing w:val="6"/>
              </w:rPr>
              <w:t>菌落总</w:t>
            </w:r>
          </w:p>
          <w:p w14:paraId="68CAE6ED">
            <w:pPr>
              <w:pStyle w:val="7"/>
              <w:spacing w:before="69" w:line="219" w:lineRule="auto"/>
              <w:ind w:left="347"/>
            </w:pPr>
            <w:r>
              <w:t>数</w:t>
            </w:r>
          </w:p>
          <w:p w14:paraId="6A9F1A91">
            <w:pPr>
              <w:pStyle w:val="7"/>
              <w:spacing w:before="62" w:line="222" w:lineRule="auto"/>
              <w:ind w:left="127"/>
            </w:pPr>
            <w:r>
              <w:rPr>
                <w:spacing w:val="-7"/>
              </w:rPr>
              <w:t>(100CF</w:t>
            </w:r>
          </w:p>
          <w:p w14:paraId="2CCCEB3B">
            <w:pPr>
              <w:pStyle w:val="7"/>
              <w:spacing w:before="45" w:line="222" w:lineRule="auto"/>
              <w:ind w:left="186"/>
            </w:pPr>
            <w:r>
              <w:rPr>
                <w:spacing w:val="-1"/>
              </w:rPr>
              <w:t>U/mL)</w:t>
            </w:r>
          </w:p>
        </w:tc>
        <w:tc>
          <w:tcPr>
            <w:tcW w:w="1560" w:type="dxa"/>
            <w:vAlign w:val="top"/>
          </w:tcPr>
          <w:p w14:paraId="60EF0255">
            <w:pPr>
              <w:spacing w:line="279" w:lineRule="auto"/>
              <w:rPr>
                <w:rFonts w:ascii="Arial"/>
                <w:sz w:val="21"/>
              </w:rPr>
            </w:pPr>
          </w:p>
          <w:p w14:paraId="1C4768F9">
            <w:pPr>
              <w:pStyle w:val="7"/>
              <w:spacing w:before="72" w:line="266" w:lineRule="auto"/>
              <w:ind w:left="137" w:right="142" w:firstLine="59"/>
              <w:jc w:val="both"/>
            </w:pPr>
            <w:r>
              <w:rPr>
                <w:spacing w:val="1"/>
              </w:rPr>
              <w:t>总大肠菌群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(MPN/100mL)</w:t>
            </w:r>
            <w:r>
              <w:rPr>
                <w:spacing w:val="6"/>
              </w:rPr>
              <w:t xml:space="preserve"> </w:t>
            </w:r>
            <w:r>
              <w:rPr>
                <w:spacing w:val="18"/>
              </w:rPr>
              <w:t>(不应检出)</w:t>
            </w:r>
          </w:p>
        </w:tc>
        <w:tc>
          <w:tcPr>
            <w:tcW w:w="480" w:type="dxa"/>
            <w:textDirection w:val="tbRlV"/>
            <w:vAlign w:val="top"/>
          </w:tcPr>
          <w:p w14:paraId="71FBB4DA">
            <w:pPr>
              <w:pStyle w:val="7"/>
              <w:spacing w:before="127" w:line="198" w:lineRule="auto"/>
              <w:ind w:left="164"/>
            </w:pPr>
            <w:r>
              <w:t>结 果 判 定</w:t>
            </w:r>
          </w:p>
        </w:tc>
      </w:tr>
      <w:tr w14:paraId="11DA0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545" w:type="dxa"/>
            <w:vAlign w:val="top"/>
          </w:tcPr>
          <w:p w14:paraId="3085A2DB">
            <w:pPr>
              <w:pStyle w:val="7"/>
              <w:spacing w:before="126" w:line="236" w:lineRule="auto"/>
              <w:ind w:left="205"/>
            </w:pPr>
            <w:r>
              <w:t>1</w:t>
            </w:r>
          </w:p>
        </w:tc>
        <w:tc>
          <w:tcPr>
            <w:tcW w:w="758" w:type="dxa"/>
            <w:vAlign w:val="top"/>
          </w:tcPr>
          <w:p w14:paraId="144AC3CA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/>
                <w:spacing w:val="1"/>
                <w:u w:val="none" w:color="auto"/>
                <w:lang w:eastAsia="zh-CN"/>
              </w:rPr>
              <w:t>东方名苑小区</w:t>
            </w:r>
          </w:p>
        </w:tc>
        <w:tc>
          <w:tcPr>
            <w:tcW w:w="1065" w:type="dxa"/>
            <w:vAlign w:val="center"/>
          </w:tcPr>
          <w:p w14:paraId="7FD7103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1.86</w:t>
            </w:r>
          </w:p>
        </w:tc>
        <w:tc>
          <w:tcPr>
            <w:tcW w:w="780" w:type="dxa"/>
            <w:vAlign w:val="center"/>
          </w:tcPr>
          <w:p w14:paraId="10DBD31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&lt;5</w:t>
            </w:r>
          </w:p>
        </w:tc>
        <w:tc>
          <w:tcPr>
            <w:tcW w:w="870" w:type="dxa"/>
            <w:vAlign w:val="center"/>
          </w:tcPr>
          <w:p w14:paraId="279E562E">
            <w:pPr>
              <w:jc w:val="center"/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&lt;0.5</w:t>
            </w:r>
          </w:p>
        </w:tc>
        <w:tc>
          <w:tcPr>
            <w:tcW w:w="735" w:type="dxa"/>
            <w:vAlign w:val="center"/>
          </w:tcPr>
          <w:p w14:paraId="47E45C0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无</w:t>
            </w:r>
          </w:p>
        </w:tc>
        <w:tc>
          <w:tcPr>
            <w:tcW w:w="780" w:type="dxa"/>
            <w:vAlign w:val="center"/>
          </w:tcPr>
          <w:p w14:paraId="60FFBC23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095" w:type="dxa"/>
            <w:vAlign w:val="center"/>
          </w:tcPr>
          <w:p w14:paraId="337CCD9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0.08</w:t>
            </w:r>
          </w:p>
        </w:tc>
        <w:tc>
          <w:tcPr>
            <w:tcW w:w="855" w:type="dxa"/>
            <w:vAlign w:val="center"/>
          </w:tcPr>
          <w:p w14:paraId="34AB1C44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72F6F7C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未检出</w:t>
            </w:r>
          </w:p>
        </w:tc>
        <w:tc>
          <w:tcPr>
            <w:tcW w:w="480" w:type="dxa"/>
            <w:vAlign w:val="center"/>
          </w:tcPr>
          <w:p w14:paraId="4DA4FCE9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合格</w:t>
            </w:r>
          </w:p>
        </w:tc>
      </w:tr>
      <w:tr w14:paraId="45DE1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16975541">
            <w:pPr>
              <w:pStyle w:val="7"/>
              <w:spacing w:before="128" w:line="227" w:lineRule="auto"/>
              <w:ind w:left="205"/>
            </w:pPr>
            <w:r>
              <w:t>2</w:t>
            </w:r>
          </w:p>
        </w:tc>
        <w:tc>
          <w:tcPr>
            <w:tcW w:w="758" w:type="dxa"/>
            <w:vAlign w:val="top"/>
          </w:tcPr>
          <w:p w14:paraId="00EBC5A9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/>
                <w:spacing w:val="1"/>
                <w:u w:val="none" w:color="auto"/>
                <w:lang w:eastAsia="zh-CN"/>
              </w:rPr>
              <w:t>仁安胡同小区</w:t>
            </w:r>
          </w:p>
        </w:tc>
        <w:tc>
          <w:tcPr>
            <w:tcW w:w="1065" w:type="dxa"/>
            <w:vAlign w:val="center"/>
          </w:tcPr>
          <w:p w14:paraId="71E5CB5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1.82</w:t>
            </w:r>
          </w:p>
        </w:tc>
        <w:tc>
          <w:tcPr>
            <w:tcW w:w="780" w:type="dxa"/>
            <w:vAlign w:val="center"/>
          </w:tcPr>
          <w:p w14:paraId="2AE5E77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&lt;5</w:t>
            </w:r>
          </w:p>
        </w:tc>
        <w:tc>
          <w:tcPr>
            <w:tcW w:w="870" w:type="dxa"/>
            <w:vAlign w:val="center"/>
          </w:tcPr>
          <w:p w14:paraId="409D919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&lt;0.5</w:t>
            </w:r>
          </w:p>
        </w:tc>
        <w:tc>
          <w:tcPr>
            <w:tcW w:w="735" w:type="dxa"/>
            <w:vAlign w:val="center"/>
          </w:tcPr>
          <w:p w14:paraId="4A8B75A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无</w:t>
            </w:r>
          </w:p>
        </w:tc>
        <w:tc>
          <w:tcPr>
            <w:tcW w:w="780" w:type="dxa"/>
            <w:vAlign w:val="center"/>
          </w:tcPr>
          <w:p w14:paraId="5904CE9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095" w:type="dxa"/>
            <w:vAlign w:val="center"/>
          </w:tcPr>
          <w:p w14:paraId="537132A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0.08</w:t>
            </w:r>
          </w:p>
        </w:tc>
        <w:tc>
          <w:tcPr>
            <w:tcW w:w="855" w:type="dxa"/>
            <w:vAlign w:val="center"/>
          </w:tcPr>
          <w:p w14:paraId="755FDAC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5D0073B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未检出</w:t>
            </w:r>
          </w:p>
        </w:tc>
        <w:tc>
          <w:tcPr>
            <w:tcW w:w="480" w:type="dxa"/>
            <w:vAlign w:val="center"/>
          </w:tcPr>
          <w:p w14:paraId="35FA3BC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合格</w:t>
            </w:r>
          </w:p>
        </w:tc>
      </w:tr>
      <w:tr w14:paraId="694FD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5" w:type="dxa"/>
            <w:vAlign w:val="top"/>
          </w:tcPr>
          <w:p w14:paraId="121E33CB">
            <w:pPr>
              <w:pStyle w:val="7"/>
              <w:spacing w:before="130" w:line="229" w:lineRule="auto"/>
              <w:ind w:left="205"/>
            </w:pPr>
            <w:r>
              <w:t>3</w:t>
            </w:r>
          </w:p>
        </w:tc>
        <w:tc>
          <w:tcPr>
            <w:tcW w:w="758" w:type="dxa"/>
            <w:vAlign w:val="top"/>
          </w:tcPr>
          <w:p w14:paraId="4C5F5CB1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/>
                <w:spacing w:val="1"/>
                <w:u w:val="none" w:color="auto"/>
                <w:lang w:eastAsia="zh-CN"/>
              </w:rPr>
              <w:t>物探家属院</w:t>
            </w:r>
          </w:p>
        </w:tc>
        <w:tc>
          <w:tcPr>
            <w:tcW w:w="1065" w:type="dxa"/>
            <w:vAlign w:val="center"/>
          </w:tcPr>
          <w:p w14:paraId="48E0985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1.70</w:t>
            </w:r>
          </w:p>
        </w:tc>
        <w:tc>
          <w:tcPr>
            <w:tcW w:w="780" w:type="dxa"/>
            <w:vAlign w:val="center"/>
          </w:tcPr>
          <w:p w14:paraId="561EE97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&lt;5</w:t>
            </w:r>
          </w:p>
        </w:tc>
        <w:tc>
          <w:tcPr>
            <w:tcW w:w="870" w:type="dxa"/>
            <w:vAlign w:val="center"/>
          </w:tcPr>
          <w:p w14:paraId="663D813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&lt;0.5</w:t>
            </w:r>
          </w:p>
        </w:tc>
        <w:tc>
          <w:tcPr>
            <w:tcW w:w="735" w:type="dxa"/>
            <w:vAlign w:val="center"/>
          </w:tcPr>
          <w:p w14:paraId="7C2104B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无</w:t>
            </w:r>
          </w:p>
        </w:tc>
        <w:tc>
          <w:tcPr>
            <w:tcW w:w="780" w:type="dxa"/>
            <w:vAlign w:val="center"/>
          </w:tcPr>
          <w:p w14:paraId="6B97893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095" w:type="dxa"/>
            <w:vAlign w:val="center"/>
          </w:tcPr>
          <w:p w14:paraId="1828EAA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0.08</w:t>
            </w:r>
          </w:p>
        </w:tc>
        <w:tc>
          <w:tcPr>
            <w:tcW w:w="855" w:type="dxa"/>
            <w:vAlign w:val="center"/>
          </w:tcPr>
          <w:p w14:paraId="45F1066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未检出</w:t>
            </w:r>
          </w:p>
        </w:tc>
        <w:tc>
          <w:tcPr>
            <w:tcW w:w="1560" w:type="dxa"/>
            <w:vAlign w:val="center"/>
          </w:tcPr>
          <w:p w14:paraId="36B40EE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未检出</w:t>
            </w:r>
          </w:p>
        </w:tc>
        <w:tc>
          <w:tcPr>
            <w:tcW w:w="480" w:type="dxa"/>
            <w:vAlign w:val="center"/>
          </w:tcPr>
          <w:p w14:paraId="4DE453E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合格</w:t>
            </w:r>
          </w:p>
        </w:tc>
      </w:tr>
      <w:tr w14:paraId="7722E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5" w:type="dxa"/>
            <w:vAlign w:val="top"/>
          </w:tcPr>
          <w:p w14:paraId="403DB6A1">
            <w:pPr>
              <w:pStyle w:val="7"/>
              <w:spacing w:before="130" w:line="229" w:lineRule="auto"/>
              <w:ind w:left="20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58" w:type="dxa"/>
            <w:vAlign w:val="top"/>
          </w:tcPr>
          <w:p w14:paraId="7A818ADB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/>
                <w:spacing w:val="1"/>
                <w:u w:val="none" w:color="auto"/>
                <w:lang w:eastAsia="zh-CN"/>
              </w:rPr>
              <w:t>烟草公司家属院</w:t>
            </w:r>
          </w:p>
        </w:tc>
        <w:tc>
          <w:tcPr>
            <w:tcW w:w="1065" w:type="dxa"/>
            <w:vAlign w:val="center"/>
          </w:tcPr>
          <w:p w14:paraId="26F36BF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1.70</w:t>
            </w:r>
          </w:p>
        </w:tc>
        <w:tc>
          <w:tcPr>
            <w:tcW w:w="780" w:type="dxa"/>
            <w:vAlign w:val="center"/>
          </w:tcPr>
          <w:p w14:paraId="4DE0236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&lt;5</w:t>
            </w:r>
          </w:p>
        </w:tc>
        <w:tc>
          <w:tcPr>
            <w:tcW w:w="870" w:type="dxa"/>
            <w:vAlign w:val="center"/>
          </w:tcPr>
          <w:p w14:paraId="0604933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&lt;0.5</w:t>
            </w:r>
          </w:p>
        </w:tc>
        <w:tc>
          <w:tcPr>
            <w:tcW w:w="735" w:type="dxa"/>
            <w:vAlign w:val="center"/>
          </w:tcPr>
          <w:p w14:paraId="7D1CFD0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无</w:t>
            </w:r>
          </w:p>
        </w:tc>
        <w:tc>
          <w:tcPr>
            <w:tcW w:w="780" w:type="dxa"/>
            <w:vAlign w:val="center"/>
          </w:tcPr>
          <w:p w14:paraId="5CDACB0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095" w:type="dxa"/>
            <w:vAlign w:val="center"/>
          </w:tcPr>
          <w:p w14:paraId="0DDD925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0.09</w:t>
            </w:r>
          </w:p>
        </w:tc>
        <w:tc>
          <w:tcPr>
            <w:tcW w:w="855" w:type="dxa"/>
            <w:vAlign w:val="center"/>
          </w:tcPr>
          <w:p w14:paraId="3598172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 w14:paraId="355A045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未检出</w:t>
            </w:r>
          </w:p>
        </w:tc>
        <w:tc>
          <w:tcPr>
            <w:tcW w:w="480" w:type="dxa"/>
            <w:vAlign w:val="center"/>
          </w:tcPr>
          <w:p w14:paraId="081DD86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合格</w:t>
            </w:r>
          </w:p>
        </w:tc>
      </w:tr>
      <w:tr w14:paraId="07A6A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5" w:type="dxa"/>
            <w:vAlign w:val="top"/>
          </w:tcPr>
          <w:p w14:paraId="7EACD2A2">
            <w:pPr>
              <w:pStyle w:val="7"/>
              <w:spacing w:before="130" w:line="229" w:lineRule="auto"/>
              <w:ind w:left="20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58" w:type="dxa"/>
            <w:vAlign w:val="top"/>
          </w:tcPr>
          <w:p w14:paraId="7584F73E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/>
                <w:spacing w:val="1"/>
                <w:u w:val="none" w:color="auto"/>
                <w:lang w:eastAsia="zh-CN"/>
              </w:rPr>
              <w:t>新华书店家属院</w:t>
            </w:r>
          </w:p>
        </w:tc>
        <w:tc>
          <w:tcPr>
            <w:tcW w:w="1065" w:type="dxa"/>
            <w:vAlign w:val="center"/>
          </w:tcPr>
          <w:p w14:paraId="02BD3DA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1.78</w:t>
            </w:r>
          </w:p>
        </w:tc>
        <w:tc>
          <w:tcPr>
            <w:tcW w:w="780" w:type="dxa"/>
            <w:vAlign w:val="center"/>
          </w:tcPr>
          <w:p w14:paraId="143A992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&lt;5</w:t>
            </w:r>
          </w:p>
        </w:tc>
        <w:tc>
          <w:tcPr>
            <w:tcW w:w="870" w:type="dxa"/>
            <w:vAlign w:val="center"/>
          </w:tcPr>
          <w:p w14:paraId="3055812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&lt;0.5</w:t>
            </w:r>
          </w:p>
        </w:tc>
        <w:tc>
          <w:tcPr>
            <w:tcW w:w="735" w:type="dxa"/>
            <w:vAlign w:val="center"/>
          </w:tcPr>
          <w:p w14:paraId="3C37107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无</w:t>
            </w:r>
          </w:p>
        </w:tc>
        <w:tc>
          <w:tcPr>
            <w:tcW w:w="780" w:type="dxa"/>
            <w:vAlign w:val="center"/>
          </w:tcPr>
          <w:p w14:paraId="48B5A90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095" w:type="dxa"/>
            <w:vAlign w:val="center"/>
          </w:tcPr>
          <w:p w14:paraId="7C90A08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0.09</w:t>
            </w:r>
          </w:p>
        </w:tc>
        <w:tc>
          <w:tcPr>
            <w:tcW w:w="855" w:type="dxa"/>
            <w:vAlign w:val="center"/>
          </w:tcPr>
          <w:p w14:paraId="7FA495A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 w14:paraId="28F77C4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未检出</w:t>
            </w:r>
          </w:p>
        </w:tc>
        <w:tc>
          <w:tcPr>
            <w:tcW w:w="480" w:type="dxa"/>
            <w:vAlign w:val="center"/>
          </w:tcPr>
          <w:p w14:paraId="287D59D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合格</w:t>
            </w:r>
          </w:p>
        </w:tc>
      </w:tr>
    </w:tbl>
    <w:p w14:paraId="1EBE3993">
      <w:pPr>
        <w:pStyle w:val="2"/>
        <w:tabs>
          <w:tab w:val="left" w:pos="1793"/>
        </w:tabs>
        <w:spacing w:before="44" w:line="369" w:lineRule="auto"/>
        <w:ind w:right="387"/>
        <w:jc w:val="right"/>
        <w:rPr>
          <w:rFonts w:hint="eastAsia"/>
          <w:spacing w:val="4"/>
          <w:lang w:eastAsia="zh-CN"/>
        </w:rPr>
      </w:pPr>
    </w:p>
    <w:p w14:paraId="0EA56302">
      <w:pPr>
        <w:pStyle w:val="2"/>
        <w:tabs>
          <w:tab w:val="left" w:pos="1793"/>
        </w:tabs>
        <w:spacing w:before="44" w:line="369" w:lineRule="auto"/>
        <w:ind w:right="387"/>
        <w:jc w:val="right"/>
        <w:rPr>
          <w:spacing w:val="4"/>
        </w:rPr>
      </w:pPr>
      <w:r>
        <w:rPr>
          <w:rFonts w:hint="eastAsia"/>
          <w:spacing w:val="4"/>
          <w:lang w:eastAsia="zh-CN"/>
        </w:rPr>
        <w:t>该公示信息由保定市徐水区</w:t>
      </w:r>
      <w:r>
        <w:rPr>
          <w:rFonts w:hint="eastAsia"/>
          <w:spacing w:val="4"/>
        </w:rPr>
        <w:t>疾病预防控制中心监测提供</w:t>
      </w:r>
    </w:p>
    <w:sectPr>
      <w:footerReference r:id="rId5" w:type="default"/>
      <w:pgSz w:w="11900" w:h="16830"/>
      <w:pgMar w:top="1430" w:right="914" w:bottom="1096" w:left="885" w:header="0" w:footer="78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05F13">
    <w:pPr>
      <w:spacing w:line="233" w:lineRule="auto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FE1942"/>
    <w:rsid w:val="0156352C"/>
    <w:rsid w:val="02056D00"/>
    <w:rsid w:val="079353C0"/>
    <w:rsid w:val="0BD4058E"/>
    <w:rsid w:val="0F515C7A"/>
    <w:rsid w:val="100462A4"/>
    <w:rsid w:val="173A4AD6"/>
    <w:rsid w:val="1C817B9F"/>
    <w:rsid w:val="203E6DB6"/>
    <w:rsid w:val="250C0222"/>
    <w:rsid w:val="2FC736C3"/>
    <w:rsid w:val="30A8776F"/>
    <w:rsid w:val="32C4213C"/>
    <w:rsid w:val="33A61841"/>
    <w:rsid w:val="35441312"/>
    <w:rsid w:val="3D592732"/>
    <w:rsid w:val="40185875"/>
    <w:rsid w:val="40503261"/>
    <w:rsid w:val="496D6C31"/>
    <w:rsid w:val="49C600F0"/>
    <w:rsid w:val="4C9906F2"/>
    <w:rsid w:val="53462B64"/>
    <w:rsid w:val="543C3DD0"/>
    <w:rsid w:val="70780CE3"/>
    <w:rsid w:val="70A02B99"/>
    <w:rsid w:val="79C36276"/>
    <w:rsid w:val="7A0D5743"/>
    <w:rsid w:val="7ADD3367"/>
    <w:rsid w:val="7CBE4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485</Words>
  <Characters>612</Characters>
  <TotalTime>17</TotalTime>
  <ScaleCrop>false</ScaleCrop>
  <LinksUpToDate>false</LinksUpToDate>
  <CharactersWithSpaces>631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2026-03-18T16:23:00Z</dcterms:created>
  <dc:creator>Administrator</dc:creator>
  <cp:lastModifiedBy> </cp:lastModifiedBy>
  <cp:lastPrinted>2026-03-18T08:49:00Z</cp:lastPrinted>
  <dcterms:modified xsi:type="dcterms:W3CDTF">2026-05-25T02:37:03Z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2026-03-18T16:23:26Z</vt:filetime>
  </property>
  <property fmtid="{D5CDD505-2E9C-101B-9397-08002B2CF9AE}" pid="4" name="UsrData">
    <vt:lpwstr>69ba60fc9aafeb0020279ef1wl</vt:lpwstr>
  </property>
  <property fmtid="{D5CDD505-2E9C-101B-9397-08002B2CF9AE}" pid="5" name="KSOTemplateDocerSaveRecord">
    <vt:lpwstr>eyJoZGlkIjoiYmRkNDY3MmMzMzdhZTAwM2Q5MTdhNjk2YzU0NzM3ZjEiLCJ1c2VySWQiOiI1MTc1MDE3NTUifQ==</vt:lpwstr>
  </property>
  <property fmtid="{D5CDD505-2E9C-101B-9397-08002B2CF9AE}" pid="6" name="KSOProductBuildVer">
    <vt:lpwstr>2052-12.1.0.26375</vt:lpwstr>
  </property>
  <property fmtid="{D5CDD505-2E9C-101B-9397-08002B2CF9AE}" pid="7" name="ICV">
    <vt:lpwstr>C2171993C55F40A79BBAC73F74FBDA27_13</vt:lpwstr>
  </property>
</Properties>
</file>