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2026年单位预算信息公开目录</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16</w:t>
      </w:r>
      <w:r>
        <w:fldChar w:fldCharType="end"/>
      </w:r>
      <w:r>
        <w:fldChar w:fldCharType="end"/>
      </w:r>
    </w:p>
    <w:p>
      <w:pPr>
        <w:pStyle w:val="2"/>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2"/>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2"/>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2"/>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2"/>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pPr>
        <w:pStyle w:val="2"/>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pPr>
        <w:spacing w:before="0" w:after="0" w:line="240" w:lineRule="auto"/>
        <w:ind w:firstLine="0"/>
        <w:jc w:val="center"/>
        <w:outlineLvl w:val="0"/>
        <w:rPr>
          <w:rFonts w:ascii="黑体" w:hAnsi="黑体" w:eastAsia="黑体" w:cs="黑体"/>
          <w:b/>
          <w:color w:val="000000"/>
          <w:sz w:val="44"/>
        </w:rPr>
      </w:pPr>
      <w:r>
        <w:fldChar w:fldCharType="end"/>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255.56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r>
              <w:t>203.67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255.56</w:t>
            </w:r>
          </w:p>
        </w:tc>
        <w:tc>
          <w:tcPr>
            <w:tcW w:w="4535" w:type="dxa"/>
            <w:vAlign w:val="center"/>
          </w:tcPr>
          <w:p>
            <w:pPr>
              <w:pStyle w:val="14"/>
            </w:pPr>
            <w:r>
              <w:t>本年支出合计</w:t>
            </w:r>
          </w:p>
        </w:tc>
        <w:tc>
          <w:tcPr>
            <w:tcW w:w="2126" w:type="dxa"/>
            <w:vAlign w:val="center"/>
          </w:tcPr>
          <w:p>
            <w:pPr>
              <w:pStyle w:val="15"/>
            </w:pPr>
            <w:r>
              <w:t>255.56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255.56</w:t>
            </w:r>
          </w:p>
        </w:tc>
        <w:tc>
          <w:tcPr>
            <w:tcW w:w="4535" w:type="dxa"/>
            <w:vAlign w:val="center"/>
          </w:tcPr>
          <w:p>
            <w:pPr>
              <w:pStyle w:val="14"/>
            </w:pPr>
            <w:r>
              <w:t>支出总计</w:t>
            </w:r>
          </w:p>
        </w:tc>
        <w:tc>
          <w:tcPr>
            <w:tcW w:w="2126" w:type="dxa"/>
            <w:vAlign w:val="center"/>
          </w:tcPr>
          <w:p>
            <w:pPr>
              <w:pStyle w:val="15"/>
            </w:pPr>
            <w:r>
              <w:t>255.56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255.56</w:t>
            </w:r>
          </w:p>
        </w:tc>
        <w:tc>
          <w:tcPr>
            <w:tcW w:w="1134" w:type="dxa"/>
            <w:vAlign w:val="center"/>
          </w:tcPr>
          <w:p>
            <w:pPr>
              <w:pStyle w:val="15"/>
            </w:pPr>
            <w:r>
              <w:t>255.56</w:t>
            </w:r>
          </w:p>
        </w:tc>
        <w:tc>
          <w:tcPr>
            <w:tcW w:w="1134" w:type="dxa"/>
            <w:vAlign w:val="center"/>
          </w:tcPr>
          <w:p>
            <w:pPr>
              <w:pStyle w:val="15"/>
            </w:pPr>
            <w:r>
              <w:t>255.56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9.40</w:t>
            </w:r>
          </w:p>
        </w:tc>
        <w:tc>
          <w:tcPr>
            <w:tcW w:w="1134" w:type="dxa"/>
            <w:vAlign w:val="center"/>
          </w:tcPr>
          <w:p>
            <w:pPr>
              <w:pStyle w:val="11"/>
            </w:pPr>
            <w:r>
              <w:t>9.40</w:t>
            </w:r>
          </w:p>
        </w:tc>
        <w:tc>
          <w:tcPr>
            <w:tcW w:w="1134" w:type="dxa"/>
            <w:vAlign w:val="center"/>
          </w:tcPr>
          <w:p>
            <w:pPr>
              <w:pStyle w:val="11"/>
            </w:pPr>
            <w:r>
              <w:t>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19.60</w:t>
            </w:r>
          </w:p>
        </w:tc>
        <w:tc>
          <w:tcPr>
            <w:tcW w:w="1134" w:type="dxa"/>
            <w:vAlign w:val="center"/>
          </w:tcPr>
          <w:p>
            <w:pPr>
              <w:pStyle w:val="11"/>
            </w:pPr>
            <w:r>
              <w:t>19.60</w:t>
            </w:r>
          </w:p>
        </w:tc>
        <w:tc>
          <w:tcPr>
            <w:tcW w:w="1134" w:type="dxa"/>
            <w:vAlign w:val="center"/>
          </w:tcPr>
          <w:p>
            <w:pPr>
              <w:pStyle w:val="11"/>
            </w:pPr>
            <w:r>
              <w:t>19.60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6.82</w:t>
            </w:r>
          </w:p>
        </w:tc>
        <w:tc>
          <w:tcPr>
            <w:tcW w:w="1134" w:type="dxa"/>
            <w:vAlign w:val="center"/>
          </w:tcPr>
          <w:p>
            <w:pPr>
              <w:pStyle w:val="11"/>
            </w:pPr>
            <w:r>
              <w:t>6.82</w:t>
            </w:r>
          </w:p>
        </w:tc>
        <w:tc>
          <w:tcPr>
            <w:tcW w:w="1134" w:type="dxa"/>
            <w:vAlign w:val="center"/>
          </w:tcPr>
          <w:p>
            <w:pPr>
              <w:pStyle w:val="11"/>
            </w:pPr>
            <w:r>
              <w:t>6.82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6.82</w:t>
            </w:r>
          </w:p>
        </w:tc>
        <w:tc>
          <w:tcPr>
            <w:tcW w:w="1134" w:type="dxa"/>
            <w:vAlign w:val="center"/>
          </w:tcPr>
          <w:p>
            <w:pPr>
              <w:pStyle w:val="11"/>
            </w:pPr>
            <w:r>
              <w:t>6.82</w:t>
            </w:r>
          </w:p>
        </w:tc>
        <w:tc>
          <w:tcPr>
            <w:tcW w:w="1134" w:type="dxa"/>
            <w:vAlign w:val="center"/>
          </w:tcPr>
          <w:p>
            <w:pPr>
              <w:pStyle w:val="11"/>
            </w:pPr>
            <w:r>
              <w:t>6.82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6.82</w:t>
            </w:r>
          </w:p>
        </w:tc>
        <w:tc>
          <w:tcPr>
            <w:tcW w:w="1134" w:type="dxa"/>
            <w:vAlign w:val="center"/>
          </w:tcPr>
          <w:p>
            <w:pPr>
              <w:pStyle w:val="11"/>
            </w:pPr>
            <w:r>
              <w:t>6.82</w:t>
            </w:r>
          </w:p>
        </w:tc>
        <w:tc>
          <w:tcPr>
            <w:tcW w:w="1134" w:type="dxa"/>
            <w:vAlign w:val="center"/>
          </w:tcPr>
          <w:p>
            <w:pPr>
              <w:pStyle w:val="11"/>
            </w:pPr>
            <w:r>
              <w:t>6.82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216</w:t>
            </w:r>
          </w:p>
        </w:tc>
        <w:tc>
          <w:tcPr>
            <w:tcW w:w="1559" w:type="dxa"/>
            <w:vAlign w:val="center"/>
          </w:tcPr>
          <w:p>
            <w:pPr>
              <w:pStyle w:val="12"/>
            </w:pPr>
            <w:r>
              <w:t>商业服务业等支出</w:t>
            </w:r>
          </w:p>
        </w:tc>
        <w:tc>
          <w:tcPr>
            <w:tcW w:w="1134" w:type="dxa"/>
            <w:vAlign w:val="center"/>
          </w:tcPr>
          <w:p>
            <w:pPr>
              <w:pStyle w:val="11"/>
            </w:pPr>
            <w:r>
              <w:t>203.67</w:t>
            </w:r>
          </w:p>
        </w:tc>
        <w:tc>
          <w:tcPr>
            <w:tcW w:w="1134" w:type="dxa"/>
            <w:vAlign w:val="center"/>
          </w:tcPr>
          <w:p>
            <w:pPr>
              <w:pStyle w:val="11"/>
            </w:pPr>
            <w:r>
              <w:t>203.67</w:t>
            </w:r>
          </w:p>
        </w:tc>
        <w:tc>
          <w:tcPr>
            <w:tcW w:w="1134" w:type="dxa"/>
            <w:vAlign w:val="center"/>
          </w:tcPr>
          <w:p>
            <w:pPr>
              <w:pStyle w:val="11"/>
            </w:pPr>
            <w:r>
              <w:t>203.67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21602</w:t>
            </w:r>
          </w:p>
        </w:tc>
        <w:tc>
          <w:tcPr>
            <w:tcW w:w="1559" w:type="dxa"/>
            <w:vAlign w:val="center"/>
          </w:tcPr>
          <w:p>
            <w:pPr>
              <w:pStyle w:val="12"/>
            </w:pPr>
            <w:r>
              <w:t>商业流通事务</w:t>
            </w:r>
          </w:p>
        </w:tc>
        <w:tc>
          <w:tcPr>
            <w:tcW w:w="1134" w:type="dxa"/>
            <w:vAlign w:val="center"/>
          </w:tcPr>
          <w:p>
            <w:pPr>
              <w:pStyle w:val="11"/>
            </w:pPr>
            <w:r>
              <w:t>203.67</w:t>
            </w:r>
          </w:p>
        </w:tc>
        <w:tc>
          <w:tcPr>
            <w:tcW w:w="1134" w:type="dxa"/>
            <w:vAlign w:val="center"/>
          </w:tcPr>
          <w:p>
            <w:pPr>
              <w:pStyle w:val="11"/>
            </w:pPr>
            <w:r>
              <w:t>203.67</w:t>
            </w:r>
          </w:p>
        </w:tc>
        <w:tc>
          <w:tcPr>
            <w:tcW w:w="1134" w:type="dxa"/>
            <w:vAlign w:val="center"/>
          </w:tcPr>
          <w:p>
            <w:pPr>
              <w:pStyle w:val="11"/>
            </w:pPr>
            <w:r>
              <w:t>203.67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2160202</w:t>
            </w:r>
          </w:p>
        </w:tc>
        <w:tc>
          <w:tcPr>
            <w:tcW w:w="1559" w:type="dxa"/>
            <w:vAlign w:val="center"/>
          </w:tcPr>
          <w:p>
            <w:pPr>
              <w:pStyle w:val="12"/>
            </w:pPr>
            <w:r>
              <w:t>一般行政管理事务</w:t>
            </w:r>
          </w:p>
        </w:tc>
        <w:tc>
          <w:tcPr>
            <w:tcW w:w="1134" w:type="dxa"/>
            <w:vAlign w:val="center"/>
          </w:tcPr>
          <w:p>
            <w:pPr>
              <w:pStyle w:val="11"/>
            </w:pPr>
            <w:r>
              <w:t>29.33</w:t>
            </w:r>
          </w:p>
        </w:tc>
        <w:tc>
          <w:tcPr>
            <w:tcW w:w="1134" w:type="dxa"/>
            <w:vAlign w:val="center"/>
          </w:tcPr>
          <w:p>
            <w:pPr>
              <w:pStyle w:val="11"/>
            </w:pPr>
            <w:r>
              <w:t>29.33</w:t>
            </w:r>
          </w:p>
        </w:tc>
        <w:tc>
          <w:tcPr>
            <w:tcW w:w="1134" w:type="dxa"/>
            <w:vAlign w:val="center"/>
          </w:tcPr>
          <w:p>
            <w:pPr>
              <w:pStyle w:val="11"/>
            </w:pPr>
            <w:r>
              <w:t>29.33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2160250</w:t>
            </w:r>
          </w:p>
        </w:tc>
        <w:tc>
          <w:tcPr>
            <w:tcW w:w="1559" w:type="dxa"/>
            <w:vAlign w:val="center"/>
          </w:tcPr>
          <w:p>
            <w:pPr>
              <w:pStyle w:val="12"/>
            </w:pPr>
            <w:r>
              <w:t>事业运行</w:t>
            </w:r>
          </w:p>
        </w:tc>
        <w:tc>
          <w:tcPr>
            <w:tcW w:w="1134" w:type="dxa"/>
            <w:vAlign w:val="center"/>
          </w:tcPr>
          <w:p>
            <w:pPr>
              <w:pStyle w:val="11"/>
            </w:pPr>
            <w:r>
              <w:t>174.33</w:t>
            </w:r>
          </w:p>
        </w:tc>
        <w:tc>
          <w:tcPr>
            <w:tcW w:w="1134" w:type="dxa"/>
            <w:vAlign w:val="center"/>
          </w:tcPr>
          <w:p>
            <w:pPr>
              <w:pStyle w:val="11"/>
            </w:pPr>
            <w:r>
              <w:t>174.33</w:t>
            </w:r>
          </w:p>
        </w:tc>
        <w:tc>
          <w:tcPr>
            <w:tcW w:w="1134" w:type="dxa"/>
            <w:vAlign w:val="center"/>
          </w:tcPr>
          <w:p>
            <w:pPr>
              <w:pStyle w:val="11"/>
            </w:pPr>
            <w:r>
              <w:t>174.33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16.08</w:t>
            </w:r>
          </w:p>
        </w:tc>
        <w:tc>
          <w:tcPr>
            <w:tcW w:w="1134" w:type="dxa"/>
            <w:vAlign w:val="center"/>
          </w:tcPr>
          <w:p>
            <w:pPr>
              <w:pStyle w:val="11"/>
            </w:pPr>
            <w:r>
              <w:t>16.08</w:t>
            </w:r>
          </w:p>
        </w:tc>
        <w:tc>
          <w:tcPr>
            <w:tcW w:w="1134" w:type="dxa"/>
            <w:vAlign w:val="center"/>
          </w:tcPr>
          <w:p>
            <w:pPr>
              <w:pStyle w:val="11"/>
            </w:pPr>
            <w:r>
              <w:t>16.08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16.08</w:t>
            </w:r>
          </w:p>
        </w:tc>
        <w:tc>
          <w:tcPr>
            <w:tcW w:w="1134" w:type="dxa"/>
            <w:vAlign w:val="center"/>
          </w:tcPr>
          <w:p>
            <w:pPr>
              <w:pStyle w:val="11"/>
            </w:pPr>
            <w:r>
              <w:t>16.08</w:t>
            </w:r>
          </w:p>
        </w:tc>
        <w:tc>
          <w:tcPr>
            <w:tcW w:w="1134" w:type="dxa"/>
            <w:vAlign w:val="center"/>
          </w:tcPr>
          <w:p>
            <w:pPr>
              <w:pStyle w:val="11"/>
            </w:pPr>
            <w:r>
              <w:t>16.08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16.08</w:t>
            </w:r>
          </w:p>
        </w:tc>
        <w:tc>
          <w:tcPr>
            <w:tcW w:w="1134" w:type="dxa"/>
            <w:vAlign w:val="center"/>
          </w:tcPr>
          <w:p>
            <w:pPr>
              <w:pStyle w:val="11"/>
            </w:pPr>
            <w:r>
              <w:t>16.08</w:t>
            </w:r>
          </w:p>
        </w:tc>
        <w:tc>
          <w:tcPr>
            <w:tcW w:w="1134" w:type="dxa"/>
            <w:vAlign w:val="center"/>
          </w:tcPr>
          <w:p>
            <w:pPr>
              <w:pStyle w:val="11"/>
            </w:pPr>
            <w:r>
              <w:t>16.08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255.56</w:t>
            </w:r>
          </w:p>
        </w:tc>
        <w:tc>
          <w:tcPr>
            <w:tcW w:w="1361" w:type="dxa"/>
            <w:vAlign w:val="center"/>
          </w:tcPr>
          <w:p>
            <w:pPr>
              <w:pStyle w:val="15"/>
            </w:pPr>
            <w:r>
              <w:t>226.23</w:t>
            </w:r>
          </w:p>
        </w:tc>
        <w:tc>
          <w:tcPr>
            <w:tcW w:w="1361" w:type="dxa"/>
            <w:vAlign w:val="center"/>
          </w:tcPr>
          <w:p>
            <w:pPr>
              <w:pStyle w:val="15"/>
            </w:pPr>
            <w:r>
              <w:t>29.33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29.00</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29.00</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9.40</w:t>
            </w:r>
          </w:p>
        </w:tc>
        <w:tc>
          <w:tcPr>
            <w:tcW w:w="1361" w:type="dxa"/>
            <w:vAlign w:val="center"/>
          </w:tcPr>
          <w:p>
            <w:pPr>
              <w:pStyle w:val="11"/>
            </w:pPr>
            <w:r>
              <w:t>9.40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19.60</w:t>
            </w:r>
          </w:p>
        </w:tc>
        <w:tc>
          <w:tcPr>
            <w:tcW w:w="1361" w:type="dxa"/>
            <w:vAlign w:val="center"/>
          </w:tcPr>
          <w:p>
            <w:pPr>
              <w:pStyle w:val="11"/>
            </w:pPr>
            <w:r>
              <w:t>19.60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6.82</w:t>
            </w:r>
          </w:p>
        </w:tc>
        <w:tc>
          <w:tcPr>
            <w:tcW w:w="1361" w:type="dxa"/>
            <w:vAlign w:val="center"/>
          </w:tcPr>
          <w:p>
            <w:pPr>
              <w:pStyle w:val="11"/>
            </w:pPr>
            <w:r>
              <w:t>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6.82</w:t>
            </w:r>
          </w:p>
        </w:tc>
        <w:tc>
          <w:tcPr>
            <w:tcW w:w="1361" w:type="dxa"/>
            <w:vAlign w:val="center"/>
          </w:tcPr>
          <w:p>
            <w:pPr>
              <w:pStyle w:val="11"/>
            </w:pPr>
            <w:r>
              <w:t>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6.82</w:t>
            </w:r>
          </w:p>
        </w:tc>
        <w:tc>
          <w:tcPr>
            <w:tcW w:w="1361" w:type="dxa"/>
            <w:vAlign w:val="center"/>
          </w:tcPr>
          <w:p>
            <w:pPr>
              <w:pStyle w:val="11"/>
            </w:pPr>
            <w:r>
              <w:t>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216</w:t>
            </w:r>
          </w:p>
        </w:tc>
        <w:tc>
          <w:tcPr>
            <w:tcW w:w="4535" w:type="dxa"/>
            <w:vAlign w:val="center"/>
          </w:tcPr>
          <w:p>
            <w:pPr>
              <w:pStyle w:val="12"/>
            </w:pPr>
            <w:r>
              <w:t>商业服务业等支出</w:t>
            </w:r>
          </w:p>
        </w:tc>
        <w:tc>
          <w:tcPr>
            <w:tcW w:w="1361" w:type="dxa"/>
            <w:vAlign w:val="center"/>
          </w:tcPr>
          <w:p>
            <w:pPr>
              <w:pStyle w:val="11"/>
            </w:pPr>
            <w:r>
              <w:t>203.67</w:t>
            </w:r>
          </w:p>
        </w:tc>
        <w:tc>
          <w:tcPr>
            <w:tcW w:w="1361" w:type="dxa"/>
            <w:vAlign w:val="center"/>
          </w:tcPr>
          <w:p>
            <w:pPr>
              <w:pStyle w:val="11"/>
            </w:pPr>
            <w:r>
              <w:t>174.33</w:t>
            </w:r>
          </w:p>
        </w:tc>
        <w:tc>
          <w:tcPr>
            <w:tcW w:w="1361" w:type="dxa"/>
            <w:vAlign w:val="center"/>
          </w:tcPr>
          <w:p>
            <w:pPr>
              <w:pStyle w:val="11"/>
            </w:pPr>
            <w:r>
              <w:t>29.33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21602</w:t>
            </w:r>
          </w:p>
        </w:tc>
        <w:tc>
          <w:tcPr>
            <w:tcW w:w="4535" w:type="dxa"/>
            <w:vAlign w:val="center"/>
          </w:tcPr>
          <w:p>
            <w:pPr>
              <w:pStyle w:val="12"/>
            </w:pPr>
            <w:r>
              <w:t>商业流通事务</w:t>
            </w:r>
          </w:p>
        </w:tc>
        <w:tc>
          <w:tcPr>
            <w:tcW w:w="1361" w:type="dxa"/>
            <w:vAlign w:val="center"/>
          </w:tcPr>
          <w:p>
            <w:pPr>
              <w:pStyle w:val="11"/>
            </w:pPr>
            <w:r>
              <w:t>203.67</w:t>
            </w:r>
          </w:p>
        </w:tc>
        <w:tc>
          <w:tcPr>
            <w:tcW w:w="1361" w:type="dxa"/>
            <w:vAlign w:val="center"/>
          </w:tcPr>
          <w:p>
            <w:pPr>
              <w:pStyle w:val="11"/>
            </w:pPr>
            <w:r>
              <w:t>174.33</w:t>
            </w:r>
          </w:p>
        </w:tc>
        <w:tc>
          <w:tcPr>
            <w:tcW w:w="1361" w:type="dxa"/>
            <w:vAlign w:val="center"/>
          </w:tcPr>
          <w:p>
            <w:pPr>
              <w:pStyle w:val="11"/>
            </w:pPr>
            <w:r>
              <w:t>29.33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2160202</w:t>
            </w:r>
          </w:p>
        </w:tc>
        <w:tc>
          <w:tcPr>
            <w:tcW w:w="4535" w:type="dxa"/>
            <w:vAlign w:val="center"/>
          </w:tcPr>
          <w:p>
            <w:pPr>
              <w:pStyle w:val="12"/>
            </w:pPr>
            <w:r>
              <w:t>一般行政管理事务</w:t>
            </w:r>
          </w:p>
        </w:tc>
        <w:tc>
          <w:tcPr>
            <w:tcW w:w="1361" w:type="dxa"/>
            <w:vAlign w:val="center"/>
          </w:tcPr>
          <w:p>
            <w:pPr>
              <w:pStyle w:val="11"/>
            </w:pPr>
            <w:r>
              <w:t>29.33</w:t>
            </w:r>
          </w:p>
        </w:tc>
        <w:tc>
          <w:tcPr>
            <w:tcW w:w="1361" w:type="dxa"/>
            <w:vAlign w:val="center"/>
          </w:tcPr>
          <w:p>
            <w:pPr>
              <w:pStyle w:val="11"/>
            </w:pPr>
          </w:p>
        </w:tc>
        <w:tc>
          <w:tcPr>
            <w:tcW w:w="1361" w:type="dxa"/>
            <w:vAlign w:val="center"/>
          </w:tcPr>
          <w:p>
            <w:pPr>
              <w:pStyle w:val="11"/>
            </w:pPr>
            <w:r>
              <w:t>29.33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2160250</w:t>
            </w:r>
          </w:p>
        </w:tc>
        <w:tc>
          <w:tcPr>
            <w:tcW w:w="4535" w:type="dxa"/>
            <w:vAlign w:val="center"/>
          </w:tcPr>
          <w:p>
            <w:pPr>
              <w:pStyle w:val="12"/>
            </w:pPr>
            <w:r>
              <w:t>事业运行</w:t>
            </w:r>
          </w:p>
        </w:tc>
        <w:tc>
          <w:tcPr>
            <w:tcW w:w="1361" w:type="dxa"/>
            <w:vAlign w:val="center"/>
          </w:tcPr>
          <w:p>
            <w:pPr>
              <w:pStyle w:val="11"/>
            </w:pPr>
            <w:r>
              <w:t>174.33</w:t>
            </w:r>
          </w:p>
        </w:tc>
        <w:tc>
          <w:tcPr>
            <w:tcW w:w="1361" w:type="dxa"/>
            <w:vAlign w:val="center"/>
          </w:tcPr>
          <w:p>
            <w:pPr>
              <w:pStyle w:val="11"/>
            </w:pPr>
            <w:r>
              <w:t>174.33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16.08</w:t>
            </w:r>
          </w:p>
        </w:tc>
        <w:tc>
          <w:tcPr>
            <w:tcW w:w="1361" w:type="dxa"/>
            <w:vAlign w:val="center"/>
          </w:tcPr>
          <w:p>
            <w:pPr>
              <w:pStyle w:val="11"/>
            </w:pPr>
            <w:r>
              <w:t>16.08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16.08</w:t>
            </w:r>
          </w:p>
        </w:tc>
        <w:tc>
          <w:tcPr>
            <w:tcW w:w="1361" w:type="dxa"/>
            <w:vAlign w:val="center"/>
          </w:tcPr>
          <w:p>
            <w:pPr>
              <w:pStyle w:val="11"/>
            </w:pPr>
            <w:r>
              <w:t>16.08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16.08</w:t>
            </w:r>
          </w:p>
        </w:tc>
        <w:tc>
          <w:tcPr>
            <w:tcW w:w="1361" w:type="dxa"/>
            <w:vAlign w:val="center"/>
          </w:tcPr>
          <w:p>
            <w:pPr>
              <w:pStyle w:val="11"/>
            </w:pPr>
            <w:r>
              <w:t>16.08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255.56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29.00</w:t>
            </w:r>
          </w:p>
        </w:tc>
        <w:tc>
          <w:tcPr>
            <w:tcW w:w="1474" w:type="dxa"/>
            <w:vAlign w:val="center"/>
          </w:tcPr>
          <w:p>
            <w:pPr>
              <w:pStyle w:val="11"/>
            </w:pPr>
            <w:r>
              <w:t>29.00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6.82</w:t>
            </w:r>
          </w:p>
        </w:tc>
        <w:tc>
          <w:tcPr>
            <w:tcW w:w="1474" w:type="dxa"/>
            <w:vAlign w:val="center"/>
          </w:tcPr>
          <w:p>
            <w:pPr>
              <w:pStyle w:val="11"/>
            </w:pPr>
            <w:r>
              <w:t>6.82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r>
              <w:t>203.67</w:t>
            </w:r>
          </w:p>
        </w:tc>
        <w:tc>
          <w:tcPr>
            <w:tcW w:w="1474" w:type="dxa"/>
            <w:vAlign w:val="center"/>
          </w:tcPr>
          <w:p>
            <w:pPr>
              <w:pStyle w:val="11"/>
            </w:pPr>
            <w:r>
              <w:t>203.67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16.08</w:t>
            </w:r>
          </w:p>
        </w:tc>
        <w:tc>
          <w:tcPr>
            <w:tcW w:w="1474" w:type="dxa"/>
            <w:vAlign w:val="center"/>
          </w:tcPr>
          <w:p>
            <w:pPr>
              <w:pStyle w:val="11"/>
            </w:pPr>
            <w:r>
              <w:t>16.08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255.56</w:t>
            </w:r>
          </w:p>
        </w:tc>
        <w:tc>
          <w:tcPr>
            <w:tcW w:w="3402" w:type="dxa"/>
            <w:vAlign w:val="center"/>
          </w:tcPr>
          <w:p>
            <w:pPr>
              <w:pStyle w:val="14"/>
            </w:pPr>
            <w:r>
              <w:t>本年支出合计</w:t>
            </w:r>
          </w:p>
        </w:tc>
        <w:tc>
          <w:tcPr>
            <w:tcW w:w="1474" w:type="dxa"/>
            <w:vAlign w:val="center"/>
          </w:tcPr>
          <w:p>
            <w:pPr>
              <w:pStyle w:val="15"/>
            </w:pPr>
            <w:r>
              <w:t>255.56</w:t>
            </w:r>
          </w:p>
        </w:tc>
        <w:tc>
          <w:tcPr>
            <w:tcW w:w="1474" w:type="dxa"/>
            <w:vAlign w:val="center"/>
          </w:tcPr>
          <w:p>
            <w:pPr>
              <w:pStyle w:val="15"/>
            </w:pPr>
            <w:r>
              <w:t>255.56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255.56</w:t>
            </w:r>
          </w:p>
        </w:tc>
        <w:tc>
          <w:tcPr>
            <w:tcW w:w="3402" w:type="dxa"/>
            <w:vAlign w:val="center"/>
          </w:tcPr>
          <w:p>
            <w:pPr>
              <w:pStyle w:val="14"/>
            </w:pPr>
            <w:r>
              <w:t>支出总计</w:t>
            </w:r>
          </w:p>
        </w:tc>
        <w:tc>
          <w:tcPr>
            <w:tcW w:w="1474" w:type="dxa"/>
            <w:vAlign w:val="center"/>
          </w:tcPr>
          <w:p>
            <w:pPr>
              <w:pStyle w:val="15"/>
            </w:pPr>
            <w:r>
              <w:t>255.56</w:t>
            </w:r>
          </w:p>
        </w:tc>
        <w:tc>
          <w:tcPr>
            <w:tcW w:w="1474" w:type="dxa"/>
            <w:vAlign w:val="center"/>
          </w:tcPr>
          <w:p>
            <w:pPr>
              <w:pStyle w:val="15"/>
            </w:pPr>
            <w:r>
              <w:t>255.56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255.56</w:t>
            </w:r>
          </w:p>
        </w:tc>
        <w:tc>
          <w:tcPr>
            <w:tcW w:w="2551" w:type="dxa"/>
            <w:vAlign w:val="center"/>
          </w:tcPr>
          <w:p>
            <w:pPr>
              <w:pStyle w:val="15"/>
            </w:pPr>
            <w:r>
              <w:t>226.23</w:t>
            </w:r>
          </w:p>
        </w:tc>
        <w:tc>
          <w:tcPr>
            <w:tcW w:w="2551" w:type="dxa"/>
            <w:vAlign w:val="center"/>
          </w:tcPr>
          <w:p>
            <w:pPr>
              <w:pStyle w:val="15"/>
            </w:pPr>
            <w:r>
              <w:t>29.33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29.00</w:t>
            </w:r>
          </w:p>
        </w:tc>
        <w:tc>
          <w:tcPr>
            <w:tcW w:w="2551" w:type="dxa"/>
            <w:vAlign w:val="center"/>
          </w:tcPr>
          <w:p>
            <w:pPr>
              <w:pStyle w:val="11"/>
            </w:pPr>
            <w:r>
              <w:t>29.00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29.00</w:t>
            </w:r>
          </w:p>
        </w:tc>
        <w:tc>
          <w:tcPr>
            <w:tcW w:w="2551" w:type="dxa"/>
            <w:vAlign w:val="center"/>
          </w:tcPr>
          <w:p>
            <w:pPr>
              <w:pStyle w:val="11"/>
            </w:pPr>
            <w:r>
              <w:t>29.00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9.40</w:t>
            </w:r>
          </w:p>
        </w:tc>
        <w:tc>
          <w:tcPr>
            <w:tcW w:w="2551" w:type="dxa"/>
            <w:vAlign w:val="center"/>
          </w:tcPr>
          <w:p>
            <w:pPr>
              <w:pStyle w:val="11"/>
            </w:pPr>
            <w:r>
              <w:t>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19.60</w:t>
            </w:r>
          </w:p>
        </w:tc>
        <w:tc>
          <w:tcPr>
            <w:tcW w:w="2551" w:type="dxa"/>
            <w:vAlign w:val="center"/>
          </w:tcPr>
          <w:p>
            <w:pPr>
              <w:pStyle w:val="11"/>
            </w:pPr>
            <w:r>
              <w:t>19.60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6.82</w:t>
            </w:r>
          </w:p>
        </w:tc>
        <w:tc>
          <w:tcPr>
            <w:tcW w:w="2551" w:type="dxa"/>
            <w:vAlign w:val="center"/>
          </w:tcPr>
          <w:p>
            <w:pPr>
              <w:pStyle w:val="11"/>
            </w:pPr>
            <w:r>
              <w:t>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6.82</w:t>
            </w:r>
          </w:p>
        </w:tc>
        <w:tc>
          <w:tcPr>
            <w:tcW w:w="2551" w:type="dxa"/>
            <w:vAlign w:val="center"/>
          </w:tcPr>
          <w:p>
            <w:pPr>
              <w:pStyle w:val="11"/>
            </w:pPr>
            <w:r>
              <w:t>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6.82</w:t>
            </w:r>
          </w:p>
        </w:tc>
        <w:tc>
          <w:tcPr>
            <w:tcW w:w="2551" w:type="dxa"/>
            <w:vAlign w:val="center"/>
          </w:tcPr>
          <w:p>
            <w:pPr>
              <w:pStyle w:val="11"/>
            </w:pPr>
            <w:r>
              <w:t>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216</w:t>
            </w:r>
          </w:p>
        </w:tc>
        <w:tc>
          <w:tcPr>
            <w:tcW w:w="4535" w:type="dxa"/>
            <w:vAlign w:val="center"/>
          </w:tcPr>
          <w:p>
            <w:pPr>
              <w:pStyle w:val="12"/>
            </w:pPr>
            <w:r>
              <w:t>商业服务业等支出</w:t>
            </w:r>
          </w:p>
        </w:tc>
        <w:tc>
          <w:tcPr>
            <w:tcW w:w="2551" w:type="dxa"/>
            <w:vAlign w:val="center"/>
          </w:tcPr>
          <w:p>
            <w:pPr>
              <w:pStyle w:val="11"/>
            </w:pPr>
            <w:r>
              <w:t>203.67</w:t>
            </w:r>
          </w:p>
        </w:tc>
        <w:tc>
          <w:tcPr>
            <w:tcW w:w="2551" w:type="dxa"/>
            <w:vAlign w:val="center"/>
          </w:tcPr>
          <w:p>
            <w:pPr>
              <w:pStyle w:val="11"/>
            </w:pPr>
            <w:r>
              <w:t>174.33</w:t>
            </w:r>
          </w:p>
        </w:tc>
        <w:tc>
          <w:tcPr>
            <w:tcW w:w="2551" w:type="dxa"/>
            <w:vAlign w:val="center"/>
          </w:tcPr>
          <w:p>
            <w:pPr>
              <w:pStyle w:val="11"/>
            </w:pPr>
            <w:r>
              <w:t>29.33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21602</w:t>
            </w:r>
          </w:p>
        </w:tc>
        <w:tc>
          <w:tcPr>
            <w:tcW w:w="4535" w:type="dxa"/>
            <w:vAlign w:val="center"/>
          </w:tcPr>
          <w:p>
            <w:pPr>
              <w:pStyle w:val="12"/>
            </w:pPr>
            <w:r>
              <w:t>商业流通事务</w:t>
            </w:r>
          </w:p>
        </w:tc>
        <w:tc>
          <w:tcPr>
            <w:tcW w:w="2551" w:type="dxa"/>
            <w:vAlign w:val="center"/>
          </w:tcPr>
          <w:p>
            <w:pPr>
              <w:pStyle w:val="11"/>
            </w:pPr>
            <w:r>
              <w:t>203.67</w:t>
            </w:r>
          </w:p>
        </w:tc>
        <w:tc>
          <w:tcPr>
            <w:tcW w:w="2551" w:type="dxa"/>
            <w:vAlign w:val="center"/>
          </w:tcPr>
          <w:p>
            <w:pPr>
              <w:pStyle w:val="11"/>
            </w:pPr>
            <w:r>
              <w:t>174.33</w:t>
            </w:r>
          </w:p>
        </w:tc>
        <w:tc>
          <w:tcPr>
            <w:tcW w:w="2551" w:type="dxa"/>
            <w:vAlign w:val="center"/>
          </w:tcPr>
          <w:p>
            <w:pPr>
              <w:pStyle w:val="11"/>
            </w:pPr>
            <w:r>
              <w:t>29.33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2160202</w:t>
            </w:r>
          </w:p>
        </w:tc>
        <w:tc>
          <w:tcPr>
            <w:tcW w:w="4535" w:type="dxa"/>
            <w:vAlign w:val="center"/>
          </w:tcPr>
          <w:p>
            <w:pPr>
              <w:pStyle w:val="12"/>
            </w:pPr>
            <w:r>
              <w:t>一般行政管理事务</w:t>
            </w:r>
          </w:p>
        </w:tc>
        <w:tc>
          <w:tcPr>
            <w:tcW w:w="2551" w:type="dxa"/>
            <w:vAlign w:val="center"/>
          </w:tcPr>
          <w:p>
            <w:pPr>
              <w:pStyle w:val="11"/>
            </w:pPr>
            <w:r>
              <w:t>29.33</w:t>
            </w:r>
          </w:p>
        </w:tc>
        <w:tc>
          <w:tcPr>
            <w:tcW w:w="2551" w:type="dxa"/>
            <w:vAlign w:val="center"/>
          </w:tcPr>
          <w:p>
            <w:pPr>
              <w:pStyle w:val="11"/>
            </w:pPr>
          </w:p>
        </w:tc>
        <w:tc>
          <w:tcPr>
            <w:tcW w:w="2551" w:type="dxa"/>
            <w:vAlign w:val="center"/>
          </w:tcPr>
          <w:p>
            <w:pPr>
              <w:pStyle w:val="11"/>
            </w:pPr>
            <w:r>
              <w:t>29.33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2160250</w:t>
            </w:r>
          </w:p>
        </w:tc>
        <w:tc>
          <w:tcPr>
            <w:tcW w:w="4535" w:type="dxa"/>
            <w:vAlign w:val="center"/>
          </w:tcPr>
          <w:p>
            <w:pPr>
              <w:pStyle w:val="12"/>
            </w:pPr>
            <w:r>
              <w:t>事业运行</w:t>
            </w:r>
          </w:p>
        </w:tc>
        <w:tc>
          <w:tcPr>
            <w:tcW w:w="2551" w:type="dxa"/>
            <w:vAlign w:val="center"/>
          </w:tcPr>
          <w:p>
            <w:pPr>
              <w:pStyle w:val="11"/>
            </w:pPr>
            <w:r>
              <w:t>174.33</w:t>
            </w:r>
          </w:p>
        </w:tc>
        <w:tc>
          <w:tcPr>
            <w:tcW w:w="2551" w:type="dxa"/>
            <w:vAlign w:val="center"/>
          </w:tcPr>
          <w:p>
            <w:pPr>
              <w:pStyle w:val="11"/>
            </w:pPr>
            <w:r>
              <w:t>174.33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16.08</w:t>
            </w:r>
          </w:p>
        </w:tc>
        <w:tc>
          <w:tcPr>
            <w:tcW w:w="2551" w:type="dxa"/>
            <w:vAlign w:val="center"/>
          </w:tcPr>
          <w:p>
            <w:pPr>
              <w:pStyle w:val="11"/>
            </w:pPr>
            <w:r>
              <w:t>16.08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16.08</w:t>
            </w:r>
          </w:p>
        </w:tc>
        <w:tc>
          <w:tcPr>
            <w:tcW w:w="2551" w:type="dxa"/>
            <w:vAlign w:val="center"/>
          </w:tcPr>
          <w:p>
            <w:pPr>
              <w:pStyle w:val="11"/>
            </w:pPr>
            <w:r>
              <w:t>16.08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16.08</w:t>
            </w:r>
          </w:p>
        </w:tc>
        <w:tc>
          <w:tcPr>
            <w:tcW w:w="2551" w:type="dxa"/>
            <w:vAlign w:val="center"/>
          </w:tcPr>
          <w:p>
            <w:pPr>
              <w:pStyle w:val="11"/>
            </w:pPr>
            <w:r>
              <w:t>16.08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226.23</w:t>
            </w:r>
          </w:p>
        </w:tc>
        <w:tc>
          <w:tcPr>
            <w:tcW w:w="2551" w:type="dxa"/>
            <w:vAlign w:val="center"/>
          </w:tcPr>
          <w:p>
            <w:pPr>
              <w:pStyle w:val="15"/>
            </w:pPr>
            <w:r>
              <w:t>210.40</w:t>
            </w:r>
          </w:p>
        </w:tc>
        <w:tc>
          <w:tcPr>
            <w:tcW w:w="2551" w:type="dxa"/>
            <w:vAlign w:val="center"/>
          </w:tcPr>
          <w:p>
            <w:pPr>
              <w:pStyle w:val="15"/>
            </w:pPr>
            <w:r>
              <w:t>15.83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201.27</w:t>
            </w:r>
          </w:p>
        </w:tc>
        <w:tc>
          <w:tcPr>
            <w:tcW w:w="2551" w:type="dxa"/>
            <w:vAlign w:val="center"/>
          </w:tcPr>
          <w:p>
            <w:pPr>
              <w:pStyle w:val="11"/>
            </w:pPr>
            <w:r>
              <w:t>201.27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70.40</w:t>
            </w:r>
          </w:p>
        </w:tc>
        <w:tc>
          <w:tcPr>
            <w:tcW w:w="2551" w:type="dxa"/>
            <w:vAlign w:val="center"/>
          </w:tcPr>
          <w:p>
            <w:pPr>
              <w:pStyle w:val="11"/>
            </w:pPr>
            <w:r>
              <w:t>70.40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11.13</w:t>
            </w:r>
          </w:p>
        </w:tc>
        <w:tc>
          <w:tcPr>
            <w:tcW w:w="2551" w:type="dxa"/>
            <w:vAlign w:val="center"/>
          </w:tcPr>
          <w:p>
            <w:pPr>
              <w:pStyle w:val="11"/>
            </w:pPr>
            <w:r>
              <w:t>11.13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76.04</w:t>
            </w:r>
          </w:p>
        </w:tc>
        <w:tc>
          <w:tcPr>
            <w:tcW w:w="2551" w:type="dxa"/>
            <w:vAlign w:val="center"/>
          </w:tcPr>
          <w:p>
            <w:pPr>
              <w:pStyle w:val="11"/>
            </w:pPr>
            <w:r>
              <w:t>76.04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19.60</w:t>
            </w:r>
          </w:p>
        </w:tc>
        <w:tc>
          <w:tcPr>
            <w:tcW w:w="2551" w:type="dxa"/>
            <w:vAlign w:val="center"/>
          </w:tcPr>
          <w:p>
            <w:pPr>
              <w:pStyle w:val="11"/>
            </w:pPr>
            <w:r>
              <w:t>19.60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6.82</w:t>
            </w:r>
          </w:p>
        </w:tc>
        <w:tc>
          <w:tcPr>
            <w:tcW w:w="2551" w:type="dxa"/>
            <w:vAlign w:val="center"/>
          </w:tcPr>
          <w:p>
            <w:pPr>
              <w:pStyle w:val="11"/>
            </w:pPr>
            <w:r>
              <w:t>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1.20</w:t>
            </w:r>
          </w:p>
        </w:tc>
        <w:tc>
          <w:tcPr>
            <w:tcW w:w="2551" w:type="dxa"/>
            <w:vAlign w:val="center"/>
          </w:tcPr>
          <w:p>
            <w:pPr>
              <w:pStyle w:val="11"/>
            </w:pPr>
            <w:r>
              <w:t>1.20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16.08</w:t>
            </w:r>
          </w:p>
        </w:tc>
        <w:tc>
          <w:tcPr>
            <w:tcW w:w="2551" w:type="dxa"/>
            <w:vAlign w:val="center"/>
          </w:tcPr>
          <w:p>
            <w:pPr>
              <w:pStyle w:val="11"/>
            </w:pPr>
            <w:r>
              <w:t>16.08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15.83</w:t>
            </w:r>
          </w:p>
        </w:tc>
        <w:tc>
          <w:tcPr>
            <w:tcW w:w="2551" w:type="dxa"/>
            <w:vAlign w:val="center"/>
          </w:tcPr>
          <w:p>
            <w:pPr>
              <w:pStyle w:val="11"/>
            </w:pPr>
          </w:p>
        </w:tc>
        <w:tc>
          <w:tcPr>
            <w:tcW w:w="2551" w:type="dxa"/>
            <w:vAlign w:val="center"/>
          </w:tcPr>
          <w:p>
            <w:pPr>
              <w:pStyle w:val="11"/>
            </w:pPr>
            <w:r>
              <w:t>15.83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4.21</w:t>
            </w:r>
          </w:p>
        </w:tc>
        <w:tc>
          <w:tcPr>
            <w:tcW w:w="2551" w:type="dxa"/>
            <w:vAlign w:val="center"/>
          </w:tcPr>
          <w:p>
            <w:pPr>
              <w:pStyle w:val="11"/>
            </w:pPr>
          </w:p>
        </w:tc>
        <w:tc>
          <w:tcPr>
            <w:tcW w:w="2551" w:type="dxa"/>
            <w:vAlign w:val="center"/>
          </w:tcPr>
          <w:p>
            <w:pPr>
              <w:pStyle w:val="11"/>
            </w:pPr>
            <w:r>
              <w:t>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4.47</w:t>
            </w:r>
          </w:p>
        </w:tc>
        <w:tc>
          <w:tcPr>
            <w:tcW w:w="2551" w:type="dxa"/>
            <w:vAlign w:val="center"/>
          </w:tcPr>
          <w:p>
            <w:pPr>
              <w:pStyle w:val="11"/>
            </w:pPr>
          </w:p>
        </w:tc>
        <w:tc>
          <w:tcPr>
            <w:tcW w:w="2551" w:type="dxa"/>
            <w:vAlign w:val="center"/>
          </w:tcPr>
          <w:p>
            <w:pPr>
              <w:pStyle w:val="11"/>
            </w:pPr>
            <w:r>
              <w:t>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2.01</w:t>
            </w:r>
          </w:p>
        </w:tc>
        <w:tc>
          <w:tcPr>
            <w:tcW w:w="2551" w:type="dxa"/>
            <w:vAlign w:val="center"/>
          </w:tcPr>
          <w:p>
            <w:pPr>
              <w:pStyle w:val="11"/>
            </w:pPr>
          </w:p>
        </w:tc>
        <w:tc>
          <w:tcPr>
            <w:tcW w:w="2551" w:type="dxa"/>
            <w:vAlign w:val="center"/>
          </w:tcPr>
          <w:p>
            <w:pPr>
              <w:pStyle w:val="11"/>
            </w:pPr>
            <w:r>
              <w:t>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2.79</w:t>
            </w:r>
          </w:p>
        </w:tc>
        <w:tc>
          <w:tcPr>
            <w:tcW w:w="2551" w:type="dxa"/>
            <w:vAlign w:val="center"/>
          </w:tcPr>
          <w:p>
            <w:pPr>
              <w:pStyle w:val="11"/>
            </w:pPr>
          </w:p>
        </w:tc>
        <w:tc>
          <w:tcPr>
            <w:tcW w:w="2551" w:type="dxa"/>
            <w:vAlign w:val="center"/>
          </w:tcPr>
          <w:p>
            <w:pPr>
              <w:pStyle w:val="11"/>
            </w:pPr>
            <w:r>
              <w:t>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9.13</w:t>
            </w:r>
          </w:p>
        </w:tc>
        <w:tc>
          <w:tcPr>
            <w:tcW w:w="2551" w:type="dxa"/>
            <w:vAlign w:val="center"/>
          </w:tcPr>
          <w:p>
            <w:pPr>
              <w:pStyle w:val="11"/>
            </w:pPr>
            <w:r>
              <w:t>9.13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9.13</w:t>
            </w:r>
          </w:p>
        </w:tc>
        <w:tc>
          <w:tcPr>
            <w:tcW w:w="2551" w:type="dxa"/>
            <w:vAlign w:val="center"/>
          </w:tcPr>
          <w:p>
            <w:pPr>
              <w:pStyle w:val="11"/>
            </w:pPr>
            <w:r>
              <w:t>9.13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2.35</w:t>
            </w:r>
          </w:p>
        </w:tc>
        <w:tc>
          <w:tcPr>
            <w:tcW w:w="2381" w:type="dxa"/>
            <w:vAlign w:val="center"/>
          </w:tcPr>
          <w:p>
            <w:pPr>
              <w:pStyle w:val="15"/>
            </w:pPr>
            <w:r>
              <w:t>2.35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保定市徐水区供销合作社本级2026年单位预算信息公开情况说明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按照《中华人民共和国预算法》、《地方预决算公开操作规程》和《关于进一步推进预算公开工作的实施意见》规定，现将保定市徐水区供销合作社本级2026年单位预算公开如下：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根据《中共保定市徐水区委机构编制委员会关于区供销合作社机关编制有关事宜的通知》，徐水区供销合作社的主要职责是：</w:t>
      </w:r>
    </w:p>
    <w:p>
      <w:pPr>
        <w:pStyle w:val="17"/>
      </w:pPr>
      <w:r>
        <w:t>（一）贯彻党中央、国务院、省委、省政府、上级供销社和区委、区政府有关农村工作和社会发展的方针、政策，制订全市供销合作社的发展战略和发展规划，指导全区供销合作社的改革与发展。</w:t>
      </w:r>
    </w:p>
    <w:p>
      <w:pPr>
        <w:pStyle w:val="17"/>
      </w:pPr>
      <w:r>
        <w:t>（二）维护供销合作社章程赋予的合法权益，反映成员社的呼声和建议，协调与政府部门、社会组织的关系，参与和推动有关地方性法规和规章的制定 ，促进合作经济的发展。</w:t>
      </w:r>
    </w:p>
    <w:p>
      <w:pPr>
        <w:pStyle w:val="17"/>
      </w:pPr>
      <w:r>
        <w:t>（三）按照市政府授权，对重要农业生产资料、农副产品和再生资源食盐储备经营工作进行组织、协调、管理。</w:t>
      </w:r>
    </w:p>
    <w:p>
      <w:pPr>
        <w:pStyle w:val="17"/>
      </w:pPr>
      <w:r>
        <w:t>（四）受政府委托，协助有关部门，共同做好农民合作经济组织的指导、服务、协调工作。组织领办各类农民合作经济组织，指导农民合作社和其他新型农民经营主体开展联合合作协调工作。</w:t>
      </w:r>
    </w:p>
    <w:p>
      <w:pPr>
        <w:pStyle w:val="17"/>
      </w:pPr>
      <w:r>
        <w:t>（五）按照有关规定，组织研究创建以供销合作社为主导的农村合作金融、小额贷款、农信担保、农业保险、农村产权交易等支撑的涉农金融服务体系，加强风险管控，稳步促进农村合作金融健康发展。</w:t>
      </w:r>
    </w:p>
    <w:p>
      <w:pPr>
        <w:pStyle w:val="17"/>
      </w:pPr>
      <w:r>
        <w:t>（六）承办区委、区政府交办的其它事项。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保定市徐水区供销合作社本级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255.56万元，其中：一般公共预算收入255.56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供销合作社本级年度单位预算中支出预算的总体情况。2026年支出预算255.56万元，其中基本支出226.23万元，包括人员经费210.40万元和日常公用经费15.83万元；项目支出29.33万元，主要为产权交易中心人员经费、劳务派遣人员经费；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2026年预算收支安排255.56万元，较2025年预算增加59.28万元，其中：基本支出增加59.21万元，主要为单位存在调入人员项目支出增加0.07万元，主要为独生子女费。预计下年使用的单位资金结余增加0.00万元。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2026年，我单位机关运行经费共计安排15.83万元，主要用于日常维修、办公用房水电费、办公用房取暖费、办公用房物业管理费等日常运行支出。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2.35万元，其中因公出国（境）费0.00万元；公务用车购置及运维费2.35万元（其中：公务用车购置费为0.00万元，公务用车运维费2.35万元)；公务接待费0.00万元。与2025年相比减少0.08万元，增减变化的主要原因是无公务接待</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1、2026年保定市徐水区供销合作社劳务派遣人员经费绩效目标表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13062526P000232102174</w:t>
            </w:r>
          </w:p>
        </w:tc>
        <w:tc>
          <w:tcPr>
            <w:tcW w:w="2835" w:type="dxa"/>
            <w:vAlign w:val="center"/>
          </w:tcPr>
          <w:p>
            <w:pPr>
              <w:pStyle w:val="10"/>
            </w:pPr>
            <w:r>
              <w:t>项目名称</w:t>
            </w:r>
          </w:p>
        </w:tc>
        <w:tc>
          <w:tcPr>
            <w:tcW w:w="6095" w:type="dxa"/>
            <w:gridSpan w:val="3"/>
            <w:vAlign w:val="center"/>
          </w:tcPr>
          <w:p>
            <w:pPr>
              <w:pStyle w:val="12"/>
            </w:pPr>
            <w:r>
              <w:t>2026年保定市徐水区供销合作社劳务派遣人员经费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2026年劳务派遣人员工资福利费用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1.保障区供销社劳务派遣工作人员经费2名工作人员工作正常运转</w:t>
            </w:r>
          </w:p>
          <w:p>
            <w:pPr>
              <w:pStyle w:val="12"/>
            </w:pPr>
            <w:r>
              <w:t>2.保障区供销社劳务派遣工作人员经费2名工作人员工资福利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保障工作人员数量</w:t>
            </w:r>
          </w:p>
        </w:tc>
        <w:tc>
          <w:tcPr>
            <w:tcW w:w="5386" w:type="dxa"/>
            <w:vAlign w:val="center"/>
          </w:tcPr>
          <w:p>
            <w:pPr>
              <w:pStyle w:val="12"/>
            </w:pPr>
            <w:r>
              <w:t>保障劳务派遣工作人员数量</w:t>
            </w:r>
          </w:p>
        </w:tc>
        <w:tc>
          <w:tcPr>
            <w:tcW w:w="2268" w:type="dxa"/>
            <w:vAlign w:val="center"/>
          </w:tcPr>
          <w:p>
            <w:pPr>
              <w:pStyle w:val="12"/>
            </w:pPr>
            <w:r>
              <w:t>2次</w:t>
            </w:r>
          </w:p>
        </w:tc>
        <w:tc>
          <w:tcPr>
            <w:tcW w:w="1276" w:type="dxa"/>
            <w:vAlign w:val="center"/>
          </w:tcPr>
          <w:p>
            <w:pPr>
              <w:pStyle w:val="12"/>
            </w:pPr>
            <w:r>
              <w:t>根据劳务派遣协议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劳务派遣2名工作人员劳务费和保险费发放准确率</w:t>
            </w:r>
          </w:p>
        </w:tc>
        <w:tc>
          <w:tcPr>
            <w:tcW w:w="2268" w:type="dxa"/>
            <w:vAlign w:val="center"/>
          </w:tcPr>
          <w:p>
            <w:pPr>
              <w:pStyle w:val="12"/>
            </w:pPr>
            <w:r>
              <w:t>≥95%</w:t>
            </w:r>
          </w:p>
        </w:tc>
        <w:tc>
          <w:tcPr>
            <w:tcW w:w="1276" w:type="dxa"/>
            <w:vAlign w:val="center"/>
          </w:tcPr>
          <w:p>
            <w:pPr>
              <w:pStyle w:val="12"/>
            </w:pPr>
            <w:r>
              <w:t>根据劳务派遣协议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按年度及时支付的比率</w:t>
            </w:r>
          </w:p>
        </w:tc>
        <w:tc>
          <w:tcPr>
            <w:tcW w:w="2268" w:type="dxa"/>
            <w:vAlign w:val="center"/>
          </w:tcPr>
          <w:p>
            <w:pPr>
              <w:pStyle w:val="12"/>
            </w:pPr>
            <w:r>
              <w:t>≥95%</w:t>
            </w:r>
          </w:p>
        </w:tc>
        <w:tc>
          <w:tcPr>
            <w:tcW w:w="1276" w:type="dxa"/>
            <w:vAlign w:val="center"/>
          </w:tcPr>
          <w:p>
            <w:pPr>
              <w:pStyle w:val="12"/>
            </w:pPr>
            <w:r>
              <w:t>根据保定市徐水区人民政府关于机关劳务派遣人员经费的批复（徐政批[2021]10号）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每年运营成本</w:t>
            </w:r>
          </w:p>
        </w:tc>
        <w:tc>
          <w:tcPr>
            <w:tcW w:w="5386" w:type="dxa"/>
            <w:vAlign w:val="center"/>
          </w:tcPr>
          <w:p>
            <w:pPr>
              <w:pStyle w:val="12"/>
            </w:pPr>
            <w:r>
              <w:t>每年运营费支付金额</w:t>
            </w:r>
          </w:p>
        </w:tc>
        <w:tc>
          <w:tcPr>
            <w:tcW w:w="2268" w:type="dxa"/>
            <w:vAlign w:val="center"/>
          </w:tcPr>
          <w:p>
            <w:pPr>
              <w:pStyle w:val="12"/>
            </w:pPr>
            <w:r>
              <w:t>≤10万元</w:t>
            </w:r>
          </w:p>
        </w:tc>
        <w:tc>
          <w:tcPr>
            <w:tcW w:w="1276" w:type="dxa"/>
            <w:vAlign w:val="center"/>
          </w:tcPr>
          <w:p>
            <w:pPr>
              <w:pStyle w:val="12"/>
            </w:pPr>
            <w:r>
              <w:t>根据保定市徐水区人民政府关于机关劳务派遣人员经费的批复（徐政批[2021]10号）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保证就业率</w:t>
            </w:r>
          </w:p>
        </w:tc>
        <w:tc>
          <w:tcPr>
            <w:tcW w:w="5386" w:type="dxa"/>
            <w:vAlign w:val="center"/>
          </w:tcPr>
          <w:p>
            <w:pPr>
              <w:pStyle w:val="12"/>
            </w:pPr>
            <w:r>
              <w:t>保障劳务派遣人员就业上岗</w:t>
            </w:r>
          </w:p>
        </w:tc>
        <w:tc>
          <w:tcPr>
            <w:tcW w:w="2268" w:type="dxa"/>
            <w:vAlign w:val="center"/>
          </w:tcPr>
          <w:p>
            <w:pPr>
              <w:pStyle w:val="12"/>
            </w:pPr>
            <w:r>
              <w:t>≥95%</w:t>
            </w:r>
          </w:p>
        </w:tc>
        <w:tc>
          <w:tcPr>
            <w:tcW w:w="1276"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保障工作人员满意度</w:t>
            </w:r>
          </w:p>
        </w:tc>
        <w:tc>
          <w:tcPr>
            <w:tcW w:w="5386" w:type="dxa"/>
            <w:vAlign w:val="center"/>
          </w:tcPr>
          <w:p>
            <w:pPr>
              <w:pStyle w:val="12"/>
            </w:pPr>
            <w:r>
              <w:t>保障农村产权交易中心2名工作人员对资金发放情况的满意程度</w:t>
            </w:r>
          </w:p>
        </w:tc>
        <w:tc>
          <w:tcPr>
            <w:tcW w:w="2268" w:type="dxa"/>
            <w:vAlign w:val="center"/>
          </w:tcPr>
          <w:p>
            <w:pPr>
              <w:pStyle w:val="12"/>
            </w:pPr>
            <w:r>
              <w:t>≥85%</w:t>
            </w:r>
          </w:p>
        </w:tc>
        <w:tc>
          <w:tcPr>
            <w:tcW w:w="1276" w:type="dxa"/>
            <w:vAlign w:val="center"/>
          </w:tcPr>
          <w:p>
            <w:pPr>
              <w:pStyle w:val="12"/>
            </w:pPr>
            <w:r>
              <w:t>根据满意度调查问卷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2、2026年农村产权交易中心办公经费绩效目标表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13062526P00023410113P</w:t>
            </w:r>
          </w:p>
        </w:tc>
        <w:tc>
          <w:tcPr>
            <w:tcW w:w="2835" w:type="dxa"/>
            <w:vAlign w:val="center"/>
          </w:tcPr>
          <w:p>
            <w:pPr>
              <w:pStyle w:val="10"/>
            </w:pPr>
            <w:r>
              <w:t>项目名称</w:t>
            </w:r>
          </w:p>
        </w:tc>
        <w:tc>
          <w:tcPr>
            <w:tcW w:w="6095" w:type="dxa"/>
            <w:gridSpan w:val="3"/>
            <w:vAlign w:val="center"/>
          </w:tcPr>
          <w:p>
            <w:pPr>
              <w:pStyle w:val="12"/>
            </w:pPr>
            <w:r>
              <w:t>2026年农村产权交易中心办公经费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支付2026年农村产权交易中心办公费用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0.38</w:t>
            </w:r>
          </w:p>
        </w:tc>
        <w:tc>
          <w:tcPr>
            <w:tcW w:w="2835" w:type="dxa"/>
            <w:vAlign w:val="center"/>
          </w:tcPr>
          <w:p>
            <w:pPr>
              <w:pStyle w:val="13"/>
            </w:pPr>
            <w:r>
              <w:t>0.75</w:t>
            </w:r>
          </w:p>
        </w:tc>
        <w:tc>
          <w:tcPr>
            <w:tcW w:w="2551" w:type="dxa"/>
            <w:vAlign w:val="center"/>
          </w:tcPr>
          <w:p>
            <w:pPr>
              <w:pStyle w:val="13"/>
            </w:pPr>
            <w:r>
              <w:t>1.13</w:t>
            </w:r>
          </w:p>
        </w:tc>
        <w:tc>
          <w:tcPr>
            <w:tcW w:w="3544"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1.保障农村产权交易中心4名工作人员工作办公支出的顺利运行</w:t>
            </w:r>
          </w:p>
          <w:p>
            <w:pPr>
              <w:pStyle w:val="12"/>
            </w:pPr>
            <w:r>
              <w:t>2.保障农村产权交易中心4名工作人员福利发放</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保障农村产权交易解决事项</w:t>
            </w:r>
          </w:p>
        </w:tc>
        <w:tc>
          <w:tcPr>
            <w:tcW w:w="5386" w:type="dxa"/>
            <w:vAlign w:val="center"/>
          </w:tcPr>
          <w:p>
            <w:pPr>
              <w:pStyle w:val="12"/>
            </w:pPr>
            <w:r>
              <w:t>保障农村产权交易中心办公支出及福利发放两个主要事项顺利进行</w:t>
            </w:r>
          </w:p>
        </w:tc>
        <w:tc>
          <w:tcPr>
            <w:tcW w:w="2268" w:type="dxa"/>
            <w:vAlign w:val="center"/>
          </w:tcPr>
          <w:p>
            <w:pPr>
              <w:pStyle w:val="12"/>
            </w:pPr>
            <w:r>
              <w:t>2项</w:t>
            </w:r>
          </w:p>
        </w:tc>
        <w:tc>
          <w:tcPr>
            <w:tcW w:w="1276" w:type="dxa"/>
            <w:vAlign w:val="center"/>
          </w:tcPr>
          <w:p>
            <w:pPr>
              <w:pStyle w:val="12"/>
            </w:pPr>
            <w:r>
              <w:t>农村产权交易中心2025年公用经费项目实施计划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产权工作完成率</w:t>
            </w:r>
          </w:p>
        </w:tc>
        <w:tc>
          <w:tcPr>
            <w:tcW w:w="5386" w:type="dxa"/>
            <w:vAlign w:val="center"/>
          </w:tcPr>
          <w:p>
            <w:pPr>
              <w:pStyle w:val="12"/>
            </w:pPr>
            <w:r>
              <w:t>农村产权交易中心工作产权业务完成情况</w:t>
            </w:r>
          </w:p>
        </w:tc>
        <w:tc>
          <w:tcPr>
            <w:tcW w:w="2268" w:type="dxa"/>
            <w:vAlign w:val="center"/>
          </w:tcPr>
          <w:p>
            <w:pPr>
              <w:pStyle w:val="12"/>
            </w:pPr>
            <w:r>
              <w:t>≥100%</w:t>
            </w:r>
          </w:p>
        </w:tc>
        <w:tc>
          <w:tcPr>
            <w:tcW w:w="1276" w:type="dxa"/>
            <w:vAlign w:val="center"/>
          </w:tcPr>
          <w:p>
            <w:pPr>
              <w:pStyle w:val="12"/>
            </w:pPr>
            <w:r>
              <w:t>农村产权交易中心2025年公用经费项目实施计划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按年度及时支付的比率</w:t>
            </w:r>
          </w:p>
        </w:tc>
        <w:tc>
          <w:tcPr>
            <w:tcW w:w="2268" w:type="dxa"/>
            <w:vAlign w:val="center"/>
          </w:tcPr>
          <w:p>
            <w:pPr>
              <w:pStyle w:val="12"/>
            </w:pPr>
            <w:r>
              <w:t>≥95%</w:t>
            </w:r>
          </w:p>
        </w:tc>
        <w:tc>
          <w:tcPr>
            <w:tcW w:w="1276" w:type="dxa"/>
            <w:vAlign w:val="center"/>
          </w:tcPr>
          <w:p>
            <w:pPr>
              <w:pStyle w:val="12"/>
            </w:pPr>
            <w:r>
              <w:t>根据保定市徐水区人民政府关于组建徐水区农村产权交易有限公司的批复（徐政批【2016】3号）及2018年区政府及财政意见及农村产权交易中心2025年运营经费人员经费项目实施计划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每年运营成本</w:t>
            </w:r>
          </w:p>
        </w:tc>
        <w:tc>
          <w:tcPr>
            <w:tcW w:w="5386" w:type="dxa"/>
            <w:vAlign w:val="center"/>
          </w:tcPr>
          <w:p>
            <w:pPr>
              <w:pStyle w:val="12"/>
            </w:pPr>
            <w:r>
              <w:t>每年运营费支付金额</w:t>
            </w:r>
          </w:p>
        </w:tc>
        <w:tc>
          <w:tcPr>
            <w:tcW w:w="2268" w:type="dxa"/>
            <w:vAlign w:val="center"/>
          </w:tcPr>
          <w:p>
            <w:pPr>
              <w:pStyle w:val="12"/>
            </w:pPr>
            <w:r>
              <w:t>≤1.5万元</w:t>
            </w:r>
          </w:p>
        </w:tc>
        <w:tc>
          <w:tcPr>
            <w:tcW w:w="1276" w:type="dxa"/>
            <w:vAlign w:val="center"/>
          </w:tcPr>
          <w:p>
            <w:pPr>
              <w:pStyle w:val="12"/>
            </w:pPr>
            <w:r>
              <w:t>根据保定市徐水区人民政府关于组建徐水区农村产权交易有限公司的批复（徐政批【2016】3号）及2018年区政府及财政意见及农村产权交易中心2025年运营经费人员经费项目实施计划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土地流转成交见证业务数</w:t>
            </w:r>
          </w:p>
        </w:tc>
        <w:tc>
          <w:tcPr>
            <w:tcW w:w="5386" w:type="dxa"/>
            <w:vAlign w:val="center"/>
          </w:tcPr>
          <w:p>
            <w:pPr>
              <w:pStyle w:val="12"/>
            </w:pPr>
            <w:r>
              <w:t>通过农村产权交易中心办理的土地流转成交见证业务数量</w:t>
            </w:r>
          </w:p>
        </w:tc>
        <w:tc>
          <w:tcPr>
            <w:tcW w:w="2268" w:type="dxa"/>
            <w:vAlign w:val="center"/>
          </w:tcPr>
          <w:p>
            <w:pPr>
              <w:pStyle w:val="12"/>
            </w:pPr>
            <w:r>
              <w:t>≥10笔</w:t>
            </w:r>
          </w:p>
        </w:tc>
        <w:tc>
          <w:tcPr>
            <w:tcW w:w="1276" w:type="dxa"/>
            <w:vAlign w:val="center"/>
          </w:tcPr>
          <w:p>
            <w:pPr>
              <w:pStyle w:val="12"/>
            </w:pPr>
            <w:r>
              <w:t>根据保定市徐水区人民政府关于组建徐水区农村产权交易有限公司的批复（徐政批【2016】3号）及2018年区政府及财政意见及农村产权交易中心2025年运营经费人员经费项目实施计划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保障工作人员满意度</w:t>
            </w:r>
          </w:p>
        </w:tc>
        <w:tc>
          <w:tcPr>
            <w:tcW w:w="5386" w:type="dxa"/>
            <w:vAlign w:val="center"/>
          </w:tcPr>
          <w:p>
            <w:pPr>
              <w:pStyle w:val="12"/>
            </w:pPr>
            <w:r>
              <w:t>保障农村产权交易中心工作人员对资金发放情况的满意程度</w:t>
            </w:r>
          </w:p>
        </w:tc>
        <w:tc>
          <w:tcPr>
            <w:tcW w:w="2268" w:type="dxa"/>
            <w:vAlign w:val="center"/>
          </w:tcPr>
          <w:p>
            <w:pPr>
              <w:pStyle w:val="12"/>
            </w:pPr>
            <w:r>
              <w:t>≥85%</w:t>
            </w:r>
          </w:p>
        </w:tc>
        <w:tc>
          <w:tcPr>
            <w:tcW w:w="1276" w:type="dxa"/>
            <w:vAlign w:val="center"/>
          </w:tcPr>
          <w:p>
            <w:pPr>
              <w:pStyle w:val="12"/>
            </w:pPr>
            <w:r>
              <w:t>根据满意度调查问卷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3、2026年农村产权交易中心人员经费绩效目标表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13062526P00023210221A</w:t>
            </w:r>
          </w:p>
        </w:tc>
        <w:tc>
          <w:tcPr>
            <w:tcW w:w="2835" w:type="dxa"/>
            <w:vAlign w:val="center"/>
          </w:tcPr>
          <w:p>
            <w:pPr>
              <w:pStyle w:val="10"/>
            </w:pPr>
            <w:r>
              <w:t>项目名称</w:t>
            </w:r>
          </w:p>
        </w:tc>
        <w:tc>
          <w:tcPr>
            <w:tcW w:w="6095" w:type="dxa"/>
            <w:gridSpan w:val="3"/>
            <w:vAlign w:val="center"/>
          </w:tcPr>
          <w:p>
            <w:pPr>
              <w:pStyle w:val="12"/>
            </w:pPr>
            <w:r>
              <w:t>2026年农村产权交易中心人员经费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17.83</w:t>
            </w:r>
          </w:p>
        </w:tc>
        <w:tc>
          <w:tcPr>
            <w:tcW w:w="2835" w:type="dxa"/>
            <w:vAlign w:val="center"/>
          </w:tcPr>
          <w:p>
            <w:pPr>
              <w:pStyle w:val="10"/>
            </w:pPr>
            <w:r>
              <w:t>其中：财政    资金</w:t>
            </w:r>
          </w:p>
        </w:tc>
        <w:tc>
          <w:tcPr>
            <w:tcW w:w="2551" w:type="dxa"/>
            <w:vAlign w:val="center"/>
          </w:tcPr>
          <w:p>
            <w:pPr>
              <w:pStyle w:val="12"/>
            </w:pPr>
            <w:r>
              <w:t>17.83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支付2026年产权交易中心人员工资福利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bookmarkStart w:id="0" w:name="_GoBack"/>
            <w:bookmarkEnd w:id="0"/>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4.46</w:t>
            </w:r>
          </w:p>
        </w:tc>
        <w:tc>
          <w:tcPr>
            <w:tcW w:w="2835" w:type="dxa"/>
            <w:vAlign w:val="center"/>
          </w:tcPr>
          <w:p>
            <w:pPr>
              <w:pStyle w:val="13"/>
            </w:pPr>
            <w:r>
              <w:t>8.92</w:t>
            </w:r>
          </w:p>
        </w:tc>
        <w:tc>
          <w:tcPr>
            <w:tcW w:w="2551" w:type="dxa"/>
            <w:vAlign w:val="center"/>
          </w:tcPr>
          <w:p>
            <w:pPr>
              <w:pStyle w:val="13"/>
            </w:pPr>
            <w:r>
              <w:t>13.38</w:t>
            </w:r>
          </w:p>
        </w:tc>
        <w:tc>
          <w:tcPr>
            <w:tcW w:w="3544" w:type="dxa"/>
            <w:gridSpan w:val="2"/>
            <w:vAlign w:val="center"/>
          </w:tcPr>
          <w:p>
            <w:pPr>
              <w:pStyle w:val="13"/>
            </w:pPr>
            <w:r>
              <w:t>17.83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1.保障农村产权交易中心4名工作人员工资福利及工作的正常运转。 </w:t>
            </w:r>
          </w:p>
          <w:p>
            <w:pPr>
              <w:pStyle w:val="12"/>
            </w:pPr>
            <w:r>
              <w:t>2.保障农村集体资产所有权，使用权、股权等纳入市场范围，激活农村市场，提高经营效益，推进农村产权交易的发展。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保障工作人员数量</w:t>
            </w:r>
          </w:p>
        </w:tc>
        <w:tc>
          <w:tcPr>
            <w:tcW w:w="5386" w:type="dxa"/>
            <w:vAlign w:val="center"/>
          </w:tcPr>
          <w:p>
            <w:pPr>
              <w:pStyle w:val="12"/>
            </w:pPr>
            <w:r>
              <w:t>保障农村产权交易中心工作人员工资福利人数</w:t>
            </w:r>
          </w:p>
        </w:tc>
        <w:tc>
          <w:tcPr>
            <w:tcW w:w="2268" w:type="dxa"/>
            <w:vAlign w:val="center"/>
          </w:tcPr>
          <w:p>
            <w:pPr>
              <w:pStyle w:val="12"/>
            </w:pPr>
            <w:r>
              <w:t>4人</w:t>
            </w:r>
          </w:p>
        </w:tc>
        <w:tc>
          <w:tcPr>
            <w:tcW w:w="1276" w:type="dxa"/>
            <w:vAlign w:val="center"/>
          </w:tcPr>
          <w:p>
            <w:pPr>
              <w:pStyle w:val="12"/>
            </w:pPr>
            <w:r>
              <w:t>农村产权交易中心2025年运营经费人员经费项目实施计划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农村产权交易中心4名工作人员劳务费和保险费发放准确率</w:t>
            </w:r>
          </w:p>
        </w:tc>
        <w:tc>
          <w:tcPr>
            <w:tcW w:w="2268" w:type="dxa"/>
            <w:vAlign w:val="center"/>
          </w:tcPr>
          <w:p>
            <w:pPr>
              <w:pStyle w:val="12"/>
            </w:pPr>
            <w:r>
              <w:t>100%</w:t>
            </w:r>
          </w:p>
        </w:tc>
        <w:tc>
          <w:tcPr>
            <w:tcW w:w="1276" w:type="dxa"/>
            <w:vAlign w:val="center"/>
          </w:tcPr>
          <w:p>
            <w:pPr>
              <w:pStyle w:val="12"/>
            </w:pPr>
            <w:r>
              <w:t>农村产权交易中心2025年运营经费人员经费项目实施计划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按年度及时支付的比率</w:t>
            </w:r>
          </w:p>
        </w:tc>
        <w:tc>
          <w:tcPr>
            <w:tcW w:w="2268" w:type="dxa"/>
            <w:vAlign w:val="center"/>
          </w:tcPr>
          <w:p>
            <w:pPr>
              <w:pStyle w:val="12"/>
            </w:pPr>
            <w:r>
              <w:t>≥95%</w:t>
            </w:r>
          </w:p>
        </w:tc>
        <w:tc>
          <w:tcPr>
            <w:tcW w:w="1276" w:type="dxa"/>
            <w:vAlign w:val="center"/>
          </w:tcPr>
          <w:p>
            <w:pPr>
              <w:pStyle w:val="12"/>
            </w:pPr>
            <w:r>
              <w:t>根据保定市徐水区人民政府关于组建徐水区农村产权交易有限公司的批复（徐政批【2016】3号）及2018年区政府及财政意见及农村产权交易中心2023年运营经费人员经费项目实施计划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每年支付成本</w:t>
            </w:r>
          </w:p>
        </w:tc>
        <w:tc>
          <w:tcPr>
            <w:tcW w:w="5386" w:type="dxa"/>
            <w:vAlign w:val="center"/>
          </w:tcPr>
          <w:p>
            <w:pPr>
              <w:pStyle w:val="12"/>
            </w:pPr>
            <w:r>
              <w:t>每年运营费支付金额</w:t>
            </w:r>
          </w:p>
        </w:tc>
        <w:tc>
          <w:tcPr>
            <w:tcW w:w="2268" w:type="dxa"/>
            <w:vAlign w:val="center"/>
          </w:tcPr>
          <w:p>
            <w:pPr>
              <w:pStyle w:val="12"/>
            </w:pPr>
            <w:r>
              <w:t>≤178336.32元</w:t>
            </w:r>
          </w:p>
        </w:tc>
        <w:tc>
          <w:tcPr>
            <w:tcW w:w="1276" w:type="dxa"/>
            <w:vAlign w:val="center"/>
          </w:tcPr>
          <w:p>
            <w:pPr>
              <w:pStyle w:val="12"/>
            </w:pPr>
            <w:r>
              <w:t>根据保定市徐水区人民政府关于组建徐水区农村产权交易有限公司的批复（徐政批【2016】3号）及2018年区政府及财政意见及农村产权交易中心2023年运营经费人员经费项目实施计划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土地流转成交见证业务数</w:t>
            </w:r>
          </w:p>
        </w:tc>
        <w:tc>
          <w:tcPr>
            <w:tcW w:w="5386" w:type="dxa"/>
            <w:vAlign w:val="center"/>
          </w:tcPr>
          <w:p>
            <w:pPr>
              <w:pStyle w:val="12"/>
            </w:pPr>
            <w:r>
              <w:t>通过农村产权交易中心办理的土地流转成交见证业务数量</w:t>
            </w:r>
          </w:p>
        </w:tc>
        <w:tc>
          <w:tcPr>
            <w:tcW w:w="2268" w:type="dxa"/>
            <w:vAlign w:val="center"/>
          </w:tcPr>
          <w:p>
            <w:pPr>
              <w:pStyle w:val="12"/>
            </w:pPr>
            <w:r>
              <w:t>≥10笔</w:t>
            </w:r>
          </w:p>
        </w:tc>
        <w:tc>
          <w:tcPr>
            <w:tcW w:w="1276" w:type="dxa"/>
            <w:vAlign w:val="center"/>
          </w:tcPr>
          <w:p>
            <w:pPr>
              <w:pStyle w:val="12"/>
            </w:pPr>
            <w:r>
              <w:t>根据保定市徐水区人民政府关于组建徐水区农村产权交易有限公司的批复（徐政批【2016】3号）及2018年区政府及财政意见及农村产权交易中心2023年运营经费人员经费项目实施计划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保障工作人员满意度</w:t>
            </w:r>
          </w:p>
        </w:tc>
        <w:tc>
          <w:tcPr>
            <w:tcW w:w="5386" w:type="dxa"/>
            <w:vAlign w:val="center"/>
          </w:tcPr>
          <w:p>
            <w:pPr>
              <w:pStyle w:val="12"/>
            </w:pPr>
            <w:r>
              <w:t>保障农村产权交易中心4名工作人员对资金发放情况的满意程度</w:t>
            </w:r>
          </w:p>
        </w:tc>
        <w:tc>
          <w:tcPr>
            <w:tcW w:w="2268" w:type="dxa"/>
            <w:vAlign w:val="center"/>
          </w:tcPr>
          <w:p>
            <w:pPr>
              <w:pStyle w:val="12"/>
            </w:pPr>
            <w:r>
              <w:t>≥85%</w:t>
            </w:r>
          </w:p>
        </w:tc>
        <w:tc>
          <w:tcPr>
            <w:tcW w:w="1276" w:type="dxa"/>
            <w:vAlign w:val="center"/>
          </w:tcPr>
          <w:p>
            <w:pPr>
              <w:pStyle w:val="12"/>
            </w:pPr>
            <w:r>
              <w:t>根据满意度调查问卷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1.96</w:t>
            </w:r>
          </w:p>
        </w:tc>
        <w:tc>
          <w:tcPr>
            <w:tcW w:w="964" w:type="dxa"/>
            <w:vAlign w:val="center"/>
          </w:tcPr>
          <w:p>
            <w:pPr>
              <w:pStyle w:val="15"/>
            </w:pPr>
            <w:r>
              <w:t>1.96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保定市徐水区供销合作社本级小计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1.96</w:t>
            </w:r>
          </w:p>
        </w:tc>
        <w:tc>
          <w:tcPr>
            <w:tcW w:w="964" w:type="dxa"/>
            <w:vAlign w:val="center"/>
          </w:tcPr>
          <w:p>
            <w:pPr>
              <w:pStyle w:val="15"/>
            </w:pPr>
            <w:r>
              <w:t>1.96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11.89</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15</w:t>
            </w:r>
          </w:p>
        </w:tc>
        <w:tc>
          <w:tcPr>
            <w:tcW w:w="850" w:type="dxa"/>
            <w:vAlign w:val="center"/>
          </w:tcPr>
          <w:p>
            <w:pPr>
              <w:pStyle w:val="11"/>
            </w:pPr>
            <w:r>
              <w:t>0.02</w:t>
            </w:r>
          </w:p>
        </w:tc>
        <w:tc>
          <w:tcPr>
            <w:tcW w:w="964" w:type="dxa"/>
            <w:vAlign w:val="center"/>
          </w:tcPr>
          <w:p>
            <w:pPr>
              <w:pStyle w:val="11"/>
            </w:pPr>
            <w:r>
              <w:t>0.36</w:t>
            </w:r>
          </w:p>
        </w:tc>
        <w:tc>
          <w:tcPr>
            <w:tcW w:w="964" w:type="dxa"/>
            <w:vAlign w:val="center"/>
          </w:tcPr>
          <w:p>
            <w:pPr>
              <w:pStyle w:val="11"/>
            </w:pPr>
            <w:r>
              <w:t>0.36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11.89</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公用经费一</w:t>
            </w:r>
          </w:p>
        </w:tc>
        <w:tc>
          <w:tcPr>
            <w:tcW w:w="964" w:type="dxa"/>
            <w:vAlign w:val="center"/>
          </w:tcPr>
          <w:p>
            <w:pPr>
              <w:pStyle w:val="11"/>
            </w:pPr>
            <w:r>
              <w:t>11.89</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保定市徐水区供销合作社本级上年末固定资产金额为21.19万元（详见下表）。本年度拟购置固定资产总额为0.00万元，已按要求列入政府采购预算，详见政府采购预算表。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w:t>
            </w:r>
          </w:p>
        </w:tc>
        <w:tc>
          <w:tcPr>
            <w:tcW w:w="2835" w:type="dxa"/>
            <w:vAlign w:val="center"/>
          </w:tcPr>
          <w:p>
            <w:pPr>
              <w:pStyle w:val="11"/>
            </w:pPr>
            <w:r>
              <w:t>9.70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82532"/>
    <w:rsid w:val="18F76E55"/>
    <w:rsid w:val="1DB543E1"/>
    <w:rsid w:val="23B329C0"/>
    <w:rsid w:val="34E558FF"/>
    <w:rsid w:val="3AFE3157"/>
    <w:rsid w:val="5770478F"/>
    <w:rsid w:val="5EE61944"/>
    <w:rsid w:val="608C74BB"/>
    <w:rsid w:val="63AF1A8E"/>
    <w:rsid w:val="64473A05"/>
    <w:rsid w:val="67815785"/>
    <w:rsid w:val="6C6E23DC"/>
    <w:rsid w:val="6ED36166"/>
    <w:rsid w:val="7D40607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TotalTime>3</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2026-03-04T10:13:00Z</dcterms:created>
  <dc:creator>Administrator</dc:creator>
  <cp:lastModifiedBy>user</cp:lastModifiedBy>
  <dcterms:modified xsi:type="dcterms:W3CDTF">2026-03-10T07:21:06Z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66EDC50209B24D3E927B53457C3FBB3B</vt:lpwstr>
  </property>
</Properties>
</file>