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rPr>
          <w:rFonts w:ascii="黑体" w:hAnsi="黑体" w:eastAsia="黑体" w:cs="黑体"/>
          <w:b/>
          <w:color w:val="000000"/>
          <w:sz w:val="30"/>
        </w:rPr>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4"/>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4"/>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default"/>
          <w:lang w:val="en-US"/>
        </w:rPr>
        <w:t>5</w:t>
      </w:r>
      <w:r>
        <w:fldChar w:fldCharType="end"/>
      </w:r>
    </w:p>
    <w:p>
      <w:pPr>
        <w:pStyle w:val="4"/>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default"/>
          <w:lang w:val="en-US"/>
        </w:rPr>
        <w:t>6</w:t>
      </w:r>
      <w:r>
        <w:fldChar w:fldCharType="end"/>
      </w:r>
    </w:p>
    <w:p>
      <w:pPr>
        <w:pStyle w:val="4"/>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default"/>
          <w:lang w:val="en-US"/>
        </w:rPr>
        <w:t>9</w:t>
      </w:r>
      <w:r>
        <w:fldChar w:fldCharType="end"/>
      </w:r>
    </w:p>
    <w:p>
      <w:pPr>
        <w:pStyle w:val="4"/>
        <w:tabs>
          <w:tab w:val="right" w:leader="dot" w:pos="14562"/>
        </w:tabs>
        <w:rPr>
          <w:rFonts w:hint="default"/>
          <w:lang w:val="en-US"/>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0</w:t>
      </w:r>
    </w:p>
    <w:p>
      <w:pPr>
        <w:pStyle w:val="4"/>
        <w:tabs>
          <w:tab w:val="right" w:leader="dot" w:pos="14562"/>
        </w:tabs>
        <w:rPr>
          <w:rFonts w:hint="default"/>
          <w:lang w:val="en-US"/>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default"/>
          <w:lang w:val="en-US"/>
        </w:rPr>
        <w:t>1</w:t>
      </w:r>
      <w:r>
        <w:fldChar w:fldCharType="end"/>
      </w:r>
      <w:r>
        <w:rPr>
          <w:rFonts w:hint="default"/>
          <w:lang w:val="en-US"/>
        </w:rPr>
        <w:t>1</w:t>
      </w:r>
    </w:p>
    <w:p>
      <w:pPr>
        <w:pStyle w:val="4"/>
        <w:tabs>
          <w:tab w:val="right" w:leader="dot" w:pos="14562"/>
        </w:tabs>
        <w:rPr>
          <w:rFonts w:hint="default"/>
          <w:lang w:val="en-US"/>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default"/>
          <w:lang w:val="en-US"/>
        </w:rPr>
        <w:t>2</w:t>
      </w:r>
    </w:p>
    <w:p>
      <w:pPr>
        <w:pStyle w:val="4"/>
        <w:tabs>
          <w:tab w:val="right" w:leader="dot" w:pos="14562"/>
        </w:tabs>
        <w:rPr>
          <w:rFonts w:hint="default"/>
          <w:lang w:val="en-US"/>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default"/>
          <w:lang w:val="en-US"/>
        </w:rPr>
        <w:t>3</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default"/>
          <w:lang w:val="en-US"/>
        </w:rPr>
        <w:t>1</w:t>
      </w:r>
      <w:r>
        <w:fldChar w:fldCharType="end"/>
      </w:r>
      <w:r>
        <w:rPr>
          <w:rFonts w:hint="default"/>
          <w:lang w:val="en-US"/>
        </w:rPr>
        <w:t>4</w:t>
      </w:r>
    </w:p>
    <w:p>
      <w:pPr>
        <w:pStyle w:val="4"/>
        <w:tabs>
          <w:tab w:val="right" w:leader="dot" w:pos="14562"/>
        </w:tabs>
        <w:rPr>
          <w:rFonts w:hint="default"/>
          <w:lang w:val="en-US"/>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default"/>
          <w:lang w:val="en-US"/>
        </w:rPr>
        <w:t>1</w:t>
      </w:r>
      <w:r>
        <w:fldChar w:fldCharType="end"/>
      </w:r>
      <w:r>
        <w:rPr>
          <w:rFonts w:hint="default"/>
          <w:lang w:val="en-US"/>
        </w:rPr>
        <w:t>4</w:t>
      </w:r>
    </w:p>
    <w:p>
      <w:pPr>
        <w:pStyle w:val="4"/>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rPr>
          <w:rFonts w:hint="default"/>
          <w:lang w:val="en-US"/>
        </w:rPr>
        <w:t>1</w:t>
      </w:r>
      <w:r>
        <w:fldChar w:fldCharType="end"/>
      </w:r>
      <w:r>
        <w:rPr>
          <w:rFonts w:hint="default"/>
          <w:lang w:val="en-US"/>
        </w:rPr>
        <w:t>5</w:t>
      </w:r>
    </w:p>
    <w:p>
      <w:pPr>
        <w:pStyle w:val="4"/>
        <w:tabs>
          <w:tab w:val="right" w:leader="dot" w:pos="14562"/>
        </w:tabs>
        <w:sectPr>
          <w:pgSz w:w="16840" w:h="11900" w:orient="landscape"/>
          <w:pgMar w:top="1361" w:right="1020" w:bottom="1134" w:left="1020" w:header="720" w:footer="720" w:gutter="0"/>
          <w:pgNumType w:fmt="decimal" w:start="1"/>
          <w:cols w:space="720" w:num="1"/>
        </w:sectPr>
      </w:pPr>
    </w:p>
    <w:p>
      <w:pPr>
        <w:pStyle w:val="4"/>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4"/>
        <w:tabs>
          <w:tab w:val="right" w:leader="dot" w:pos="14562"/>
        </w:tabs>
        <w:rPr>
          <w:rFonts w:hint="default"/>
          <w:lang w:val="en-US"/>
        </w:rPr>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default"/>
          <w:lang w:val="en-US"/>
        </w:rPr>
        <w:t>1</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default"/>
          <w:lang w:val="en-US"/>
        </w:rPr>
        <w:t>2</w:t>
      </w:r>
      <w:r>
        <w:fldChar w:fldCharType="end"/>
      </w:r>
      <w:r>
        <w:rPr>
          <w:rFonts w:hint="default"/>
          <w:lang w:val="en-US"/>
        </w:rPr>
        <w:t>5</w:t>
      </w:r>
    </w:p>
    <w:p>
      <w:pPr>
        <w:pStyle w:val="4"/>
        <w:tabs>
          <w:tab w:val="right" w:leader="dot" w:pos="14562"/>
        </w:tabs>
        <w:rPr>
          <w:rFonts w:hint="default"/>
          <w:lang w:val="en-US"/>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default"/>
          <w:lang w:val="en-US"/>
        </w:rPr>
        <w:t>2</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default"/>
          <w:lang w:val="en-US"/>
        </w:rPr>
        <w:t>2</w:t>
      </w:r>
      <w:r>
        <w:fldChar w:fldCharType="end"/>
      </w:r>
      <w:r>
        <w:rPr>
          <w:rFonts w:hint="default"/>
          <w:lang w:val="en-US"/>
        </w:rPr>
        <w:t>6</w:t>
      </w:r>
    </w:p>
    <w:p>
      <w:pPr>
        <w:pStyle w:val="4"/>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default"/>
          <w:lang w:val="en-US"/>
        </w:rPr>
        <w:t>2</w:t>
      </w:r>
      <w:r>
        <w:fldChar w:fldCharType="end"/>
      </w:r>
      <w:r>
        <w:rPr>
          <w:rFonts w:hint="default"/>
          <w:lang w:val="en-US"/>
        </w:rPr>
        <w:t>7</w:t>
      </w:r>
    </w:p>
    <w:p>
      <w:pPr>
        <w:spacing w:before="0" w:after="0" w:line="240" w:lineRule="auto"/>
        <w:ind w:firstLine="0"/>
        <w:jc w:val="center"/>
        <w:outlineLvl w:val="9"/>
        <w:rPr>
          <w:rFonts w:ascii="黑体" w:hAnsi="黑体" w:eastAsia="黑体" w:cs="黑体"/>
          <w:b/>
          <w:color w:val="000000"/>
          <w:sz w:val="30"/>
        </w:rPr>
      </w:pPr>
      <w:r>
        <w:fldChar w:fldCharType="end"/>
      </w: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center"/>
        <w:outlineLvl w:val="9"/>
        <w:rPr>
          <w:rFonts w:ascii="黑体" w:hAnsi="黑体" w:eastAsia="黑体" w:cs="黑体"/>
          <w:b/>
          <w:color w:val="000000"/>
          <w:sz w:val="30"/>
        </w:rPr>
      </w:pPr>
    </w:p>
    <w:p>
      <w:pPr>
        <w:spacing w:before="0" w:after="0" w:line="240" w:lineRule="auto"/>
        <w:ind w:firstLine="0"/>
        <w:jc w:val="both"/>
        <w:outlineLvl w:val="9"/>
        <w:rPr>
          <w:rFonts w:ascii="黑体" w:hAnsi="黑体" w:eastAsia="黑体" w:cs="黑体"/>
          <w:b/>
          <w:color w:val="000000"/>
          <w:sz w:val="30"/>
        </w:r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both"/>
        <w:outlineLvl w:val="9"/>
        <w:rPr>
          <w:rFonts w:ascii="黑体" w:hAnsi="黑体" w:eastAsia="黑体" w:cs="黑体"/>
          <w:b/>
          <w:color w:val="000000"/>
          <w:sz w:val="30"/>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350.24</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282.47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350.24</w:t>
            </w:r>
          </w:p>
        </w:tc>
        <w:tc>
          <w:tcPr>
            <w:tcW w:w="4535" w:type="dxa"/>
            <w:vAlign w:val="center"/>
          </w:tcPr>
          <w:p>
            <w:pPr>
              <w:pStyle w:val="16"/>
            </w:pPr>
            <w:r>
              <w:t>本年支出合计</w:t>
            </w:r>
          </w:p>
        </w:tc>
        <w:tc>
          <w:tcPr>
            <w:tcW w:w="2126" w:type="dxa"/>
            <w:vAlign w:val="center"/>
          </w:tcPr>
          <w:p>
            <w:pPr>
              <w:pStyle w:val="17"/>
            </w:pPr>
            <w:r>
              <w:t>350.24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350.24</w:t>
            </w:r>
          </w:p>
        </w:tc>
        <w:tc>
          <w:tcPr>
            <w:tcW w:w="4535" w:type="dxa"/>
            <w:vAlign w:val="center"/>
          </w:tcPr>
          <w:p>
            <w:pPr>
              <w:pStyle w:val="16"/>
            </w:pPr>
            <w:r>
              <w:t>支出总计</w:t>
            </w:r>
          </w:p>
        </w:tc>
        <w:tc>
          <w:tcPr>
            <w:tcW w:w="2126" w:type="dxa"/>
            <w:vAlign w:val="center"/>
          </w:tcPr>
          <w:p>
            <w:pPr>
              <w:pStyle w:val="17"/>
            </w:pPr>
            <w:r>
              <w:t>350.24</w:t>
            </w:r>
          </w:p>
        </w:tc>
      </w:tr>
    </w:tbl>
    <w:p>
      <w:pPr>
        <w:sectPr>
          <w:footerReference r:id="rId5" w:type="default"/>
          <w:footerReference r:id="rId6"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350.24</w:t>
            </w:r>
          </w:p>
        </w:tc>
        <w:tc>
          <w:tcPr>
            <w:tcW w:w="1134" w:type="dxa"/>
            <w:vAlign w:val="center"/>
          </w:tcPr>
          <w:p>
            <w:pPr>
              <w:pStyle w:val="17"/>
            </w:pPr>
            <w:r>
              <w:t>350.24</w:t>
            </w:r>
          </w:p>
        </w:tc>
        <w:tc>
          <w:tcPr>
            <w:tcW w:w="1134" w:type="dxa"/>
            <w:vAlign w:val="center"/>
          </w:tcPr>
          <w:p>
            <w:pPr>
              <w:pStyle w:val="17"/>
            </w:pPr>
            <w:r>
              <w:t>350.24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282.47</w:t>
            </w:r>
          </w:p>
        </w:tc>
        <w:tc>
          <w:tcPr>
            <w:tcW w:w="1134" w:type="dxa"/>
            <w:vAlign w:val="center"/>
          </w:tcPr>
          <w:p>
            <w:pPr>
              <w:pStyle w:val="13"/>
            </w:pPr>
            <w:r>
              <w:t>282.47</w:t>
            </w:r>
          </w:p>
        </w:tc>
        <w:tc>
          <w:tcPr>
            <w:tcW w:w="1134" w:type="dxa"/>
            <w:vAlign w:val="center"/>
          </w:tcPr>
          <w:p>
            <w:pPr>
              <w:pStyle w:val="13"/>
            </w:pPr>
            <w:r>
              <w:t>282.47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20402</w:t>
            </w:r>
          </w:p>
        </w:tc>
        <w:tc>
          <w:tcPr>
            <w:tcW w:w="1559" w:type="dxa"/>
            <w:vAlign w:val="center"/>
          </w:tcPr>
          <w:p>
            <w:pPr>
              <w:pStyle w:val="14"/>
            </w:pPr>
            <w:r>
              <w:t>公安</w:t>
            </w:r>
          </w:p>
        </w:tc>
        <w:tc>
          <w:tcPr>
            <w:tcW w:w="1134" w:type="dxa"/>
            <w:vAlign w:val="center"/>
          </w:tcPr>
          <w:p>
            <w:pPr>
              <w:pStyle w:val="13"/>
            </w:pPr>
            <w:r>
              <w:t>282.47</w:t>
            </w:r>
          </w:p>
        </w:tc>
        <w:tc>
          <w:tcPr>
            <w:tcW w:w="1134" w:type="dxa"/>
            <w:vAlign w:val="center"/>
          </w:tcPr>
          <w:p>
            <w:pPr>
              <w:pStyle w:val="13"/>
            </w:pPr>
            <w:r>
              <w:t>282.47</w:t>
            </w:r>
          </w:p>
        </w:tc>
        <w:tc>
          <w:tcPr>
            <w:tcW w:w="1134" w:type="dxa"/>
            <w:vAlign w:val="center"/>
          </w:tcPr>
          <w:p>
            <w:pPr>
              <w:pStyle w:val="13"/>
            </w:pPr>
            <w:r>
              <w:t>282.47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2040201</w:t>
            </w:r>
          </w:p>
        </w:tc>
        <w:tc>
          <w:tcPr>
            <w:tcW w:w="1559" w:type="dxa"/>
            <w:vAlign w:val="center"/>
          </w:tcPr>
          <w:p>
            <w:pPr>
              <w:pStyle w:val="14"/>
            </w:pPr>
            <w:r>
              <w:t>行政运行</w:t>
            </w:r>
          </w:p>
        </w:tc>
        <w:tc>
          <w:tcPr>
            <w:tcW w:w="1134" w:type="dxa"/>
            <w:vAlign w:val="center"/>
          </w:tcPr>
          <w:p>
            <w:pPr>
              <w:pStyle w:val="13"/>
            </w:pPr>
            <w:r>
              <w:t>16.47</w:t>
            </w:r>
          </w:p>
        </w:tc>
        <w:tc>
          <w:tcPr>
            <w:tcW w:w="1134" w:type="dxa"/>
            <w:vAlign w:val="center"/>
          </w:tcPr>
          <w:p>
            <w:pPr>
              <w:pStyle w:val="13"/>
            </w:pPr>
            <w:r>
              <w:t>16.47</w:t>
            </w:r>
          </w:p>
        </w:tc>
        <w:tc>
          <w:tcPr>
            <w:tcW w:w="1134" w:type="dxa"/>
            <w:vAlign w:val="center"/>
          </w:tcPr>
          <w:p>
            <w:pPr>
              <w:pStyle w:val="13"/>
            </w:pPr>
            <w:r>
              <w:t>16.47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2040202</w:t>
            </w:r>
          </w:p>
        </w:tc>
        <w:tc>
          <w:tcPr>
            <w:tcW w:w="1559" w:type="dxa"/>
            <w:vAlign w:val="center"/>
          </w:tcPr>
          <w:p>
            <w:pPr>
              <w:pStyle w:val="14"/>
            </w:pPr>
            <w:r>
              <w:t>一般行政管理事务</w:t>
            </w:r>
          </w:p>
        </w:tc>
        <w:tc>
          <w:tcPr>
            <w:tcW w:w="1134" w:type="dxa"/>
            <w:vAlign w:val="center"/>
          </w:tcPr>
          <w:p>
            <w:pPr>
              <w:pStyle w:val="13"/>
            </w:pPr>
            <w:r>
              <w:t>210.00</w:t>
            </w:r>
          </w:p>
        </w:tc>
        <w:tc>
          <w:tcPr>
            <w:tcW w:w="1134" w:type="dxa"/>
            <w:vAlign w:val="center"/>
          </w:tcPr>
          <w:p>
            <w:pPr>
              <w:pStyle w:val="13"/>
            </w:pPr>
            <w:r>
              <w:t>210.00</w:t>
            </w:r>
          </w:p>
        </w:tc>
        <w:tc>
          <w:tcPr>
            <w:tcW w:w="1134" w:type="dxa"/>
            <w:vAlign w:val="center"/>
          </w:tcPr>
          <w:p>
            <w:pPr>
              <w:pStyle w:val="13"/>
            </w:pPr>
            <w:r>
              <w:t>210.00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2040220</w:t>
            </w:r>
          </w:p>
        </w:tc>
        <w:tc>
          <w:tcPr>
            <w:tcW w:w="1559" w:type="dxa"/>
            <w:vAlign w:val="center"/>
          </w:tcPr>
          <w:p>
            <w:pPr>
              <w:pStyle w:val="14"/>
            </w:pPr>
            <w:r>
              <w:t>执法办案</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67.64</w:t>
            </w:r>
          </w:p>
        </w:tc>
        <w:tc>
          <w:tcPr>
            <w:tcW w:w="1134" w:type="dxa"/>
            <w:vAlign w:val="center"/>
          </w:tcPr>
          <w:p>
            <w:pPr>
              <w:pStyle w:val="13"/>
            </w:pPr>
            <w:r>
              <w:t>67.64</w:t>
            </w:r>
          </w:p>
        </w:tc>
        <w:tc>
          <w:tcPr>
            <w:tcW w:w="1134" w:type="dxa"/>
            <w:vAlign w:val="center"/>
          </w:tcPr>
          <w:p>
            <w:pPr>
              <w:pStyle w:val="13"/>
            </w:pPr>
            <w:r>
              <w:t>67.64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67.64</w:t>
            </w:r>
          </w:p>
        </w:tc>
        <w:tc>
          <w:tcPr>
            <w:tcW w:w="1134" w:type="dxa"/>
            <w:vAlign w:val="center"/>
          </w:tcPr>
          <w:p>
            <w:pPr>
              <w:pStyle w:val="13"/>
            </w:pPr>
            <w:r>
              <w:t>67.64</w:t>
            </w:r>
          </w:p>
        </w:tc>
        <w:tc>
          <w:tcPr>
            <w:tcW w:w="1134" w:type="dxa"/>
            <w:vAlign w:val="center"/>
          </w:tcPr>
          <w:p>
            <w:pPr>
              <w:pStyle w:val="13"/>
            </w:pPr>
            <w:r>
              <w:t>67.64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67.64</w:t>
            </w:r>
          </w:p>
        </w:tc>
        <w:tc>
          <w:tcPr>
            <w:tcW w:w="1134" w:type="dxa"/>
            <w:vAlign w:val="center"/>
          </w:tcPr>
          <w:p>
            <w:pPr>
              <w:pStyle w:val="13"/>
            </w:pPr>
            <w:r>
              <w:t>67.64</w:t>
            </w:r>
          </w:p>
        </w:tc>
        <w:tc>
          <w:tcPr>
            <w:tcW w:w="1134" w:type="dxa"/>
            <w:vAlign w:val="center"/>
          </w:tcPr>
          <w:p>
            <w:pPr>
              <w:pStyle w:val="13"/>
            </w:pPr>
            <w:r>
              <w:t>67.64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0.12</w:t>
            </w:r>
          </w:p>
        </w:tc>
        <w:tc>
          <w:tcPr>
            <w:tcW w:w="1134" w:type="dxa"/>
            <w:vAlign w:val="center"/>
          </w:tcPr>
          <w:p>
            <w:pPr>
              <w:pStyle w:val="13"/>
            </w:pPr>
            <w:r>
              <w:t>0.12</w:t>
            </w:r>
          </w:p>
        </w:tc>
        <w:tc>
          <w:tcPr>
            <w:tcW w:w="1134" w:type="dxa"/>
            <w:vAlign w:val="center"/>
          </w:tcPr>
          <w:p>
            <w:pPr>
              <w:pStyle w:val="13"/>
            </w:pPr>
            <w:r>
              <w:t>0.12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0.12</w:t>
            </w:r>
          </w:p>
        </w:tc>
        <w:tc>
          <w:tcPr>
            <w:tcW w:w="1134" w:type="dxa"/>
            <w:vAlign w:val="center"/>
          </w:tcPr>
          <w:p>
            <w:pPr>
              <w:pStyle w:val="13"/>
            </w:pPr>
            <w:r>
              <w:t>0.12</w:t>
            </w:r>
          </w:p>
        </w:tc>
        <w:tc>
          <w:tcPr>
            <w:tcW w:w="1134" w:type="dxa"/>
            <w:vAlign w:val="center"/>
          </w:tcPr>
          <w:p>
            <w:pPr>
              <w:pStyle w:val="13"/>
            </w:pPr>
            <w:r>
              <w:t>0.12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0.12</w:t>
            </w:r>
          </w:p>
        </w:tc>
        <w:tc>
          <w:tcPr>
            <w:tcW w:w="1134" w:type="dxa"/>
            <w:vAlign w:val="center"/>
          </w:tcPr>
          <w:p>
            <w:pPr>
              <w:pStyle w:val="13"/>
            </w:pPr>
            <w:r>
              <w:t>0.12</w:t>
            </w:r>
          </w:p>
        </w:tc>
        <w:tc>
          <w:tcPr>
            <w:tcW w:w="1134" w:type="dxa"/>
            <w:vAlign w:val="center"/>
          </w:tcPr>
          <w:p>
            <w:pPr>
              <w:pStyle w:val="13"/>
            </w:pPr>
            <w:r>
              <w:t>0.12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350.24</w:t>
            </w:r>
          </w:p>
        </w:tc>
        <w:tc>
          <w:tcPr>
            <w:tcW w:w="1361" w:type="dxa"/>
            <w:vAlign w:val="center"/>
          </w:tcPr>
          <w:p>
            <w:pPr>
              <w:pStyle w:val="17"/>
            </w:pPr>
            <w:r>
              <w:t>84.24</w:t>
            </w:r>
          </w:p>
        </w:tc>
        <w:tc>
          <w:tcPr>
            <w:tcW w:w="1361" w:type="dxa"/>
            <w:vAlign w:val="center"/>
          </w:tcPr>
          <w:p>
            <w:pPr>
              <w:pStyle w:val="17"/>
            </w:pPr>
            <w:r>
              <w:t>266.00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282.47</w:t>
            </w:r>
          </w:p>
        </w:tc>
        <w:tc>
          <w:tcPr>
            <w:tcW w:w="1361" w:type="dxa"/>
            <w:vAlign w:val="center"/>
          </w:tcPr>
          <w:p>
            <w:pPr>
              <w:pStyle w:val="13"/>
            </w:pPr>
            <w:r>
              <w:t>16.47</w:t>
            </w:r>
          </w:p>
        </w:tc>
        <w:tc>
          <w:tcPr>
            <w:tcW w:w="1361" w:type="dxa"/>
            <w:vAlign w:val="center"/>
          </w:tcPr>
          <w:p>
            <w:pPr>
              <w:pStyle w:val="13"/>
            </w:pPr>
            <w:r>
              <w:t>266.00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20402</w:t>
            </w:r>
          </w:p>
        </w:tc>
        <w:tc>
          <w:tcPr>
            <w:tcW w:w="4535" w:type="dxa"/>
            <w:vAlign w:val="center"/>
          </w:tcPr>
          <w:p>
            <w:pPr>
              <w:pStyle w:val="14"/>
            </w:pPr>
            <w:r>
              <w:t>公安</w:t>
            </w:r>
          </w:p>
        </w:tc>
        <w:tc>
          <w:tcPr>
            <w:tcW w:w="1361" w:type="dxa"/>
            <w:vAlign w:val="center"/>
          </w:tcPr>
          <w:p>
            <w:pPr>
              <w:pStyle w:val="13"/>
            </w:pPr>
            <w:r>
              <w:t>282.47</w:t>
            </w:r>
          </w:p>
        </w:tc>
        <w:tc>
          <w:tcPr>
            <w:tcW w:w="1361" w:type="dxa"/>
            <w:vAlign w:val="center"/>
          </w:tcPr>
          <w:p>
            <w:pPr>
              <w:pStyle w:val="13"/>
            </w:pPr>
            <w:r>
              <w:t>16.47</w:t>
            </w:r>
          </w:p>
        </w:tc>
        <w:tc>
          <w:tcPr>
            <w:tcW w:w="1361" w:type="dxa"/>
            <w:vAlign w:val="center"/>
          </w:tcPr>
          <w:p>
            <w:pPr>
              <w:pStyle w:val="13"/>
            </w:pPr>
            <w:r>
              <w:t>266.00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2040201</w:t>
            </w:r>
          </w:p>
        </w:tc>
        <w:tc>
          <w:tcPr>
            <w:tcW w:w="4535" w:type="dxa"/>
            <w:vAlign w:val="center"/>
          </w:tcPr>
          <w:p>
            <w:pPr>
              <w:pStyle w:val="14"/>
            </w:pPr>
            <w:r>
              <w:t>行政运行</w:t>
            </w:r>
          </w:p>
        </w:tc>
        <w:tc>
          <w:tcPr>
            <w:tcW w:w="1361" w:type="dxa"/>
            <w:vAlign w:val="center"/>
          </w:tcPr>
          <w:p>
            <w:pPr>
              <w:pStyle w:val="13"/>
            </w:pPr>
            <w:r>
              <w:t>16.47</w:t>
            </w:r>
          </w:p>
        </w:tc>
        <w:tc>
          <w:tcPr>
            <w:tcW w:w="1361" w:type="dxa"/>
            <w:vAlign w:val="center"/>
          </w:tcPr>
          <w:p>
            <w:pPr>
              <w:pStyle w:val="13"/>
            </w:pPr>
            <w:r>
              <w:t>16.47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2040202</w:t>
            </w:r>
          </w:p>
        </w:tc>
        <w:tc>
          <w:tcPr>
            <w:tcW w:w="4535" w:type="dxa"/>
            <w:vAlign w:val="center"/>
          </w:tcPr>
          <w:p>
            <w:pPr>
              <w:pStyle w:val="14"/>
            </w:pPr>
            <w:r>
              <w:t>一般行政管理事务</w:t>
            </w:r>
          </w:p>
        </w:tc>
        <w:tc>
          <w:tcPr>
            <w:tcW w:w="1361" w:type="dxa"/>
            <w:vAlign w:val="center"/>
          </w:tcPr>
          <w:p>
            <w:pPr>
              <w:pStyle w:val="13"/>
            </w:pPr>
            <w:r>
              <w:t>210.00</w:t>
            </w:r>
          </w:p>
        </w:tc>
        <w:tc>
          <w:tcPr>
            <w:tcW w:w="1361" w:type="dxa"/>
            <w:vAlign w:val="center"/>
          </w:tcPr>
          <w:p>
            <w:pPr>
              <w:pStyle w:val="13"/>
            </w:pPr>
          </w:p>
        </w:tc>
        <w:tc>
          <w:tcPr>
            <w:tcW w:w="1361" w:type="dxa"/>
            <w:vAlign w:val="center"/>
          </w:tcPr>
          <w:p>
            <w:pPr>
              <w:pStyle w:val="13"/>
            </w:pPr>
            <w:r>
              <w:t>210.00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2040220</w:t>
            </w:r>
          </w:p>
        </w:tc>
        <w:tc>
          <w:tcPr>
            <w:tcW w:w="4535" w:type="dxa"/>
            <w:vAlign w:val="center"/>
          </w:tcPr>
          <w:p>
            <w:pPr>
              <w:pStyle w:val="14"/>
            </w:pPr>
            <w:r>
              <w:t>执法办案</w:t>
            </w: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67.64</w:t>
            </w:r>
          </w:p>
        </w:tc>
        <w:tc>
          <w:tcPr>
            <w:tcW w:w="1361" w:type="dxa"/>
            <w:vAlign w:val="center"/>
          </w:tcPr>
          <w:p>
            <w:pPr>
              <w:pStyle w:val="13"/>
            </w:pPr>
            <w:r>
              <w:t>67.64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67.64</w:t>
            </w:r>
          </w:p>
        </w:tc>
        <w:tc>
          <w:tcPr>
            <w:tcW w:w="1361" w:type="dxa"/>
            <w:vAlign w:val="center"/>
          </w:tcPr>
          <w:p>
            <w:pPr>
              <w:pStyle w:val="13"/>
            </w:pPr>
            <w:r>
              <w:t>67.64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67.64</w:t>
            </w:r>
          </w:p>
        </w:tc>
        <w:tc>
          <w:tcPr>
            <w:tcW w:w="1361" w:type="dxa"/>
            <w:vAlign w:val="center"/>
          </w:tcPr>
          <w:p>
            <w:pPr>
              <w:pStyle w:val="13"/>
            </w:pPr>
            <w:r>
              <w:t>67.64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0.12</w:t>
            </w:r>
          </w:p>
        </w:tc>
        <w:tc>
          <w:tcPr>
            <w:tcW w:w="1361" w:type="dxa"/>
            <w:vAlign w:val="center"/>
          </w:tcPr>
          <w:p>
            <w:pPr>
              <w:pStyle w:val="13"/>
            </w:pPr>
            <w:r>
              <w:t>0.12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0.12</w:t>
            </w:r>
          </w:p>
        </w:tc>
        <w:tc>
          <w:tcPr>
            <w:tcW w:w="1361" w:type="dxa"/>
            <w:vAlign w:val="center"/>
          </w:tcPr>
          <w:p>
            <w:pPr>
              <w:pStyle w:val="13"/>
            </w:pPr>
            <w:r>
              <w:t>0.12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0.12</w:t>
            </w:r>
          </w:p>
        </w:tc>
        <w:tc>
          <w:tcPr>
            <w:tcW w:w="1361" w:type="dxa"/>
            <w:vAlign w:val="center"/>
          </w:tcPr>
          <w:p>
            <w:pPr>
              <w:pStyle w:val="13"/>
            </w:pPr>
            <w:r>
              <w:t>0.12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350.24</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282.47</w:t>
            </w:r>
          </w:p>
        </w:tc>
        <w:tc>
          <w:tcPr>
            <w:tcW w:w="1474" w:type="dxa"/>
            <w:vAlign w:val="center"/>
          </w:tcPr>
          <w:p>
            <w:pPr>
              <w:pStyle w:val="13"/>
            </w:pPr>
            <w:r>
              <w:t>282.47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67.64</w:t>
            </w:r>
          </w:p>
        </w:tc>
        <w:tc>
          <w:tcPr>
            <w:tcW w:w="1474" w:type="dxa"/>
            <w:vAlign w:val="center"/>
          </w:tcPr>
          <w:p>
            <w:pPr>
              <w:pStyle w:val="13"/>
            </w:pPr>
            <w:r>
              <w:t>67.64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0.12</w:t>
            </w:r>
          </w:p>
        </w:tc>
        <w:tc>
          <w:tcPr>
            <w:tcW w:w="1474" w:type="dxa"/>
            <w:vAlign w:val="center"/>
          </w:tcPr>
          <w:p>
            <w:pPr>
              <w:pStyle w:val="13"/>
            </w:pPr>
            <w:r>
              <w:t>0.12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350.24</w:t>
            </w:r>
          </w:p>
        </w:tc>
        <w:tc>
          <w:tcPr>
            <w:tcW w:w="3402" w:type="dxa"/>
            <w:vAlign w:val="center"/>
          </w:tcPr>
          <w:p>
            <w:pPr>
              <w:pStyle w:val="16"/>
            </w:pPr>
            <w:r>
              <w:t>本年支出合计</w:t>
            </w:r>
          </w:p>
        </w:tc>
        <w:tc>
          <w:tcPr>
            <w:tcW w:w="1474" w:type="dxa"/>
            <w:vAlign w:val="center"/>
          </w:tcPr>
          <w:p>
            <w:pPr>
              <w:pStyle w:val="17"/>
            </w:pPr>
            <w:r>
              <w:t>350.24</w:t>
            </w:r>
          </w:p>
        </w:tc>
        <w:tc>
          <w:tcPr>
            <w:tcW w:w="1474" w:type="dxa"/>
            <w:vAlign w:val="center"/>
          </w:tcPr>
          <w:p>
            <w:pPr>
              <w:pStyle w:val="17"/>
            </w:pPr>
            <w:r>
              <w:t>350.24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350.24</w:t>
            </w:r>
          </w:p>
        </w:tc>
        <w:tc>
          <w:tcPr>
            <w:tcW w:w="3402" w:type="dxa"/>
            <w:vAlign w:val="center"/>
          </w:tcPr>
          <w:p>
            <w:pPr>
              <w:pStyle w:val="16"/>
            </w:pPr>
            <w:r>
              <w:t>支出总计</w:t>
            </w:r>
          </w:p>
        </w:tc>
        <w:tc>
          <w:tcPr>
            <w:tcW w:w="1474" w:type="dxa"/>
            <w:vAlign w:val="center"/>
          </w:tcPr>
          <w:p>
            <w:pPr>
              <w:pStyle w:val="17"/>
            </w:pPr>
            <w:r>
              <w:t>350.24</w:t>
            </w:r>
          </w:p>
        </w:tc>
        <w:tc>
          <w:tcPr>
            <w:tcW w:w="1474" w:type="dxa"/>
            <w:vAlign w:val="center"/>
          </w:tcPr>
          <w:p>
            <w:pPr>
              <w:pStyle w:val="17"/>
            </w:pPr>
            <w:r>
              <w:t>350.24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350.24</w:t>
            </w:r>
          </w:p>
        </w:tc>
        <w:tc>
          <w:tcPr>
            <w:tcW w:w="2551" w:type="dxa"/>
            <w:vAlign w:val="center"/>
          </w:tcPr>
          <w:p>
            <w:pPr>
              <w:pStyle w:val="17"/>
            </w:pPr>
            <w:r>
              <w:t>84.24</w:t>
            </w:r>
          </w:p>
        </w:tc>
        <w:tc>
          <w:tcPr>
            <w:tcW w:w="2551" w:type="dxa"/>
            <w:vAlign w:val="center"/>
          </w:tcPr>
          <w:p>
            <w:pPr>
              <w:pStyle w:val="17"/>
            </w:pPr>
            <w:r>
              <w:t>266.00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282.47</w:t>
            </w:r>
          </w:p>
        </w:tc>
        <w:tc>
          <w:tcPr>
            <w:tcW w:w="2551" w:type="dxa"/>
            <w:vAlign w:val="center"/>
          </w:tcPr>
          <w:p>
            <w:pPr>
              <w:pStyle w:val="13"/>
            </w:pPr>
            <w:r>
              <w:t>16.47</w:t>
            </w:r>
          </w:p>
        </w:tc>
        <w:tc>
          <w:tcPr>
            <w:tcW w:w="2551" w:type="dxa"/>
            <w:vAlign w:val="center"/>
          </w:tcPr>
          <w:p>
            <w:pPr>
              <w:pStyle w:val="13"/>
            </w:pPr>
            <w:r>
              <w:t>266.00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20402</w:t>
            </w:r>
          </w:p>
        </w:tc>
        <w:tc>
          <w:tcPr>
            <w:tcW w:w="4535" w:type="dxa"/>
            <w:vAlign w:val="center"/>
          </w:tcPr>
          <w:p>
            <w:pPr>
              <w:pStyle w:val="14"/>
            </w:pPr>
            <w:r>
              <w:t>公安</w:t>
            </w:r>
          </w:p>
        </w:tc>
        <w:tc>
          <w:tcPr>
            <w:tcW w:w="2551" w:type="dxa"/>
            <w:vAlign w:val="center"/>
          </w:tcPr>
          <w:p>
            <w:pPr>
              <w:pStyle w:val="13"/>
            </w:pPr>
            <w:r>
              <w:t>282.47</w:t>
            </w:r>
          </w:p>
        </w:tc>
        <w:tc>
          <w:tcPr>
            <w:tcW w:w="2551" w:type="dxa"/>
            <w:vAlign w:val="center"/>
          </w:tcPr>
          <w:p>
            <w:pPr>
              <w:pStyle w:val="13"/>
            </w:pPr>
            <w:r>
              <w:t>16.47</w:t>
            </w:r>
          </w:p>
        </w:tc>
        <w:tc>
          <w:tcPr>
            <w:tcW w:w="2551" w:type="dxa"/>
            <w:vAlign w:val="center"/>
          </w:tcPr>
          <w:p>
            <w:pPr>
              <w:pStyle w:val="13"/>
            </w:pPr>
            <w:r>
              <w:t>266.00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2040201</w:t>
            </w:r>
          </w:p>
        </w:tc>
        <w:tc>
          <w:tcPr>
            <w:tcW w:w="4535" w:type="dxa"/>
            <w:vAlign w:val="center"/>
          </w:tcPr>
          <w:p>
            <w:pPr>
              <w:pStyle w:val="14"/>
            </w:pPr>
            <w:r>
              <w:t>行政运行</w:t>
            </w:r>
          </w:p>
        </w:tc>
        <w:tc>
          <w:tcPr>
            <w:tcW w:w="2551" w:type="dxa"/>
            <w:vAlign w:val="center"/>
          </w:tcPr>
          <w:p>
            <w:pPr>
              <w:pStyle w:val="13"/>
            </w:pPr>
            <w:r>
              <w:t>16.47</w:t>
            </w:r>
          </w:p>
        </w:tc>
        <w:tc>
          <w:tcPr>
            <w:tcW w:w="2551" w:type="dxa"/>
            <w:vAlign w:val="center"/>
          </w:tcPr>
          <w:p>
            <w:pPr>
              <w:pStyle w:val="13"/>
            </w:pPr>
            <w:r>
              <w:t>16.47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2040202</w:t>
            </w:r>
          </w:p>
        </w:tc>
        <w:tc>
          <w:tcPr>
            <w:tcW w:w="4535" w:type="dxa"/>
            <w:vAlign w:val="center"/>
          </w:tcPr>
          <w:p>
            <w:pPr>
              <w:pStyle w:val="14"/>
            </w:pPr>
            <w:r>
              <w:t>一般行政管理事务</w:t>
            </w:r>
          </w:p>
        </w:tc>
        <w:tc>
          <w:tcPr>
            <w:tcW w:w="2551" w:type="dxa"/>
            <w:vAlign w:val="center"/>
          </w:tcPr>
          <w:p>
            <w:pPr>
              <w:pStyle w:val="13"/>
            </w:pPr>
            <w:r>
              <w:t>210.00</w:t>
            </w:r>
          </w:p>
        </w:tc>
        <w:tc>
          <w:tcPr>
            <w:tcW w:w="2551" w:type="dxa"/>
            <w:vAlign w:val="center"/>
          </w:tcPr>
          <w:p>
            <w:pPr>
              <w:pStyle w:val="13"/>
            </w:pPr>
          </w:p>
        </w:tc>
        <w:tc>
          <w:tcPr>
            <w:tcW w:w="2551" w:type="dxa"/>
            <w:vAlign w:val="center"/>
          </w:tcPr>
          <w:p>
            <w:pPr>
              <w:pStyle w:val="13"/>
            </w:pPr>
            <w:r>
              <w:t>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2040220</w:t>
            </w:r>
          </w:p>
        </w:tc>
        <w:tc>
          <w:tcPr>
            <w:tcW w:w="4535" w:type="dxa"/>
            <w:vAlign w:val="center"/>
          </w:tcPr>
          <w:p>
            <w:pPr>
              <w:pStyle w:val="14"/>
            </w:pPr>
            <w:r>
              <w:t>执法办案</w:t>
            </w:r>
          </w:p>
        </w:tc>
        <w:tc>
          <w:tcPr>
            <w:tcW w:w="2551" w:type="dxa"/>
            <w:vAlign w:val="center"/>
          </w:tcPr>
          <w:p>
            <w:pPr>
              <w:pStyle w:val="13"/>
            </w:pPr>
            <w:r>
              <w:t>56.00</w:t>
            </w:r>
          </w:p>
        </w:tc>
        <w:tc>
          <w:tcPr>
            <w:tcW w:w="2551" w:type="dxa"/>
            <w:vAlign w:val="center"/>
          </w:tcPr>
          <w:p>
            <w:pPr>
              <w:pStyle w:val="13"/>
            </w:pPr>
          </w:p>
        </w:tc>
        <w:tc>
          <w:tcPr>
            <w:tcW w:w="2551" w:type="dxa"/>
            <w:vAlign w:val="center"/>
          </w:tcPr>
          <w:p>
            <w:pPr>
              <w:pStyle w:val="13"/>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67.64</w:t>
            </w:r>
          </w:p>
        </w:tc>
        <w:tc>
          <w:tcPr>
            <w:tcW w:w="2551" w:type="dxa"/>
            <w:vAlign w:val="center"/>
          </w:tcPr>
          <w:p>
            <w:pPr>
              <w:pStyle w:val="13"/>
            </w:pPr>
            <w:r>
              <w:t>67.64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67.64</w:t>
            </w:r>
          </w:p>
        </w:tc>
        <w:tc>
          <w:tcPr>
            <w:tcW w:w="2551" w:type="dxa"/>
            <w:vAlign w:val="center"/>
          </w:tcPr>
          <w:p>
            <w:pPr>
              <w:pStyle w:val="13"/>
            </w:pPr>
            <w:r>
              <w:t>67.64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67.64</w:t>
            </w:r>
          </w:p>
        </w:tc>
        <w:tc>
          <w:tcPr>
            <w:tcW w:w="2551" w:type="dxa"/>
            <w:vAlign w:val="center"/>
          </w:tcPr>
          <w:p>
            <w:pPr>
              <w:pStyle w:val="13"/>
            </w:pPr>
            <w:r>
              <w:t>67.64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0.12</w:t>
            </w:r>
          </w:p>
        </w:tc>
        <w:tc>
          <w:tcPr>
            <w:tcW w:w="2551" w:type="dxa"/>
            <w:vAlign w:val="center"/>
          </w:tcPr>
          <w:p>
            <w:pPr>
              <w:pStyle w:val="13"/>
            </w:pPr>
            <w:r>
              <w:t>0.12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0.12</w:t>
            </w:r>
          </w:p>
        </w:tc>
        <w:tc>
          <w:tcPr>
            <w:tcW w:w="2551" w:type="dxa"/>
            <w:vAlign w:val="center"/>
          </w:tcPr>
          <w:p>
            <w:pPr>
              <w:pStyle w:val="13"/>
            </w:pPr>
            <w:r>
              <w:t>0.12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0.12</w:t>
            </w:r>
          </w:p>
        </w:tc>
        <w:tc>
          <w:tcPr>
            <w:tcW w:w="2551" w:type="dxa"/>
            <w:vAlign w:val="center"/>
          </w:tcPr>
          <w:p>
            <w:pPr>
              <w:pStyle w:val="13"/>
            </w:pPr>
            <w:r>
              <w:t>0.12</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84.24</w:t>
            </w:r>
          </w:p>
        </w:tc>
        <w:tc>
          <w:tcPr>
            <w:tcW w:w="2551" w:type="dxa"/>
            <w:vAlign w:val="center"/>
          </w:tcPr>
          <w:p>
            <w:pPr>
              <w:pStyle w:val="17"/>
            </w:pPr>
            <w:r>
              <w:t>65.96</w:t>
            </w:r>
          </w:p>
        </w:tc>
        <w:tc>
          <w:tcPr>
            <w:tcW w:w="2551" w:type="dxa"/>
            <w:vAlign w:val="center"/>
          </w:tcPr>
          <w:p>
            <w:pPr>
              <w:pStyle w:val="17"/>
            </w:pPr>
            <w:r>
              <w:t>18.27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0.12</w:t>
            </w:r>
          </w:p>
        </w:tc>
        <w:tc>
          <w:tcPr>
            <w:tcW w:w="2551" w:type="dxa"/>
            <w:vAlign w:val="center"/>
          </w:tcPr>
          <w:p>
            <w:pPr>
              <w:pStyle w:val="13"/>
            </w:pPr>
            <w:r>
              <w:t>0.12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0.12</w:t>
            </w:r>
          </w:p>
        </w:tc>
        <w:tc>
          <w:tcPr>
            <w:tcW w:w="2551" w:type="dxa"/>
            <w:vAlign w:val="center"/>
          </w:tcPr>
          <w:p>
            <w:pPr>
              <w:pStyle w:val="13"/>
            </w:pPr>
            <w:r>
              <w:t>0.12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18.27</w:t>
            </w:r>
          </w:p>
        </w:tc>
        <w:tc>
          <w:tcPr>
            <w:tcW w:w="2551" w:type="dxa"/>
            <w:vAlign w:val="center"/>
          </w:tcPr>
          <w:p>
            <w:pPr>
              <w:pStyle w:val="13"/>
            </w:pPr>
          </w:p>
        </w:tc>
        <w:tc>
          <w:tcPr>
            <w:tcW w:w="2551" w:type="dxa"/>
            <w:vAlign w:val="center"/>
          </w:tcPr>
          <w:p>
            <w:pPr>
              <w:pStyle w:val="13"/>
            </w:pPr>
            <w:r>
              <w:t>18.27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6.48</w:t>
            </w:r>
          </w:p>
        </w:tc>
        <w:tc>
          <w:tcPr>
            <w:tcW w:w="2551" w:type="dxa"/>
            <w:vAlign w:val="center"/>
          </w:tcPr>
          <w:p>
            <w:pPr>
              <w:pStyle w:val="13"/>
            </w:pPr>
          </w:p>
        </w:tc>
        <w:tc>
          <w:tcPr>
            <w:tcW w:w="2551" w:type="dxa"/>
            <w:vAlign w:val="center"/>
          </w:tcPr>
          <w:p>
            <w:pPr>
              <w:pStyle w:val="13"/>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7.58</w:t>
            </w:r>
          </w:p>
        </w:tc>
        <w:tc>
          <w:tcPr>
            <w:tcW w:w="2551" w:type="dxa"/>
            <w:vAlign w:val="center"/>
          </w:tcPr>
          <w:p>
            <w:pPr>
              <w:pStyle w:val="13"/>
            </w:pPr>
          </w:p>
        </w:tc>
        <w:tc>
          <w:tcPr>
            <w:tcW w:w="2551" w:type="dxa"/>
            <w:vAlign w:val="center"/>
          </w:tcPr>
          <w:p>
            <w:pPr>
              <w:pStyle w:val="13"/>
            </w:pPr>
            <w:r>
              <w:t>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4.22</w:t>
            </w:r>
          </w:p>
        </w:tc>
        <w:tc>
          <w:tcPr>
            <w:tcW w:w="2551" w:type="dxa"/>
            <w:vAlign w:val="center"/>
          </w:tcPr>
          <w:p>
            <w:pPr>
              <w:pStyle w:val="13"/>
            </w:pPr>
          </w:p>
        </w:tc>
        <w:tc>
          <w:tcPr>
            <w:tcW w:w="2551" w:type="dxa"/>
            <w:vAlign w:val="center"/>
          </w:tcPr>
          <w:p>
            <w:pPr>
              <w:pStyle w:val="13"/>
            </w:pPr>
            <w:r>
              <w:t>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65.84</w:t>
            </w:r>
          </w:p>
        </w:tc>
        <w:tc>
          <w:tcPr>
            <w:tcW w:w="2551" w:type="dxa"/>
            <w:vAlign w:val="center"/>
          </w:tcPr>
          <w:p>
            <w:pPr>
              <w:pStyle w:val="13"/>
            </w:pPr>
            <w:r>
              <w:t>65.84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65.84</w:t>
            </w:r>
          </w:p>
        </w:tc>
        <w:tc>
          <w:tcPr>
            <w:tcW w:w="2551" w:type="dxa"/>
            <w:vAlign w:val="center"/>
          </w:tcPr>
          <w:p>
            <w:pPr>
              <w:pStyle w:val="13"/>
            </w:pPr>
            <w:r>
              <w:t>65.84</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保定市公安局徐水区分局交通管理大队本级2026年单位预算信息公开情况说明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按照《中华人民共和国预算法》、《地方预决算公开操作规程》和《关于进一步推进预算公开工作的实施意见》规定，现将保定市公安局徐水区分局交通管理大队本级2026年单位预算公开如下：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2026年保定市公安局徐水区分局交通管理大队依法负责全区道路交通安全管理工作，包括交通安全宣传教育、交通指挥、维护交通秩序、处理交通事故、机动车和驾驶员管理及交通警卫工作等。从源头上加强教育管理，有效预防和减少道路交通事故。保证交通有序、安全和畅通。完成全区道路交通管理工作任务，开展道路交通事故预防及专项治理工作，狠抓事故多发点段和安全隐患点段的排查治理工作，消除事故隐患，减少道路交通事故，加强城市交通管理，促进全区道路安全，确保道路安全畅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保定市公安局徐水区分局交通管理大队本级</w:t>
            </w:r>
          </w:p>
        </w:tc>
        <w:tc>
          <w:tcPr>
            <w:tcW w:w="1843" w:type="dxa"/>
            <w:vAlign w:val="center"/>
          </w:tcPr>
          <w:p>
            <w:pPr>
              <w:pStyle w:val="15"/>
            </w:pPr>
            <w:r>
              <w:t>行政</w:t>
            </w:r>
          </w:p>
        </w:tc>
        <w:tc>
          <w:tcPr>
            <w:tcW w:w="2126" w:type="dxa"/>
            <w:vAlign w:val="center"/>
          </w:tcPr>
          <w:p>
            <w:pPr>
              <w:pStyle w:val="15"/>
            </w:pPr>
            <w:r>
              <w:t>副科级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350.24万元，其中：一般公共预算收入350.24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保定市公安局徐水区分局交通管理大队本级年度单位预算中支出预算的总体情况。2026年支出预算350.24万元，其中基本支出84.24万元，包括人员经费65.96万元和日常公用经费18.27万元；项目支出266.00万元，主要为综合业务管理210万元，提前下达2026年中央政法纪检监察转移支付资金39万元，提前下达2026年基层公检法司转移支付资金17万元。；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350.24万元，较2025年预算增加38.05万元，其中：基本支出减少0.95万元，主要为遗属人员补助减少。项目支出增加39.00万元，主要为综合业务管理项目经费增加。。预计下年使用的单位资金结余增加0.00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4"/>
      </w:pPr>
      <w:r>
        <w:t>2026年，我</w:t>
      </w:r>
      <w:r>
        <w:rPr>
          <w:rFonts w:hint="eastAsia"/>
          <w:lang w:val="en-US" w:eastAsia="zh-CN"/>
        </w:rPr>
        <w:t>单位</w:t>
      </w:r>
      <w:r>
        <w:t>机关运行经费共计安排18.27万元，主要用于日常维修、办公用房电费、办公用房取暖费、</w:t>
      </w:r>
      <w:r>
        <w:rPr>
          <w:rFonts w:hint="eastAsia"/>
          <w:lang w:val="en-US" w:eastAsia="zh-CN"/>
        </w:rPr>
        <w:t>其他商品和服务支出</w:t>
      </w:r>
      <w:r>
        <w:t>等日常运行支出。</w:t>
      </w:r>
      <w:bookmarkStart w:id="0" w:name="_GoBack"/>
      <w:bookmarkEnd w:id="0"/>
    </w:p>
    <w:p>
      <w:pPr>
        <w:pStyle w:val="21"/>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本年度未安排”三公“经费。</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1、提前下达2026年基层公检法司转移支付资金绩效目标表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13062526P00004910051T</w:t>
            </w:r>
          </w:p>
        </w:tc>
        <w:tc>
          <w:tcPr>
            <w:tcW w:w="2835" w:type="dxa"/>
            <w:vAlign w:val="center"/>
          </w:tcPr>
          <w:p>
            <w:pPr>
              <w:pStyle w:val="12"/>
            </w:pPr>
            <w:r>
              <w:t>项目名称</w:t>
            </w:r>
          </w:p>
        </w:tc>
        <w:tc>
          <w:tcPr>
            <w:tcW w:w="6095" w:type="dxa"/>
            <w:gridSpan w:val="3"/>
            <w:vAlign w:val="center"/>
          </w:tcPr>
          <w:p>
            <w:pPr>
              <w:pStyle w:val="14"/>
            </w:pPr>
            <w:r>
              <w:t>提前下达2026年基层公检法司转移支付资金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提前下达2026年基层公检法司转移支付资金全部用于办案业务经费和业务装备经费。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1.业务装备经费，用于购买警用装备，提高执法执勤人员工作效率，保障道路安全畅通。</w:t>
            </w:r>
            <w:r>
              <w:tab/>
            </w:r>
            <w:r>
              <w:tab/>
            </w:r>
          </w:p>
          <w:p>
            <w:pPr>
              <w:pStyle w:val="14"/>
            </w:pPr>
            <w:r>
              <w:t>2.提前下达2026年基层公检法司转移支付资金17万元，用于办案业务经费和业务装备经费。</w:t>
            </w:r>
          </w:p>
          <w:p>
            <w:pPr>
              <w:pStyle w:val="14"/>
            </w:pPr>
            <w:r>
              <w:t>3.办案业务经费，用于事故案件司法鉴定费，客观公众的保障事故当事人的权益，保障道路交通秩序。</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司法鉴定数量</w:t>
            </w:r>
          </w:p>
        </w:tc>
        <w:tc>
          <w:tcPr>
            <w:tcW w:w="5386" w:type="dxa"/>
            <w:vAlign w:val="center"/>
          </w:tcPr>
          <w:p>
            <w:pPr>
              <w:pStyle w:val="14"/>
            </w:pPr>
            <w:r>
              <w:t>司法鉴定案件数量</w:t>
            </w:r>
          </w:p>
        </w:tc>
        <w:tc>
          <w:tcPr>
            <w:tcW w:w="2268" w:type="dxa"/>
            <w:vAlign w:val="center"/>
          </w:tcPr>
          <w:p>
            <w:pPr>
              <w:pStyle w:val="14"/>
            </w:pPr>
            <w:r>
              <w:t>≥30次</w:t>
            </w:r>
          </w:p>
        </w:tc>
        <w:tc>
          <w:tcPr>
            <w:tcW w:w="1276" w:type="dxa"/>
            <w:vAlign w:val="center"/>
          </w:tcPr>
          <w:p>
            <w:pPr>
              <w:pStyle w:val="14"/>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警用装备的数量</w:t>
            </w:r>
          </w:p>
        </w:tc>
        <w:tc>
          <w:tcPr>
            <w:tcW w:w="5386" w:type="dxa"/>
            <w:vAlign w:val="center"/>
          </w:tcPr>
          <w:p>
            <w:pPr>
              <w:pStyle w:val="14"/>
            </w:pPr>
            <w:r>
              <w:t>购买警用装备的数量</w:t>
            </w:r>
          </w:p>
        </w:tc>
        <w:tc>
          <w:tcPr>
            <w:tcW w:w="2268" w:type="dxa"/>
            <w:vAlign w:val="center"/>
          </w:tcPr>
          <w:p>
            <w:pPr>
              <w:pStyle w:val="14"/>
            </w:pPr>
            <w:r>
              <w:t>≥1件</w:t>
            </w:r>
          </w:p>
        </w:tc>
        <w:tc>
          <w:tcPr>
            <w:tcW w:w="1276" w:type="dxa"/>
            <w:vAlign w:val="center"/>
          </w:tcPr>
          <w:p>
            <w:pPr>
              <w:pStyle w:val="14"/>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警用装备合格率</w:t>
            </w:r>
          </w:p>
        </w:tc>
        <w:tc>
          <w:tcPr>
            <w:tcW w:w="5386" w:type="dxa"/>
            <w:vAlign w:val="center"/>
          </w:tcPr>
          <w:p>
            <w:pPr>
              <w:pStyle w:val="14"/>
            </w:pPr>
            <w:r>
              <w:t>警用装备验收合格率</w:t>
            </w:r>
          </w:p>
        </w:tc>
        <w:tc>
          <w:tcPr>
            <w:tcW w:w="2268" w:type="dxa"/>
            <w:vAlign w:val="center"/>
          </w:tcPr>
          <w:p>
            <w:pPr>
              <w:pStyle w:val="14"/>
            </w:pPr>
            <w:r>
              <w:t>≥100%</w:t>
            </w:r>
          </w:p>
        </w:tc>
        <w:tc>
          <w:tcPr>
            <w:tcW w:w="1276" w:type="dxa"/>
            <w:vAlign w:val="center"/>
          </w:tcPr>
          <w:p>
            <w:pPr>
              <w:pStyle w:val="14"/>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办案业务完成率</w:t>
            </w:r>
          </w:p>
        </w:tc>
        <w:tc>
          <w:tcPr>
            <w:tcW w:w="5386" w:type="dxa"/>
            <w:vAlign w:val="center"/>
          </w:tcPr>
          <w:p>
            <w:pPr>
              <w:pStyle w:val="14"/>
            </w:pPr>
            <w:r>
              <w:t>办案业务支付完成率</w:t>
            </w:r>
          </w:p>
        </w:tc>
        <w:tc>
          <w:tcPr>
            <w:tcW w:w="2268" w:type="dxa"/>
            <w:vAlign w:val="center"/>
          </w:tcPr>
          <w:p>
            <w:pPr>
              <w:pStyle w:val="14"/>
            </w:pPr>
            <w:r>
              <w:t>≥100%</w:t>
            </w:r>
          </w:p>
        </w:tc>
        <w:tc>
          <w:tcPr>
            <w:tcW w:w="1276" w:type="dxa"/>
            <w:vAlign w:val="center"/>
          </w:tcPr>
          <w:p>
            <w:pPr>
              <w:pStyle w:val="14"/>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各项工作完成的及时率</w:t>
            </w:r>
          </w:p>
        </w:tc>
        <w:tc>
          <w:tcPr>
            <w:tcW w:w="2268" w:type="dxa"/>
            <w:vAlign w:val="center"/>
          </w:tcPr>
          <w:p>
            <w:pPr>
              <w:pStyle w:val="14"/>
            </w:pPr>
            <w:r>
              <w:t>≥95%</w:t>
            </w:r>
          </w:p>
        </w:tc>
        <w:tc>
          <w:tcPr>
            <w:tcW w:w="1276" w:type="dxa"/>
            <w:vAlign w:val="center"/>
          </w:tcPr>
          <w:p>
            <w:pPr>
              <w:pStyle w:val="14"/>
            </w:pPr>
            <w:r>
              <w:t>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5386" w:type="dxa"/>
            <w:vAlign w:val="center"/>
          </w:tcPr>
          <w:p>
            <w:pPr>
              <w:pStyle w:val="14"/>
            </w:pPr>
            <w:r>
              <w:t>提前下达2026年基层公检法司转移支付资金项目总成本</w:t>
            </w:r>
          </w:p>
        </w:tc>
        <w:tc>
          <w:tcPr>
            <w:tcW w:w="2268" w:type="dxa"/>
            <w:vAlign w:val="center"/>
          </w:tcPr>
          <w:p>
            <w:pPr>
              <w:pStyle w:val="14"/>
            </w:pPr>
            <w:r>
              <w:t>≤17万元</w:t>
            </w:r>
          </w:p>
        </w:tc>
        <w:tc>
          <w:tcPr>
            <w:tcW w:w="1276" w:type="dxa"/>
            <w:vAlign w:val="center"/>
          </w:tcPr>
          <w:p>
            <w:pPr>
              <w:pStyle w:val="14"/>
            </w:pPr>
            <w:r>
              <w:t>根据提前下达2026年基层公检法司转移支付资金项目实施计划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降低了重大伤亡事故发生率</w:t>
            </w:r>
          </w:p>
        </w:tc>
        <w:tc>
          <w:tcPr>
            <w:tcW w:w="5386" w:type="dxa"/>
            <w:vAlign w:val="center"/>
          </w:tcPr>
          <w:p>
            <w:pPr>
              <w:pStyle w:val="14"/>
            </w:pPr>
            <w:r>
              <w:t>降低了重大伤亡事故发生率</w:t>
            </w:r>
          </w:p>
        </w:tc>
        <w:tc>
          <w:tcPr>
            <w:tcW w:w="2268" w:type="dxa"/>
            <w:vAlign w:val="center"/>
          </w:tcPr>
          <w:p>
            <w:pPr>
              <w:pStyle w:val="14"/>
            </w:pPr>
            <w:r>
              <w:t>≥10%</w:t>
            </w:r>
          </w:p>
        </w:tc>
        <w:tc>
          <w:tcPr>
            <w:tcW w:w="1276" w:type="dxa"/>
            <w:vAlign w:val="center"/>
          </w:tcPr>
          <w:p>
            <w:pPr>
              <w:pStyle w:val="14"/>
            </w:pPr>
            <w:r>
              <w:t>上年度与本年度全年重大伤亡事故发生情况统计表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社会公众满意度指数</w:t>
            </w:r>
          </w:p>
        </w:tc>
        <w:tc>
          <w:tcPr>
            <w:tcW w:w="2268" w:type="dxa"/>
            <w:vAlign w:val="center"/>
          </w:tcPr>
          <w:p>
            <w:pPr>
              <w:pStyle w:val="14"/>
            </w:pPr>
            <w:r>
              <w:t>≥95%</w:t>
            </w:r>
          </w:p>
        </w:tc>
        <w:tc>
          <w:tcPr>
            <w:tcW w:w="1276" w:type="dxa"/>
            <w:vAlign w:val="center"/>
          </w:tcPr>
          <w:p>
            <w:pPr>
              <w:pStyle w:val="14"/>
            </w:pPr>
            <w:r>
              <w:t>依据服务对象问卷调查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2、提前下达2026年中央政法纪检监察转移支付资金绩效目标表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13062526P00004910052E</w:t>
            </w:r>
          </w:p>
        </w:tc>
        <w:tc>
          <w:tcPr>
            <w:tcW w:w="2835" w:type="dxa"/>
            <w:vAlign w:val="center"/>
          </w:tcPr>
          <w:p>
            <w:pPr>
              <w:pStyle w:val="12"/>
            </w:pPr>
            <w:r>
              <w:t>项目名称</w:t>
            </w:r>
          </w:p>
        </w:tc>
        <w:tc>
          <w:tcPr>
            <w:tcW w:w="6095" w:type="dxa"/>
            <w:gridSpan w:val="3"/>
            <w:vAlign w:val="center"/>
          </w:tcPr>
          <w:p>
            <w:pPr>
              <w:pStyle w:val="14"/>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39.00</w:t>
            </w:r>
          </w:p>
        </w:tc>
        <w:tc>
          <w:tcPr>
            <w:tcW w:w="2835" w:type="dxa"/>
            <w:vAlign w:val="center"/>
          </w:tcPr>
          <w:p>
            <w:pPr>
              <w:pStyle w:val="12"/>
            </w:pPr>
            <w:r>
              <w:t>其中：财政    资金</w:t>
            </w:r>
          </w:p>
        </w:tc>
        <w:tc>
          <w:tcPr>
            <w:tcW w:w="2551" w:type="dxa"/>
            <w:vAlign w:val="center"/>
          </w:tcPr>
          <w:p>
            <w:pPr>
              <w:pStyle w:val="14"/>
            </w:pPr>
            <w:r>
              <w:t>39.00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提前下达2026年中央政法纪检监察转移支付资金全部用于办案业务经费和业务装备经费。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1.提前下达2026年中央政法纪检监察转移支付资金39万元，用于办案业务经费和业务装备经费。</w:t>
            </w:r>
            <w:r>
              <w:tab/>
            </w:r>
            <w:r>
              <w:tab/>
            </w:r>
            <w:r>
              <w:tab/>
            </w:r>
          </w:p>
          <w:p>
            <w:pPr>
              <w:pStyle w:val="14"/>
            </w:pPr>
          </w:p>
          <w:p>
            <w:pPr>
              <w:pStyle w:val="14"/>
            </w:pPr>
            <w:r>
              <w:t>2.办案业务经费，用于事故案件司法鉴定费，客观公众的保障事故当事人的权益，保障道路交通秩序。</w:t>
            </w:r>
            <w:r>
              <w:tab/>
            </w:r>
            <w:r>
              <w:tab/>
            </w:r>
          </w:p>
          <w:p>
            <w:pPr>
              <w:pStyle w:val="14"/>
            </w:pPr>
          </w:p>
          <w:p>
            <w:pPr>
              <w:pStyle w:val="14"/>
            </w:pPr>
            <w:r>
              <w:t>3.业务装备经费，用于购买警用装备，提高执法执勤人员工作效率，保障道路安全畅通。</w:t>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司法鉴定数量</w:t>
            </w:r>
          </w:p>
        </w:tc>
        <w:tc>
          <w:tcPr>
            <w:tcW w:w="5386" w:type="dxa"/>
            <w:vAlign w:val="center"/>
          </w:tcPr>
          <w:p>
            <w:pPr>
              <w:pStyle w:val="14"/>
            </w:pPr>
            <w:r>
              <w:t>司法鉴定案件数量</w:t>
            </w:r>
          </w:p>
        </w:tc>
        <w:tc>
          <w:tcPr>
            <w:tcW w:w="2268" w:type="dxa"/>
            <w:vAlign w:val="center"/>
          </w:tcPr>
          <w:p>
            <w:pPr>
              <w:pStyle w:val="14"/>
            </w:pPr>
            <w:r>
              <w:t>≥65次</w:t>
            </w:r>
          </w:p>
        </w:tc>
        <w:tc>
          <w:tcPr>
            <w:tcW w:w="1276" w:type="dxa"/>
            <w:vAlign w:val="center"/>
          </w:tcPr>
          <w:p>
            <w:pPr>
              <w:pStyle w:val="14"/>
            </w:pPr>
            <w:r>
              <w:t>提前下达2026年中央政法纪检监察转移支付资金项目实施计划</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警用装备的数量</w:t>
            </w:r>
          </w:p>
        </w:tc>
        <w:tc>
          <w:tcPr>
            <w:tcW w:w="5386" w:type="dxa"/>
            <w:vAlign w:val="center"/>
          </w:tcPr>
          <w:p>
            <w:pPr>
              <w:pStyle w:val="14"/>
            </w:pPr>
            <w:r>
              <w:t>购买警用装备的数量</w:t>
            </w:r>
          </w:p>
        </w:tc>
        <w:tc>
          <w:tcPr>
            <w:tcW w:w="2268" w:type="dxa"/>
            <w:vAlign w:val="center"/>
          </w:tcPr>
          <w:p>
            <w:pPr>
              <w:pStyle w:val="14"/>
            </w:pPr>
            <w:r>
              <w:t>≥1件</w:t>
            </w:r>
          </w:p>
        </w:tc>
        <w:tc>
          <w:tcPr>
            <w:tcW w:w="1276" w:type="dxa"/>
            <w:vAlign w:val="center"/>
          </w:tcPr>
          <w:p>
            <w:pPr>
              <w:pStyle w:val="14"/>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警用装备合格率</w:t>
            </w:r>
          </w:p>
        </w:tc>
        <w:tc>
          <w:tcPr>
            <w:tcW w:w="5386" w:type="dxa"/>
            <w:vAlign w:val="center"/>
          </w:tcPr>
          <w:p>
            <w:pPr>
              <w:pStyle w:val="14"/>
            </w:pPr>
            <w:r>
              <w:t>警用装备验收合格率</w:t>
            </w:r>
          </w:p>
        </w:tc>
        <w:tc>
          <w:tcPr>
            <w:tcW w:w="2268" w:type="dxa"/>
            <w:vAlign w:val="center"/>
          </w:tcPr>
          <w:p>
            <w:pPr>
              <w:pStyle w:val="14"/>
            </w:pPr>
            <w:r>
              <w:t>≥100%</w:t>
            </w:r>
          </w:p>
        </w:tc>
        <w:tc>
          <w:tcPr>
            <w:tcW w:w="1276" w:type="dxa"/>
            <w:vAlign w:val="center"/>
          </w:tcPr>
          <w:p>
            <w:pPr>
              <w:pStyle w:val="14"/>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办案业务完成率</w:t>
            </w:r>
          </w:p>
        </w:tc>
        <w:tc>
          <w:tcPr>
            <w:tcW w:w="5386" w:type="dxa"/>
            <w:vAlign w:val="center"/>
          </w:tcPr>
          <w:p>
            <w:pPr>
              <w:pStyle w:val="14"/>
            </w:pPr>
            <w:r>
              <w:t>办案业务支付完成率</w:t>
            </w:r>
          </w:p>
        </w:tc>
        <w:tc>
          <w:tcPr>
            <w:tcW w:w="2268" w:type="dxa"/>
            <w:vAlign w:val="center"/>
          </w:tcPr>
          <w:p>
            <w:pPr>
              <w:pStyle w:val="14"/>
            </w:pPr>
            <w:r>
              <w:t>≥100%</w:t>
            </w:r>
          </w:p>
        </w:tc>
        <w:tc>
          <w:tcPr>
            <w:tcW w:w="1276" w:type="dxa"/>
            <w:vAlign w:val="center"/>
          </w:tcPr>
          <w:p>
            <w:pPr>
              <w:pStyle w:val="14"/>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各项工作完成的及时率</w:t>
            </w:r>
          </w:p>
        </w:tc>
        <w:tc>
          <w:tcPr>
            <w:tcW w:w="2268" w:type="dxa"/>
            <w:vAlign w:val="center"/>
          </w:tcPr>
          <w:p>
            <w:pPr>
              <w:pStyle w:val="14"/>
            </w:pPr>
            <w:r>
              <w:t>≥95%</w:t>
            </w:r>
          </w:p>
        </w:tc>
        <w:tc>
          <w:tcPr>
            <w:tcW w:w="1276" w:type="dxa"/>
            <w:vAlign w:val="center"/>
          </w:tcPr>
          <w:p>
            <w:pPr>
              <w:pStyle w:val="14"/>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成本控制金额</w:t>
            </w:r>
          </w:p>
        </w:tc>
        <w:tc>
          <w:tcPr>
            <w:tcW w:w="5386" w:type="dxa"/>
            <w:vAlign w:val="center"/>
          </w:tcPr>
          <w:p>
            <w:pPr>
              <w:pStyle w:val="14"/>
            </w:pPr>
            <w:r>
              <w:t>提前下达2026年中央政法纪检监察转移支付资金成本控制金额</w:t>
            </w:r>
          </w:p>
        </w:tc>
        <w:tc>
          <w:tcPr>
            <w:tcW w:w="2268" w:type="dxa"/>
            <w:vAlign w:val="center"/>
          </w:tcPr>
          <w:p>
            <w:pPr>
              <w:pStyle w:val="14"/>
            </w:pPr>
            <w:r>
              <w:t>≤39万元</w:t>
            </w:r>
          </w:p>
        </w:tc>
        <w:tc>
          <w:tcPr>
            <w:tcW w:w="1276" w:type="dxa"/>
            <w:vAlign w:val="center"/>
          </w:tcPr>
          <w:p>
            <w:pPr>
              <w:pStyle w:val="14"/>
            </w:pPr>
            <w:r>
              <w:t>提前下达2026年中央政法纪检监察转移支付资金项目实施计划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降低了重大伤亡事故发生率</w:t>
            </w:r>
          </w:p>
        </w:tc>
        <w:tc>
          <w:tcPr>
            <w:tcW w:w="5386" w:type="dxa"/>
            <w:vAlign w:val="center"/>
          </w:tcPr>
          <w:p>
            <w:pPr>
              <w:pStyle w:val="14"/>
            </w:pPr>
            <w:r>
              <w:t>降低了重大伤亡事故发生率</w:t>
            </w:r>
          </w:p>
        </w:tc>
        <w:tc>
          <w:tcPr>
            <w:tcW w:w="2268" w:type="dxa"/>
            <w:vAlign w:val="center"/>
          </w:tcPr>
          <w:p>
            <w:pPr>
              <w:pStyle w:val="14"/>
            </w:pPr>
            <w:r>
              <w:t>≥10%</w:t>
            </w:r>
          </w:p>
        </w:tc>
        <w:tc>
          <w:tcPr>
            <w:tcW w:w="1276" w:type="dxa"/>
            <w:vAlign w:val="center"/>
          </w:tcPr>
          <w:p>
            <w:pPr>
              <w:pStyle w:val="14"/>
            </w:pPr>
            <w:r>
              <w:t>上年度与本年度全年重大伤亡事故发生情况统计表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社会公众满意度</w:t>
            </w:r>
          </w:p>
        </w:tc>
        <w:tc>
          <w:tcPr>
            <w:tcW w:w="5386" w:type="dxa"/>
            <w:vAlign w:val="center"/>
          </w:tcPr>
          <w:p>
            <w:pPr>
              <w:pStyle w:val="14"/>
            </w:pPr>
            <w:r>
              <w:t>社会公众满意度指数</w:t>
            </w:r>
          </w:p>
        </w:tc>
        <w:tc>
          <w:tcPr>
            <w:tcW w:w="2268" w:type="dxa"/>
            <w:vAlign w:val="center"/>
          </w:tcPr>
          <w:p>
            <w:pPr>
              <w:pStyle w:val="14"/>
            </w:pPr>
            <w:r>
              <w:t>≥95%</w:t>
            </w:r>
          </w:p>
        </w:tc>
        <w:tc>
          <w:tcPr>
            <w:tcW w:w="1276" w:type="dxa"/>
            <w:vAlign w:val="center"/>
          </w:tcPr>
          <w:p>
            <w:pPr>
              <w:pStyle w:val="14"/>
            </w:pPr>
            <w:r>
              <w:t>依据服务对象问卷调查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3、综合业务管理绩效目标表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13062526P00002410356X</w:t>
            </w:r>
          </w:p>
        </w:tc>
        <w:tc>
          <w:tcPr>
            <w:tcW w:w="2835" w:type="dxa"/>
            <w:vAlign w:val="center"/>
          </w:tcPr>
          <w:p>
            <w:pPr>
              <w:pStyle w:val="12"/>
            </w:pPr>
            <w:r>
              <w:t>项目名称</w:t>
            </w:r>
          </w:p>
        </w:tc>
        <w:tc>
          <w:tcPr>
            <w:tcW w:w="6095" w:type="dxa"/>
            <w:gridSpan w:val="3"/>
            <w:vAlign w:val="center"/>
          </w:tcPr>
          <w:p>
            <w:pPr>
              <w:pStyle w:val="14"/>
            </w:pPr>
            <w:r>
              <w:t>综合业务管理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210.00</w:t>
            </w:r>
          </w:p>
        </w:tc>
        <w:tc>
          <w:tcPr>
            <w:tcW w:w="2835" w:type="dxa"/>
            <w:vAlign w:val="center"/>
          </w:tcPr>
          <w:p>
            <w:pPr>
              <w:pStyle w:val="12"/>
            </w:pPr>
            <w:r>
              <w:t>其中：财政    资金</w:t>
            </w:r>
          </w:p>
        </w:tc>
        <w:tc>
          <w:tcPr>
            <w:tcW w:w="2551" w:type="dxa"/>
            <w:vAlign w:val="center"/>
          </w:tcPr>
          <w:p>
            <w:pPr>
              <w:pStyle w:val="14"/>
            </w:pPr>
            <w:r>
              <w:t>210.00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该项目资金210万元，全部用于综合业务管理。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1.该项目金额210万元，2026年6月底支出进度达到50%，2026年12月底支出进度达到100%。</w:t>
            </w:r>
          </w:p>
          <w:p>
            <w:pPr>
              <w:pStyle w:val="14"/>
            </w:pPr>
            <w:r>
              <w:t>2.文明交通宣传覆盖面继续扩大，文明交通建设持续推进，农村交通安全宣传教育及中小学生安全防护知识传播逐步普及，提升城市道路管理工作水平，提高广大驾驶员守规意识，降低交通事故、道路违章发生率，确保我区道路交通管理工作有序开展。</w:t>
            </w:r>
          </w:p>
          <w:p>
            <w:pPr>
              <w:pStyle w:val="14"/>
            </w:pPr>
            <w:r>
              <w:t>3.组织城区及农村交通安全宣传教育及中小学生安全防护知识传播宣传活动次数在30次以上。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购买勤杂服务人次</w:t>
            </w:r>
          </w:p>
        </w:tc>
        <w:tc>
          <w:tcPr>
            <w:tcW w:w="5386" w:type="dxa"/>
            <w:vAlign w:val="center"/>
          </w:tcPr>
          <w:p>
            <w:pPr>
              <w:pStyle w:val="14"/>
            </w:pPr>
            <w:r>
              <w:t>反映购买勤杂服务人次</w:t>
            </w:r>
          </w:p>
        </w:tc>
        <w:tc>
          <w:tcPr>
            <w:tcW w:w="2268" w:type="dxa"/>
            <w:vAlign w:val="center"/>
          </w:tcPr>
          <w:p>
            <w:pPr>
              <w:pStyle w:val="14"/>
            </w:pPr>
            <w:r>
              <w:t>18人</w:t>
            </w:r>
          </w:p>
        </w:tc>
        <w:tc>
          <w:tcPr>
            <w:tcW w:w="1276" w:type="dxa"/>
            <w:vAlign w:val="center"/>
          </w:tcPr>
          <w:p>
            <w:pPr>
              <w:pStyle w:val="14"/>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组织宣传活动次数</w:t>
            </w:r>
          </w:p>
        </w:tc>
        <w:tc>
          <w:tcPr>
            <w:tcW w:w="5386" w:type="dxa"/>
            <w:vAlign w:val="center"/>
          </w:tcPr>
          <w:p>
            <w:pPr>
              <w:pStyle w:val="14"/>
            </w:pPr>
            <w:r>
              <w:t>反映城区及农村交通安全宣传教育宣传活动次数</w:t>
            </w:r>
          </w:p>
        </w:tc>
        <w:tc>
          <w:tcPr>
            <w:tcW w:w="2268" w:type="dxa"/>
            <w:vAlign w:val="center"/>
          </w:tcPr>
          <w:p>
            <w:pPr>
              <w:pStyle w:val="14"/>
            </w:pPr>
            <w:r>
              <w:t>≥30次</w:t>
            </w:r>
          </w:p>
        </w:tc>
        <w:tc>
          <w:tcPr>
            <w:tcW w:w="1276" w:type="dxa"/>
            <w:vAlign w:val="center"/>
          </w:tcPr>
          <w:p>
            <w:pPr>
              <w:pStyle w:val="14"/>
            </w:pPr>
            <w:r>
              <w:t>根据实际发生情况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考勤出勤率</w:t>
            </w:r>
          </w:p>
        </w:tc>
        <w:tc>
          <w:tcPr>
            <w:tcW w:w="5386" w:type="dxa"/>
            <w:vAlign w:val="center"/>
          </w:tcPr>
          <w:p>
            <w:pPr>
              <w:pStyle w:val="14"/>
            </w:pPr>
            <w:r>
              <w:t>反映勤杂、保安、保洁人员出勤率</w:t>
            </w:r>
          </w:p>
        </w:tc>
        <w:tc>
          <w:tcPr>
            <w:tcW w:w="2268" w:type="dxa"/>
            <w:vAlign w:val="center"/>
          </w:tcPr>
          <w:p>
            <w:pPr>
              <w:pStyle w:val="14"/>
            </w:pPr>
            <w:r>
              <w:t>100%</w:t>
            </w:r>
          </w:p>
        </w:tc>
        <w:tc>
          <w:tcPr>
            <w:tcW w:w="1276" w:type="dxa"/>
            <w:vAlign w:val="center"/>
          </w:tcPr>
          <w:p>
            <w:pPr>
              <w:pStyle w:val="14"/>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资金支付频次</w:t>
            </w:r>
          </w:p>
        </w:tc>
        <w:tc>
          <w:tcPr>
            <w:tcW w:w="5386" w:type="dxa"/>
            <w:vAlign w:val="center"/>
          </w:tcPr>
          <w:p>
            <w:pPr>
              <w:pStyle w:val="14"/>
            </w:pPr>
            <w:r>
              <w:t>反映向第三方公司支付工资的频次</w:t>
            </w:r>
          </w:p>
        </w:tc>
        <w:tc>
          <w:tcPr>
            <w:tcW w:w="2268" w:type="dxa"/>
            <w:vAlign w:val="center"/>
          </w:tcPr>
          <w:p>
            <w:pPr>
              <w:pStyle w:val="14"/>
            </w:pPr>
            <w:r>
              <w:t>12次</w:t>
            </w:r>
          </w:p>
        </w:tc>
        <w:tc>
          <w:tcPr>
            <w:tcW w:w="1276" w:type="dxa"/>
            <w:vAlign w:val="center"/>
          </w:tcPr>
          <w:p>
            <w:pPr>
              <w:pStyle w:val="14"/>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勤杂、保安、保洁劳务费投入成本</w:t>
            </w:r>
          </w:p>
        </w:tc>
        <w:tc>
          <w:tcPr>
            <w:tcW w:w="5386" w:type="dxa"/>
            <w:vAlign w:val="center"/>
          </w:tcPr>
          <w:p>
            <w:pPr>
              <w:pStyle w:val="14"/>
            </w:pPr>
            <w:r>
              <w:t>反映勤杂、保安、保洁劳务费投入成本</w:t>
            </w:r>
          </w:p>
        </w:tc>
        <w:tc>
          <w:tcPr>
            <w:tcW w:w="2268" w:type="dxa"/>
            <w:vAlign w:val="center"/>
          </w:tcPr>
          <w:p>
            <w:pPr>
              <w:pStyle w:val="14"/>
            </w:pPr>
            <w:r>
              <w:t>≤61.03万元</w:t>
            </w:r>
          </w:p>
        </w:tc>
        <w:tc>
          <w:tcPr>
            <w:tcW w:w="1276" w:type="dxa"/>
            <w:vAlign w:val="center"/>
          </w:tcPr>
          <w:p>
            <w:pPr>
              <w:pStyle w:val="14"/>
            </w:pPr>
            <w:r>
              <w:t>按照合同约定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综合业务管理项目总成本</w:t>
            </w:r>
          </w:p>
        </w:tc>
        <w:tc>
          <w:tcPr>
            <w:tcW w:w="5386" w:type="dxa"/>
            <w:vAlign w:val="center"/>
          </w:tcPr>
          <w:p>
            <w:pPr>
              <w:pStyle w:val="14"/>
            </w:pPr>
            <w:r>
              <w:t>反映综合业务管理项目总成本</w:t>
            </w:r>
          </w:p>
        </w:tc>
        <w:tc>
          <w:tcPr>
            <w:tcW w:w="2268" w:type="dxa"/>
            <w:vAlign w:val="center"/>
          </w:tcPr>
          <w:p>
            <w:pPr>
              <w:pStyle w:val="14"/>
            </w:pPr>
            <w:r>
              <w:t>≤210万元</w:t>
            </w:r>
          </w:p>
        </w:tc>
        <w:tc>
          <w:tcPr>
            <w:tcW w:w="1276" w:type="dxa"/>
            <w:vAlign w:val="center"/>
          </w:tcPr>
          <w:p>
            <w:pPr>
              <w:pStyle w:val="14"/>
            </w:pPr>
            <w:r>
              <w:t>根据项目实施计划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公众安全感指数</w:t>
            </w:r>
          </w:p>
        </w:tc>
        <w:tc>
          <w:tcPr>
            <w:tcW w:w="5386" w:type="dxa"/>
            <w:vAlign w:val="center"/>
          </w:tcPr>
          <w:p>
            <w:pPr>
              <w:pStyle w:val="14"/>
            </w:pPr>
            <w:r>
              <w:t>反映公众安全感指数</w:t>
            </w:r>
          </w:p>
        </w:tc>
        <w:tc>
          <w:tcPr>
            <w:tcW w:w="2268" w:type="dxa"/>
            <w:vAlign w:val="center"/>
          </w:tcPr>
          <w:p>
            <w:pPr>
              <w:pStyle w:val="14"/>
            </w:pPr>
            <w:r>
              <w:t>≥95%</w:t>
            </w:r>
          </w:p>
        </w:tc>
        <w:tc>
          <w:tcPr>
            <w:tcW w:w="1276" w:type="dxa"/>
            <w:vAlign w:val="center"/>
          </w:tcPr>
          <w:p>
            <w:pPr>
              <w:pStyle w:val="14"/>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反映群众满意度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61.54</w:t>
            </w:r>
          </w:p>
        </w:tc>
        <w:tc>
          <w:tcPr>
            <w:tcW w:w="964" w:type="dxa"/>
            <w:vAlign w:val="center"/>
          </w:tcPr>
          <w:p>
            <w:pPr>
              <w:pStyle w:val="17"/>
            </w:pPr>
            <w:r>
              <w:t>61.54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保定市公安局徐水区分局交通管理大队本级小计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61.54</w:t>
            </w:r>
          </w:p>
        </w:tc>
        <w:tc>
          <w:tcPr>
            <w:tcW w:w="964" w:type="dxa"/>
            <w:vAlign w:val="center"/>
          </w:tcPr>
          <w:p>
            <w:pPr>
              <w:pStyle w:val="17"/>
            </w:pPr>
            <w:r>
              <w:t>61.54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综合业务管理</w:t>
            </w:r>
          </w:p>
        </w:tc>
        <w:tc>
          <w:tcPr>
            <w:tcW w:w="964" w:type="dxa"/>
            <w:vAlign w:val="center"/>
          </w:tcPr>
          <w:p>
            <w:pPr>
              <w:pStyle w:val="13"/>
            </w:pPr>
            <w:r>
              <w:t>210.00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2.10</w:t>
            </w:r>
          </w:p>
        </w:tc>
        <w:tc>
          <w:tcPr>
            <w:tcW w:w="964" w:type="dxa"/>
            <w:vAlign w:val="center"/>
          </w:tcPr>
          <w:p>
            <w:pPr>
              <w:pStyle w:val="13"/>
            </w:pPr>
            <w:r>
              <w:t>2.10</w:t>
            </w:r>
          </w:p>
        </w:tc>
        <w:tc>
          <w:tcPr>
            <w:tcW w:w="964" w:type="dxa"/>
            <w:vAlign w:val="center"/>
          </w:tcPr>
          <w:p>
            <w:pPr>
              <w:pStyle w:val="13"/>
            </w:pPr>
            <w:r>
              <w:t>2.10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综合业务管理</w:t>
            </w:r>
          </w:p>
        </w:tc>
        <w:tc>
          <w:tcPr>
            <w:tcW w:w="964" w:type="dxa"/>
            <w:vAlign w:val="center"/>
          </w:tcPr>
          <w:p>
            <w:pPr>
              <w:pStyle w:val="13"/>
            </w:pPr>
            <w:r>
              <w:t>210.00</w:t>
            </w:r>
          </w:p>
        </w:tc>
        <w:tc>
          <w:tcPr>
            <w:tcW w:w="1134" w:type="dxa"/>
            <w:vAlign w:val="center"/>
          </w:tcPr>
          <w:p>
            <w:pPr>
              <w:pStyle w:val="14"/>
            </w:pPr>
            <w:r>
              <w:t>保安服务</w:t>
            </w:r>
          </w:p>
        </w:tc>
        <w:tc>
          <w:tcPr>
            <w:tcW w:w="1134" w:type="dxa"/>
            <w:vAlign w:val="center"/>
          </w:tcPr>
          <w:p>
            <w:pPr>
              <w:pStyle w:val="14"/>
            </w:pPr>
            <w:r>
              <w:t>C05040300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19.44</w:t>
            </w:r>
          </w:p>
        </w:tc>
        <w:tc>
          <w:tcPr>
            <w:tcW w:w="964" w:type="dxa"/>
            <w:vAlign w:val="center"/>
          </w:tcPr>
          <w:p>
            <w:pPr>
              <w:pStyle w:val="13"/>
            </w:pPr>
            <w:r>
              <w:t>19.44</w:t>
            </w:r>
          </w:p>
        </w:tc>
        <w:tc>
          <w:tcPr>
            <w:tcW w:w="964" w:type="dxa"/>
            <w:vAlign w:val="center"/>
          </w:tcPr>
          <w:p>
            <w:pPr>
              <w:pStyle w:val="13"/>
            </w:pPr>
            <w:r>
              <w:t>19.44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综合业务管理</w:t>
            </w:r>
          </w:p>
        </w:tc>
        <w:tc>
          <w:tcPr>
            <w:tcW w:w="964" w:type="dxa"/>
            <w:vAlign w:val="center"/>
          </w:tcPr>
          <w:p>
            <w:pPr>
              <w:pStyle w:val="13"/>
            </w:pPr>
            <w:r>
              <w:t>210.00</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10.00</w:t>
            </w:r>
          </w:p>
        </w:tc>
        <w:tc>
          <w:tcPr>
            <w:tcW w:w="964"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综合业务管理</w:t>
            </w:r>
          </w:p>
        </w:tc>
        <w:tc>
          <w:tcPr>
            <w:tcW w:w="964" w:type="dxa"/>
            <w:vAlign w:val="center"/>
          </w:tcPr>
          <w:p>
            <w:pPr>
              <w:pStyle w:val="13"/>
            </w:pPr>
            <w:r>
              <w:t>210.00</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10.00</w:t>
            </w:r>
          </w:p>
        </w:tc>
        <w:tc>
          <w:tcPr>
            <w:tcW w:w="964"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综合业务管理</w:t>
            </w:r>
          </w:p>
        </w:tc>
        <w:tc>
          <w:tcPr>
            <w:tcW w:w="964" w:type="dxa"/>
            <w:vAlign w:val="center"/>
          </w:tcPr>
          <w:p>
            <w:pPr>
              <w:pStyle w:val="13"/>
            </w:pPr>
            <w:r>
              <w:t>210.00</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保定市公安局徐水区分局交通管理大队本级上年末固定资产金额为0.00万元（详见下表）。本年度拟购置固定资产总额为0.00万元，已按要求列入政府采购预算，详见政府采购预算表。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451001保定市公安局徐水区分局交通管理大队本级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rPr>
                <w:rFonts w:hint="default"/>
                <w:lang w:val="en-US"/>
              </w:rPr>
            </w:pPr>
            <w:r>
              <w:rPr>
                <w:rFonts w:hint="default"/>
                <w:lang w:val="en-US"/>
              </w:rPr>
              <w:t>1741.41125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5412</w:t>
            </w:r>
          </w:p>
        </w:tc>
        <w:tc>
          <w:tcPr>
            <w:tcW w:w="2835" w:type="dxa"/>
            <w:vAlign w:val="center"/>
          </w:tcPr>
          <w:p>
            <w:pPr>
              <w:pStyle w:val="13"/>
            </w:pPr>
            <w:r>
              <w:t>406.89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2729</w:t>
            </w:r>
          </w:p>
        </w:tc>
        <w:tc>
          <w:tcPr>
            <w:tcW w:w="2835" w:type="dxa"/>
            <w:vAlign w:val="center"/>
          </w:tcPr>
          <w:p>
            <w:pPr>
              <w:pStyle w:val="13"/>
            </w:pPr>
            <w:r>
              <w:t>322.95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9</w:t>
            </w:r>
          </w:p>
        </w:tc>
        <w:tc>
          <w:tcPr>
            <w:tcW w:w="2835" w:type="dxa"/>
            <w:vAlign w:val="center"/>
          </w:tcPr>
          <w:p>
            <w:pPr>
              <w:pStyle w:val="13"/>
            </w:pPr>
            <w:r>
              <w:t>100.41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3</w:t>
            </w:r>
          </w:p>
        </w:tc>
        <w:tc>
          <w:tcPr>
            <w:tcW w:w="2835"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3398</w:t>
            </w:r>
          </w:p>
        </w:tc>
        <w:tc>
          <w:tcPr>
            <w:tcW w:w="2835" w:type="dxa"/>
            <w:vAlign w:val="center"/>
          </w:tcPr>
          <w:p>
            <w:pPr>
              <w:pStyle w:val="13"/>
            </w:pPr>
            <w:r>
              <w:t>934.10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jc w:val="both"/>
                          </w:pPr>
                          <w:r>
                            <w:fldChar w:fldCharType="begin"/>
                          </w:r>
                          <w:r>
                            <w:instrText xml:space="preserve">PAGE "page number"</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jc w:val="both"/>
                    </w:pPr>
                    <w:r>
                      <w:fldChar w:fldCharType="begin"/>
                    </w:r>
                    <w:r>
                      <w:instrText xml:space="preserve">PAGE "page number"</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jc w:val="left"/>
                          </w:pPr>
                          <w:r>
                            <w:fldChar w:fldCharType="begin"/>
                          </w:r>
                          <w:r>
                            <w:instrText xml:space="preserve">PAGE "page number"</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29AFF"/>
    <w:multiLevelType w:val="singleLevel"/>
    <w:tmpl w:val="62229A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92E14"/>
    <w:rsid w:val="15B477B1"/>
    <w:rsid w:val="2C0144FF"/>
    <w:rsid w:val="2C3C611D"/>
    <w:rsid w:val="34FD278C"/>
    <w:rsid w:val="3BD20732"/>
    <w:rsid w:val="449811C0"/>
    <w:rsid w:val="44C8502D"/>
    <w:rsid w:val="46367C94"/>
    <w:rsid w:val="589F7F93"/>
    <w:rsid w:val="5E234DDF"/>
    <w:rsid w:val="669C77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2026-03-04T10:45:00Z</dcterms:created>
  <dc:creator>Lenovo</dc:creator>
  <cp:lastModifiedBy>user</cp:lastModifiedBy>
  <dcterms:modified xsi:type="dcterms:W3CDTF">2026-03-09T07:31:08Z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3FDEEBC2EFE34778A6151D2CBC839F0E</vt:lpwstr>
  </property>
</Properties>
</file>