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1387.18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1050.81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318.11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1387.18</w:t>
            </w:r>
          </w:p>
        </w:tc>
        <w:tc>
          <w:tcPr>
            <w:tcW w:w="4535" w:type="dxa"/>
            <w:vAlign w:val="center"/>
          </w:tcPr>
          <w:p>
            <w:pPr>
              <w:pStyle w:val="15"/>
            </w:pPr>
            <w:r>
              <w:t>本年支出合计</w:t>
            </w:r>
          </w:p>
        </w:tc>
        <w:tc>
          <w:tcPr>
            <w:tcW w:w="2126" w:type="dxa"/>
            <w:vAlign w:val="center"/>
          </w:tcPr>
          <w:p>
            <w:pPr>
              <w:pStyle w:val="16"/>
            </w:pPr>
            <w:r>
              <w:t>1445.52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58.34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1445.52</w:t>
            </w:r>
          </w:p>
        </w:tc>
        <w:tc>
          <w:tcPr>
            <w:tcW w:w="4535" w:type="dxa"/>
            <w:vAlign w:val="center"/>
          </w:tcPr>
          <w:p>
            <w:pPr>
              <w:pStyle w:val="15"/>
            </w:pPr>
            <w:r>
              <w:t>支出总计</w:t>
            </w:r>
          </w:p>
        </w:tc>
        <w:tc>
          <w:tcPr>
            <w:tcW w:w="2126" w:type="dxa"/>
            <w:vAlign w:val="center"/>
          </w:tcPr>
          <w:p>
            <w:pPr>
              <w:pStyle w:val="16"/>
            </w:pPr>
            <w:r>
              <w:t>1445.52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1445.52</w:t>
            </w:r>
          </w:p>
        </w:tc>
        <w:tc>
          <w:tcPr>
            <w:tcW w:w="1134" w:type="dxa"/>
            <w:vAlign w:val="center"/>
          </w:tcPr>
          <w:p>
            <w:pPr>
              <w:pStyle w:val="16"/>
            </w:pPr>
            <w:r>
              <w:t>1387.18</w:t>
            </w:r>
          </w:p>
        </w:tc>
        <w:tc>
          <w:tcPr>
            <w:tcW w:w="1134" w:type="dxa"/>
            <w:vAlign w:val="center"/>
          </w:tcPr>
          <w:p>
            <w:pPr>
              <w:pStyle w:val="16"/>
            </w:pPr>
            <w:r>
              <w:t>1387.18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1050.81</w:t>
            </w:r>
          </w:p>
        </w:tc>
        <w:tc>
          <w:tcPr>
            <w:tcW w:w="1134" w:type="dxa"/>
            <w:vAlign w:val="center"/>
          </w:tcPr>
          <w:p>
            <w:pPr>
              <w:pStyle w:val="12"/>
            </w:pPr>
            <w:r>
              <w:t>992.46</w:t>
            </w:r>
          </w:p>
        </w:tc>
        <w:tc>
          <w:tcPr>
            <w:tcW w:w="1134" w:type="dxa"/>
            <w:vAlign w:val="center"/>
          </w:tcPr>
          <w:p>
            <w:pPr>
              <w:pStyle w:val="12"/>
            </w:pPr>
            <w:r>
              <w:t>992.46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677.19</w:t>
            </w:r>
          </w:p>
        </w:tc>
        <w:tc>
          <w:tcPr>
            <w:tcW w:w="1134" w:type="dxa"/>
            <w:vAlign w:val="center"/>
          </w:tcPr>
          <w:p>
            <w:pPr>
              <w:pStyle w:val="12"/>
            </w:pPr>
            <w:r>
              <w:t>677.19</w:t>
            </w:r>
          </w:p>
        </w:tc>
        <w:tc>
          <w:tcPr>
            <w:tcW w:w="1134" w:type="dxa"/>
            <w:vAlign w:val="center"/>
          </w:tcPr>
          <w:p>
            <w:pPr>
              <w:pStyle w:val="12"/>
            </w:pPr>
            <w:r>
              <w:t>677.19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231.90</w:t>
            </w:r>
          </w:p>
        </w:tc>
        <w:tc>
          <w:tcPr>
            <w:tcW w:w="1134" w:type="dxa"/>
            <w:vAlign w:val="center"/>
          </w:tcPr>
          <w:p>
            <w:pPr>
              <w:pStyle w:val="12"/>
            </w:pPr>
            <w:r>
              <w:t>231.90</w:t>
            </w:r>
          </w:p>
        </w:tc>
        <w:tc>
          <w:tcPr>
            <w:tcW w:w="1134" w:type="dxa"/>
            <w:vAlign w:val="center"/>
          </w:tcPr>
          <w:p>
            <w:pPr>
              <w:pStyle w:val="12"/>
            </w:pPr>
            <w:r>
              <w:t>231.90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2070109</w:t>
            </w:r>
          </w:p>
        </w:tc>
        <w:tc>
          <w:tcPr>
            <w:tcW w:w="1559" w:type="dxa"/>
            <w:vAlign w:val="center"/>
          </w:tcPr>
          <w:p>
            <w:pPr>
              <w:pStyle w:val="13"/>
            </w:pPr>
            <w:r>
              <w:t>群众文化</w:t>
            </w:r>
          </w:p>
        </w:tc>
        <w:tc>
          <w:tcPr>
            <w:tcW w:w="1134" w:type="dxa"/>
            <w:vAlign w:val="center"/>
          </w:tcPr>
          <w:p>
            <w:pPr>
              <w:pStyle w:val="12"/>
            </w:pPr>
            <w:r>
              <w:t>17.41</w:t>
            </w:r>
          </w:p>
        </w:tc>
        <w:tc>
          <w:tcPr>
            <w:tcW w:w="1134" w:type="dxa"/>
            <w:vAlign w:val="center"/>
          </w:tcPr>
          <w:p>
            <w:pPr>
              <w:pStyle w:val="12"/>
            </w:pPr>
            <w:r>
              <w:t>17.41</w:t>
            </w:r>
          </w:p>
        </w:tc>
        <w:tc>
          <w:tcPr>
            <w:tcW w:w="1134" w:type="dxa"/>
            <w:vAlign w:val="center"/>
          </w:tcPr>
          <w:p>
            <w:pPr>
              <w:pStyle w:val="12"/>
            </w:pPr>
            <w:r>
              <w:t>17.41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427.88</w:t>
            </w:r>
          </w:p>
        </w:tc>
        <w:tc>
          <w:tcPr>
            <w:tcW w:w="1134" w:type="dxa"/>
            <w:vAlign w:val="center"/>
          </w:tcPr>
          <w:p>
            <w:pPr>
              <w:pStyle w:val="12"/>
            </w:pPr>
            <w:r>
              <w:t>427.88</w:t>
            </w:r>
          </w:p>
        </w:tc>
        <w:tc>
          <w:tcPr>
            <w:tcW w:w="1134" w:type="dxa"/>
            <w:vAlign w:val="center"/>
          </w:tcPr>
          <w:p>
            <w:pPr>
              <w:pStyle w:val="12"/>
            </w:pPr>
            <w:r>
              <w:t>427.88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20702</w:t>
            </w:r>
          </w:p>
        </w:tc>
        <w:tc>
          <w:tcPr>
            <w:tcW w:w="1559" w:type="dxa"/>
            <w:vAlign w:val="center"/>
          </w:tcPr>
          <w:p>
            <w:pPr>
              <w:pStyle w:val="13"/>
            </w:pPr>
            <w:r>
              <w:t>文物</w:t>
            </w:r>
          </w:p>
        </w:tc>
        <w:tc>
          <w:tcPr>
            <w:tcW w:w="1134" w:type="dxa"/>
            <w:vAlign w:val="center"/>
          </w:tcPr>
          <w:p>
            <w:pPr>
              <w:pStyle w:val="12"/>
            </w:pPr>
            <w:r>
              <w:t>11.27</w:t>
            </w:r>
          </w:p>
        </w:tc>
        <w:tc>
          <w:tcPr>
            <w:tcW w:w="1134" w:type="dxa"/>
            <w:vAlign w:val="center"/>
          </w:tcPr>
          <w:p>
            <w:pPr>
              <w:pStyle w:val="12"/>
            </w:pPr>
            <w:r>
              <w:t>11.27</w:t>
            </w:r>
          </w:p>
        </w:tc>
        <w:tc>
          <w:tcPr>
            <w:tcW w:w="1134" w:type="dxa"/>
            <w:vAlign w:val="center"/>
          </w:tcPr>
          <w:p>
            <w:pPr>
              <w:pStyle w:val="12"/>
            </w:pPr>
            <w:r>
              <w:t>11.27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2070204</w:t>
            </w:r>
          </w:p>
        </w:tc>
        <w:tc>
          <w:tcPr>
            <w:tcW w:w="1559" w:type="dxa"/>
            <w:vAlign w:val="center"/>
          </w:tcPr>
          <w:p>
            <w:pPr>
              <w:pStyle w:val="13"/>
            </w:pPr>
            <w:r>
              <w:t>文物保护</w:t>
            </w:r>
          </w:p>
        </w:tc>
        <w:tc>
          <w:tcPr>
            <w:tcW w:w="1134" w:type="dxa"/>
            <w:vAlign w:val="center"/>
          </w:tcPr>
          <w:p>
            <w:pPr>
              <w:pStyle w:val="12"/>
            </w:pPr>
            <w:r>
              <w:t>11.27</w:t>
            </w:r>
          </w:p>
        </w:tc>
        <w:tc>
          <w:tcPr>
            <w:tcW w:w="1134" w:type="dxa"/>
            <w:vAlign w:val="center"/>
          </w:tcPr>
          <w:p>
            <w:pPr>
              <w:pStyle w:val="12"/>
            </w:pPr>
            <w:r>
              <w:t>11.27</w:t>
            </w:r>
          </w:p>
        </w:tc>
        <w:tc>
          <w:tcPr>
            <w:tcW w:w="1134" w:type="dxa"/>
            <w:vAlign w:val="center"/>
          </w:tcPr>
          <w:p>
            <w:pPr>
              <w:pStyle w:val="12"/>
            </w:pPr>
            <w:r>
              <w:t>11.27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362.35</w:t>
            </w:r>
          </w:p>
        </w:tc>
        <w:tc>
          <w:tcPr>
            <w:tcW w:w="1134" w:type="dxa"/>
            <w:vAlign w:val="center"/>
          </w:tcPr>
          <w:p>
            <w:pPr>
              <w:pStyle w:val="12"/>
            </w:pPr>
            <w:r>
              <w:t>304.01</w:t>
            </w:r>
          </w:p>
        </w:tc>
        <w:tc>
          <w:tcPr>
            <w:tcW w:w="1134" w:type="dxa"/>
            <w:vAlign w:val="center"/>
          </w:tcPr>
          <w:p>
            <w:pPr>
              <w:pStyle w:val="12"/>
            </w:pPr>
            <w:r>
              <w:t>304.01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362.35</w:t>
            </w:r>
          </w:p>
        </w:tc>
        <w:tc>
          <w:tcPr>
            <w:tcW w:w="1134" w:type="dxa"/>
            <w:vAlign w:val="center"/>
          </w:tcPr>
          <w:p>
            <w:pPr>
              <w:pStyle w:val="12"/>
            </w:pPr>
            <w:r>
              <w:t>304.01</w:t>
            </w:r>
          </w:p>
        </w:tc>
        <w:tc>
          <w:tcPr>
            <w:tcW w:w="1134" w:type="dxa"/>
            <w:vAlign w:val="center"/>
          </w:tcPr>
          <w:p>
            <w:pPr>
              <w:pStyle w:val="12"/>
            </w:pPr>
            <w:r>
              <w:t>304.01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318.11</w:t>
            </w:r>
          </w:p>
        </w:tc>
        <w:tc>
          <w:tcPr>
            <w:tcW w:w="1134" w:type="dxa"/>
            <w:vAlign w:val="center"/>
          </w:tcPr>
          <w:p>
            <w:pPr>
              <w:pStyle w:val="12"/>
            </w:pPr>
            <w:r>
              <w:t>318.11</w:t>
            </w:r>
          </w:p>
        </w:tc>
        <w:tc>
          <w:tcPr>
            <w:tcW w:w="1134" w:type="dxa"/>
            <w:vAlign w:val="center"/>
          </w:tcPr>
          <w:p>
            <w:pPr>
              <w:pStyle w:val="12"/>
            </w:pPr>
            <w:r>
              <w:t>318.11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316.31</w:t>
            </w:r>
          </w:p>
        </w:tc>
        <w:tc>
          <w:tcPr>
            <w:tcW w:w="1134" w:type="dxa"/>
            <w:vAlign w:val="center"/>
          </w:tcPr>
          <w:p>
            <w:pPr>
              <w:pStyle w:val="12"/>
            </w:pPr>
            <w:r>
              <w:t>316.31</w:t>
            </w:r>
          </w:p>
        </w:tc>
        <w:tc>
          <w:tcPr>
            <w:tcW w:w="1134" w:type="dxa"/>
            <w:vAlign w:val="center"/>
          </w:tcPr>
          <w:p>
            <w:pPr>
              <w:pStyle w:val="12"/>
            </w:pPr>
            <w:r>
              <w:t>316.31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52.68</w:t>
            </w:r>
          </w:p>
        </w:tc>
        <w:tc>
          <w:tcPr>
            <w:tcW w:w="1134" w:type="dxa"/>
            <w:vAlign w:val="center"/>
          </w:tcPr>
          <w:p>
            <w:pPr>
              <w:pStyle w:val="12"/>
            </w:pPr>
            <w:r>
              <w:t>52.68</w:t>
            </w:r>
          </w:p>
        </w:tc>
        <w:tc>
          <w:tcPr>
            <w:tcW w:w="1134" w:type="dxa"/>
            <w:vAlign w:val="center"/>
          </w:tcPr>
          <w:p>
            <w:pPr>
              <w:pStyle w:val="12"/>
            </w:pPr>
            <w:r>
              <w:t>52.68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195.62</w:t>
            </w:r>
          </w:p>
        </w:tc>
        <w:tc>
          <w:tcPr>
            <w:tcW w:w="1134" w:type="dxa"/>
            <w:vAlign w:val="center"/>
          </w:tcPr>
          <w:p>
            <w:pPr>
              <w:pStyle w:val="12"/>
            </w:pPr>
            <w:r>
              <w:t>195.62</w:t>
            </w:r>
          </w:p>
        </w:tc>
        <w:tc>
          <w:tcPr>
            <w:tcW w:w="1134" w:type="dxa"/>
            <w:vAlign w:val="center"/>
          </w:tcPr>
          <w:p>
            <w:pPr>
              <w:pStyle w:val="12"/>
            </w:pPr>
            <w:r>
              <w:t>195.62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66.29</w:t>
            </w:r>
          </w:p>
        </w:tc>
        <w:tc>
          <w:tcPr>
            <w:tcW w:w="1134" w:type="dxa"/>
            <w:vAlign w:val="center"/>
          </w:tcPr>
          <w:p>
            <w:pPr>
              <w:pStyle w:val="12"/>
            </w:pPr>
            <w:r>
              <w:t>66.29</w:t>
            </w:r>
          </w:p>
        </w:tc>
        <w:tc>
          <w:tcPr>
            <w:tcW w:w="1134" w:type="dxa"/>
            <w:vAlign w:val="center"/>
          </w:tcPr>
          <w:p>
            <w:pPr>
              <w:pStyle w:val="12"/>
            </w:pPr>
            <w:r>
              <w:t>66.29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1.73</w:t>
            </w:r>
          </w:p>
        </w:tc>
        <w:tc>
          <w:tcPr>
            <w:tcW w:w="1134" w:type="dxa"/>
            <w:vAlign w:val="center"/>
          </w:tcPr>
          <w:p>
            <w:pPr>
              <w:pStyle w:val="12"/>
            </w:pPr>
            <w:r>
              <w:t>1.73</w:t>
            </w:r>
          </w:p>
        </w:tc>
        <w:tc>
          <w:tcPr>
            <w:tcW w:w="1134" w:type="dxa"/>
            <w:vAlign w:val="center"/>
          </w:tcPr>
          <w:p>
            <w:pPr>
              <w:pStyle w:val="12"/>
            </w:pPr>
            <w:r>
              <w:t>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r>
              <w:t>22.75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r>
              <w:t>53.86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1445.52</w:t>
            </w:r>
          </w:p>
        </w:tc>
        <w:tc>
          <w:tcPr>
            <w:tcW w:w="1361" w:type="dxa"/>
            <w:vAlign w:val="center"/>
          </w:tcPr>
          <w:p>
            <w:pPr>
              <w:pStyle w:val="16"/>
            </w:pPr>
            <w:r>
              <w:t>1001.93</w:t>
            </w:r>
          </w:p>
        </w:tc>
        <w:tc>
          <w:tcPr>
            <w:tcW w:w="1361" w:type="dxa"/>
            <w:vAlign w:val="center"/>
          </w:tcPr>
          <w:p>
            <w:pPr>
              <w:pStyle w:val="16"/>
            </w:pPr>
            <w:r>
              <w:t>443.59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1050.81</w:t>
            </w:r>
          </w:p>
        </w:tc>
        <w:tc>
          <w:tcPr>
            <w:tcW w:w="1361" w:type="dxa"/>
            <w:vAlign w:val="center"/>
          </w:tcPr>
          <w:p>
            <w:pPr>
              <w:pStyle w:val="12"/>
            </w:pPr>
            <w:r>
              <w:t>609.02</w:t>
            </w:r>
          </w:p>
        </w:tc>
        <w:tc>
          <w:tcPr>
            <w:tcW w:w="1361" w:type="dxa"/>
            <w:vAlign w:val="center"/>
          </w:tcPr>
          <w:p>
            <w:pPr>
              <w:pStyle w:val="12"/>
            </w:pPr>
            <w:r>
              <w:t>441.79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677.19</w:t>
            </w:r>
          </w:p>
        </w:tc>
        <w:tc>
          <w:tcPr>
            <w:tcW w:w="1361" w:type="dxa"/>
            <w:vAlign w:val="center"/>
          </w:tcPr>
          <w:p>
            <w:pPr>
              <w:pStyle w:val="12"/>
            </w:pPr>
            <w:r>
              <w:t>609.02</w:t>
            </w:r>
          </w:p>
        </w:tc>
        <w:tc>
          <w:tcPr>
            <w:tcW w:w="1361" w:type="dxa"/>
            <w:vAlign w:val="center"/>
          </w:tcPr>
          <w:p>
            <w:pPr>
              <w:pStyle w:val="12"/>
            </w:pPr>
            <w:r>
              <w:t>68.17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231.90</w:t>
            </w:r>
          </w:p>
        </w:tc>
        <w:tc>
          <w:tcPr>
            <w:tcW w:w="1361" w:type="dxa"/>
            <w:vAlign w:val="center"/>
          </w:tcPr>
          <w:p>
            <w:pPr>
              <w:pStyle w:val="12"/>
            </w:pPr>
            <w:r>
              <w:t>231.90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2070109</w:t>
            </w:r>
          </w:p>
        </w:tc>
        <w:tc>
          <w:tcPr>
            <w:tcW w:w="4535" w:type="dxa"/>
            <w:vAlign w:val="center"/>
          </w:tcPr>
          <w:p>
            <w:pPr>
              <w:pStyle w:val="13"/>
            </w:pPr>
            <w:r>
              <w:t>群众文化</w:t>
            </w:r>
          </w:p>
        </w:tc>
        <w:tc>
          <w:tcPr>
            <w:tcW w:w="1361" w:type="dxa"/>
            <w:vAlign w:val="center"/>
          </w:tcPr>
          <w:p>
            <w:pPr>
              <w:pStyle w:val="12"/>
            </w:pPr>
            <w:r>
              <w:t>17.41</w:t>
            </w:r>
          </w:p>
        </w:tc>
        <w:tc>
          <w:tcPr>
            <w:tcW w:w="1361" w:type="dxa"/>
            <w:vAlign w:val="center"/>
          </w:tcPr>
          <w:p>
            <w:pPr>
              <w:pStyle w:val="12"/>
            </w:pPr>
          </w:p>
        </w:tc>
        <w:tc>
          <w:tcPr>
            <w:tcW w:w="1361" w:type="dxa"/>
            <w:vAlign w:val="center"/>
          </w:tcPr>
          <w:p>
            <w:pPr>
              <w:pStyle w:val="12"/>
            </w:pPr>
            <w:r>
              <w:t>17.41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427.88</w:t>
            </w:r>
          </w:p>
        </w:tc>
        <w:tc>
          <w:tcPr>
            <w:tcW w:w="1361" w:type="dxa"/>
            <w:vAlign w:val="center"/>
          </w:tcPr>
          <w:p>
            <w:pPr>
              <w:pStyle w:val="12"/>
            </w:pPr>
            <w:r>
              <w:t>377.12</w:t>
            </w:r>
          </w:p>
        </w:tc>
        <w:tc>
          <w:tcPr>
            <w:tcW w:w="1361" w:type="dxa"/>
            <w:vAlign w:val="center"/>
          </w:tcPr>
          <w:p>
            <w:pPr>
              <w:pStyle w:val="12"/>
            </w:pPr>
            <w:r>
              <w:t>50.76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20702</w:t>
            </w:r>
          </w:p>
        </w:tc>
        <w:tc>
          <w:tcPr>
            <w:tcW w:w="4535" w:type="dxa"/>
            <w:vAlign w:val="center"/>
          </w:tcPr>
          <w:p>
            <w:pPr>
              <w:pStyle w:val="13"/>
            </w:pPr>
            <w:r>
              <w:t>文物</w:t>
            </w:r>
          </w:p>
        </w:tc>
        <w:tc>
          <w:tcPr>
            <w:tcW w:w="1361" w:type="dxa"/>
            <w:vAlign w:val="center"/>
          </w:tcPr>
          <w:p>
            <w:pPr>
              <w:pStyle w:val="12"/>
            </w:pPr>
            <w:r>
              <w:t>11.27</w:t>
            </w:r>
          </w:p>
        </w:tc>
        <w:tc>
          <w:tcPr>
            <w:tcW w:w="1361" w:type="dxa"/>
            <w:vAlign w:val="center"/>
          </w:tcPr>
          <w:p>
            <w:pPr>
              <w:pStyle w:val="12"/>
            </w:pPr>
          </w:p>
        </w:tc>
        <w:tc>
          <w:tcPr>
            <w:tcW w:w="1361" w:type="dxa"/>
            <w:vAlign w:val="center"/>
          </w:tcPr>
          <w:p>
            <w:pPr>
              <w:pStyle w:val="12"/>
            </w:pPr>
            <w:r>
              <w:t>11.27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2070204</w:t>
            </w:r>
          </w:p>
        </w:tc>
        <w:tc>
          <w:tcPr>
            <w:tcW w:w="4535" w:type="dxa"/>
            <w:vAlign w:val="center"/>
          </w:tcPr>
          <w:p>
            <w:pPr>
              <w:pStyle w:val="13"/>
            </w:pPr>
            <w:r>
              <w:t>文物保护</w:t>
            </w:r>
          </w:p>
        </w:tc>
        <w:tc>
          <w:tcPr>
            <w:tcW w:w="1361" w:type="dxa"/>
            <w:vAlign w:val="center"/>
          </w:tcPr>
          <w:p>
            <w:pPr>
              <w:pStyle w:val="12"/>
            </w:pPr>
            <w:r>
              <w:t>11.27</w:t>
            </w:r>
          </w:p>
        </w:tc>
        <w:tc>
          <w:tcPr>
            <w:tcW w:w="1361" w:type="dxa"/>
            <w:vAlign w:val="center"/>
          </w:tcPr>
          <w:p>
            <w:pPr>
              <w:pStyle w:val="12"/>
            </w:pPr>
          </w:p>
        </w:tc>
        <w:tc>
          <w:tcPr>
            <w:tcW w:w="1361" w:type="dxa"/>
            <w:vAlign w:val="center"/>
          </w:tcPr>
          <w:p>
            <w:pPr>
              <w:pStyle w:val="12"/>
            </w:pPr>
            <w:r>
              <w:t>11.27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362.35</w:t>
            </w:r>
          </w:p>
        </w:tc>
        <w:tc>
          <w:tcPr>
            <w:tcW w:w="1361" w:type="dxa"/>
            <w:vAlign w:val="center"/>
          </w:tcPr>
          <w:p>
            <w:pPr>
              <w:pStyle w:val="12"/>
            </w:pPr>
          </w:p>
        </w:tc>
        <w:tc>
          <w:tcPr>
            <w:tcW w:w="1361" w:type="dxa"/>
            <w:vAlign w:val="center"/>
          </w:tcPr>
          <w:p>
            <w:pPr>
              <w:pStyle w:val="12"/>
            </w:pPr>
            <w:r>
              <w:t>362.35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362.35</w:t>
            </w:r>
          </w:p>
        </w:tc>
        <w:tc>
          <w:tcPr>
            <w:tcW w:w="1361" w:type="dxa"/>
            <w:vAlign w:val="center"/>
          </w:tcPr>
          <w:p>
            <w:pPr>
              <w:pStyle w:val="12"/>
            </w:pPr>
          </w:p>
        </w:tc>
        <w:tc>
          <w:tcPr>
            <w:tcW w:w="1361" w:type="dxa"/>
            <w:vAlign w:val="center"/>
          </w:tcPr>
          <w:p>
            <w:pPr>
              <w:pStyle w:val="12"/>
            </w:pPr>
            <w:r>
              <w:t>362.35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318.11</w:t>
            </w:r>
          </w:p>
        </w:tc>
        <w:tc>
          <w:tcPr>
            <w:tcW w:w="1361" w:type="dxa"/>
            <w:vAlign w:val="center"/>
          </w:tcPr>
          <w:p>
            <w:pPr>
              <w:pStyle w:val="12"/>
            </w:pPr>
            <w:r>
              <w:t>316.31</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316.31</w:t>
            </w:r>
          </w:p>
        </w:tc>
        <w:tc>
          <w:tcPr>
            <w:tcW w:w="1361" w:type="dxa"/>
            <w:vAlign w:val="center"/>
          </w:tcPr>
          <w:p>
            <w:pPr>
              <w:pStyle w:val="12"/>
            </w:pPr>
            <w:r>
              <w:t>316.31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52.68</w:t>
            </w:r>
          </w:p>
        </w:tc>
        <w:tc>
          <w:tcPr>
            <w:tcW w:w="1361" w:type="dxa"/>
            <w:vAlign w:val="center"/>
          </w:tcPr>
          <w:p>
            <w:pPr>
              <w:pStyle w:val="12"/>
            </w:pPr>
            <w:r>
              <w:t>52.68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195.62</w:t>
            </w:r>
          </w:p>
        </w:tc>
        <w:tc>
          <w:tcPr>
            <w:tcW w:w="1361" w:type="dxa"/>
            <w:vAlign w:val="center"/>
          </w:tcPr>
          <w:p>
            <w:pPr>
              <w:pStyle w:val="12"/>
            </w:pPr>
            <w:r>
              <w:t>195.62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66.29</w:t>
            </w:r>
          </w:p>
        </w:tc>
        <w:tc>
          <w:tcPr>
            <w:tcW w:w="1361" w:type="dxa"/>
            <w:vAlign w:val="center"/>
          </w:tcPr>
          <w:p>
            <w:pPr>
              <w:pStyle w:val="12"/>
            </w:pPr>
            <w:r>
              <w:t>66.29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1.73</w:t>
            </w:r>
          </w:p>
        </w:tc>
        <w:tc>
          <w:tcPr>
            <w:tcW w:w="1361" w:type="dxa"/>
            <w:vAlign w:val="center"/>
          </w:tcPr>
          <w:p>
            <w:pPr>
              <w:pStyle w:val="12"/>
            </w:pPr>
            <w:r>
              <w:t>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22.75</w:t>
            </w:r>
          </w:p>
        </w:tc>
        <w:tc>
          <w:tcPr>
            <w:tcW w:w="1361" w:type="dxa"/>
            <w:vAlign w:val="center"/>
          </w:tcPr>
          <w:p>
            <w:pPr>
              <w:pStyle w:val="12"/>
            </w:pPr>
            <w:r>
              <w:t>22.75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22.75</w:t>
            </w:r>
          </w:p>
        </w:tc>
        <w:tc>
          <w:tcPr>
            <w:tcW w:w="1361" w:type="dxa"/>
            <w:vAlign w:val="center"/>
          </w:tcPr>
          <w:p>
            <w:pPr>
              <w:pStyle w:val="12"/>
            </w:pPr>
            <w:r>
              <w:t>22.75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22.75</w:t>
            </w:r>
          </w:p>
        </w:tc>
        <w:tc>
          <w:tcPr>
            <w:tcW w:w="1361" w:type="dxa"/>
            <w:vAlign w:val="center"/>
          </w:tcPr>
          <w:p>
            <w:pPr>
              <w:pStyle w:val="12"/>
            </w:pPr>
            <w:r>
              <w:t>22.75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53.86</w:t>
            </w:r>
          </w:p>
        </w:tc>
        <w:tc>
          <w:tcPr>
            <w:tcW w:w="1361" w:type="dxa"/>
            <w:vAlign w:val="center"/>
          </w:tcPr>
          <w:p>
            <w:pPr>
              <w:pStyle w:val="12"/>
            </w:pPr>
            <w:r>
              <w:t>53.86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53.86</w:t>
            </w:r>
          </w:p>
        </w:tc>
        <w:tc>
          <w:tcPr>
            <w:tcW w:w="1361" w:type="dxa"/>
            <w:vAlign w:val="center"/>
          </w:tcPr>
          <w:p>
            <w:pPr>
              <w:pStyle w:val="12"/>
            </w:pPr>
            <w:r>
              <w:t>53.86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53.86</w:t>
            </w:r>
          </w:p>
        </w:tc>
        <w:tc>
          <w:tcPr>
            <w:tcW w:w="1361" w:type="dxa"/>
            <w:vAlign w:val="center"/>
          </w:tcPr>
          <w:p>
            <w:pPr>
              <w:pStyle w:val="12"/>
            </w:pPr>
            <w:r>
              <w:t>53.86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1387.18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1050.81</w:t>
            </w:r>
          </w:p>
        </w:tc>
        <w:tc>
          <w:tcPr>
            <w:tcW w:w="1474" w:type="dxa"/>
            <w:vAlign w:val="center"/>
          </w:tcPr>
          <w:p>
            <w:pPr>
              <w:pStyle w:val="12"/>
            </w:pPr>
            <w:r>
              <w:t>1050.81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318.11</w:t>
            </w:r>
          </w:p>
        </w:tc>
        <w:tc>
          <w:tcPr>
            <w:tcW w:w="1474" w:type="dxa"/>
            <w:vAlign w:val="center"/>
          </w:tcPr>
          <w:p>
            <w:pPr>
              <w:pStyle w:val="12"/>
            </w:pPr>
            <w:r>
              <w:t>318.11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22.75</w:t>
            </w:r>
          </w:p>
        </w:tc>
        <w:tc>
          <w:tcPr>
            <w:tcW w:w="1474" w:type="dxa"/>
            <w:vAlign w:val="center"/>
          </w:tcPr>
          <w:p>
            <w:pPr>
              <w:pStyle w:val="12"/>
            </w:pPr>
            <w:r>
              <w:t>22.75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53.86</w:t>
            </w:r>
          </w:p>
        </w:tc>
        <w:tc>
          <w:tcPr>
            <w:tcW w:w="1474" w:type="dxa"/>
            <w:vAlign w:val="center"/>
          </w:tcPr>
          <w:p>
            <w:pPr>
              <w:pStyle w:val="12"/>
            </w:pPr>
            <w:r>
              <w:t>53.86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1387.18</w:t>
            </w:r>
          </w:p>
        </w:tc>
        <w:tc>
          <w:tcPr>
            <w:tcW w:w="3402" w:type="dxa"/>
            <w:vAlign w:val="center"/>
          </w:tcPr>
          <w:p>
            <w:pPr>
              <w:pStyle w:val="15"/>
            </w:pPr>
            <w:r>
              <w:t>本年支出合计</w:t>
            </w:r>
          </w:p>
        </w:tc>
        <w:tc>
          <w:tcPr>
            <w:tcW w:w="1474" w:type="dxa"/>
            <w:vAlign w:val="center"/>
          </w:tcPr>
          <w:p>
            <w:pPr>
              <w:pStyle w:val="16"/>
            </w:pPr>
            <w:r>
              <w:t>1445.52</w:t>
            </w:r>
          </w:p>
        </w:tc>
        <w:tc>
          <w:tcPr>
            <w:tcW w:w="1474" w:type="dxa"/>
            <w:vAlign w:val="center"/>
          </w:tcPr>
          <w:p>
            <w:pPr>
              <w:pStyle w:val="16"/>
            </w:pPr>
            <w:r>
              <w:t>1445.52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58.34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58.34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1445.52</w:t>
            </w:r>
          </w:p>
        </w:tc>
        <w:tc>
          <w:tcPr>
            <w:tcW w:w="3402" w:type="dxa"/>
            <w:vAlign w:val="center"/>
          </w:tcPr>
          <w:p>
            <w:pPr>
              <w:pStyle w:val="15"/>
            </w:pPr>
            <w:r>
              <w:t>支出总计</w:t>
            </w:r>
          </w:p>
        </w:tc>
        <w:tc>
          <w:tcPr>
            <w:tcW w:w="1474" w:type="dxa"/>
            <w:vAlign w:val="center"/>
          </w:tcPr>
          <w:p>
            <w:pPr>
              <w:pStyle w:val="16"/>
            </w:pPr>
            <w:r>
              <w:t>1445.52</w:t>
            </w:r>
          </w:p>
        </w:tc>
        <w:tc>
          <w:tcPr>
            <w:tcW w:w="1474" w:type="dxa"/>
            <w:vAlign w:val="center"/>
          </w:tcPr>
          <w:p>
            <w:pPr>
              <w:pStyle w:val="16"/>
            </w:pPr>
            <w:r>
              <w:t>1445.52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1445.52</w:t>
            </w:r>
          </w:p>
        </w:tc>
        <w:tc>
          <w:tcPr>
            <w:tcW w:w="2551" w:type="dxa"/>
            <w:vAlign w:val="center"/>
          </w:tcPr>
          <w:p>
            <w:pPr>
              <w:pStyle w:val="16"/>
            </w:pPr>
            <w:r>
              <w:t>1001.93</w:t>
            </w:r>
          </w:p>
        </w:tc>
        <w:tc>
          <w:tcPr>
            <w:tcW w:w="2551" w:type="dxa"/>
            <w:vAlign w:val="center"/>
          </w:tcPr>
          <w:p>
            <w:pPr>
              <w:pStyle w:val="16"/>
            </w:pPr>
            <w:r>
              <w:t>443.59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1050.81</w:t>
            </w:r>
          </w:p>
        </w:tc>
        <w:tc>
          <w:tcPr>
            <w:tcW w:w="2551" w:type="dxa"/>
            <w:vAlign w:val="center"/>
          </w:tcPr>
          <w:p>
            <w:pPr>
              <w:pStyle w:val="12"/>
            </w:pPr>
            <w:r>
              <w:t>609.02</w:t>
            </w:r>
          </w:p>
        </w:tc>
        <w:tc>
          <w:tcPr>
            <w:tcW w:w="2551" w:type="dxa"/>
            <w:vAlign w:val="center"/>
          </w:tcPr>
          <w:p>
            <w:pPr>
              <w:pStyle w:val="12"/>
            </w:pPr>
            <w:r>
              <w:t>441.79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677.19</w:t>
            </w:r>
          </w:p>
        </w:tc>
        <w:tc>
          <w:tcPr>
            <w:tcW w:w="2551" w:type="dxa"/>
            <w:vAlign w:val="center"/>
          </w:tcPr>
          <w:p>
            <w:pPr>
              <w:pStyle w:val="12"/>
            </w:pPr>
            <w:r>
              <w:t>609.02</w:t>
            </w:r>
          </w:p>
        </w:tc>
        <w:tc>
          <w:tcPr>
            <w:tcW w:w="2551" w:type="dxa"/>
            <w:vAlign w:val="center"/>
          </w:tcPr>
          <w:p>
            <w:pPr>
              <w:pStyle w:val="12"/>
            </w:pPr>
            <w:r>
              <w:t>68.17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231.90</w:t>
            </w:r>
          </w:p>
        </w:tc>
        <w:tc>
          <w:tcPr>
            <w:tcW w:w="2551" w:type="dxa"/>
            <w:vAlign w:val="center"/>
          </w:tcPr>
          <w:p>
            <w:pPr>
              <w:pStyle w:val="12"/>
            </w:pPr>
            <w:r>
              <w:t>231.90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2070109</w:t>
            </w:r>
          </w:p>
        </w:tc>
        <w:tc>
          <w:tcPr>
            <w:tcW w:w="4535" w:type="dxa"/>
            <w:vAlign w:val="center"/>
          </w:tcPr>
          <w:p>
            <w:pPr>
              <w:pStyle w:val="13"/>
            </w:pPr>
            <w:r>
              <w:t>群众文化</w:t>
            </w:r>
          </w:p>
        </w:tc>
        <w:tc>
          <w:tcPr>
            <w:tcW w:w="2551" w:type="dxa"/>
            <w:vAlign w:val="center"/>
          </w:tcPr>
          <w:p>
            <w:pPr>
              <w:pStyle w:val="12"/>
            </w:pPr>
            <w:r>
              <w:t>17.41</w:t>
            </w:r>
          </w:p>
        </w:tc>
        <w:tc>
          <w:tcPr>
            <w:tcW w:w="2551" w:type="dxa"/>
            <w:vAlign w:val="center"/>
          </w:tcPr>
          <w:p>
            <w:pPr>
              <w:pStyle w:val="12"/>
            </w:pPr>
          </w:p>
        </w:tc>
        <w:tc>
          <w:tcPr>
            <w:tcW w:w="2551" w:type="dxa"/>
            <w:vAlign w:val="center"/>
          </w:tcPr>
          <w:p>
            <w:pPr>
              <w:pStyle w:val="12"/>
            </w:pPr>
            <w:r>
              <w:t>17.41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427.88</w:t>
            </w:r>
          </w:p>
        </w:tc>
        <w:tc>
          <w:tcPr>
            <w:tcW w:w="2551" w:type="dxa"/>
            <w:vAlign w:val="center"/>
          </w:tcPr>
          <w:p>
            <w:pPr>
              <w:pStyle w:val="12"/>
            </w:pPr>
            <w:r>
              <w:t>377.12</w:t>
            </w:r>
          </w:p>
        </w:tc>
        <w:tc>
          <w:tcPr>
            <w:tcW w:w="2551" w:type="dxa"/>
            <w:vAlign w:val="center"/>
          </w:tcPr>
          <w:p>
            <w:pPr>
              <w:pStyle w:val="12"/>
            </w:pPr>
            <w:r>
              <w:t>50.76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20702</w:t>
            </w:r>
          </w:p>
        </w:tc>
        <w:tc>
          <w:tcPr>
            <w:tcW w:w="4535" w:type="dxa"/>
            <w:vAlign w:val="center"/>
          </w:tcPr>
          <w:p>
            <w:pPr>
              <w:pStyle w:val="13"/>
            </w:pPr>
            <w:r>
              <w:t>文物</w:t>
            </w:r>
          </w:p>
        </w:tc>
        <w:tc>
          <w:tcPr>
            <w:tcW w:w="2551" w:type="dxa"/>
            <w:vAlign w:val="center"/>
          </w:tcPr>
          <w:p>
            <w:pPr>
              <w:pStyle w:val="12"/>
            </w:pPr>
            <w:r>
              <w:t>11.27</w:t>
            </w:r>
          </w:p>
        </w:tc>
        <w:tc>
          <w:tcPr>
            <w:tcW w:w="2551" w:type="dxa"/>
            <w:vAlign w:val="center"/>
          </w:tcPr>
          <w:p>
            <w:pPr>
              <w:pStyle w:val="12"/>
            </w:pPr>
          </w:p>
        </w:tc>
        <w:tc>
          <w:tcPr>
            <w:tcW w:w="2551" w:type="dxa"/>
            <w:vAlign w:val="center"/>
          </w:tcPr>
          <w:p>
            <w:pPr>
              <w:pStyle w:val="12"/>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2070204</w:t>
            </w:r>
          </w:p>
        </w:tc>
        <w:tc>
          <w:tcPr>
            <w:tcW w:w="4535" w:type="dxa"/>
            <w:vAlign w:val="center"/>
          </w:tcPr>
          <w:p>
            <w:pPr>
              <w:pStyle w:val="13"/>
            </w:pPr>
            <w:r>
              <w:t>文物保护</w:t>
            </w:r>
          </w:p>
        </w:tc>
        <w:tc>
          <w:tcPr>
            <w:tcW w:w="2551" w:type="dxa"/>
            <w:vAlign w:val="center"/>
          </w:tcPr>
          <w:p>
            <w:pPr>
              <w:pStyle w:val="12"/>
            </w:pPr>
            <w:r>
              <w:t>11.27</w:t>
            </w:r>
          </w:p>
        </w:tc>
        <w:tc>
          <w:tcPr>
            <w:tcW w:w="2551" w:type="dxa"/>
            <w:vAlign w:val="center"/>
          </w:tcPr>
          <w:p>
            <w:pPr>
              <w:pStyle w:val="12"/>
            </w:pPr>
          </w:p>
        </w:tc>
        <w:tc>
          <w:tcPr>
            <w:tcW w:w="2551" w:type="dxa"/>
            <w:vAlign w:val="center"/>
          </w:tcPr>
          <w:p>
            <w:pPr>
              <w:pStyle w:val="12"/>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362.35</w:t>
            </w:r>
          </w:p>
        </w:tc>
        <w:tc>
          <w:tcPr>
            <w:tcW w:w="2551" w:type="dxa"/>
            <w:vAlign w:val="center"/>
          </w:tcPr>
          <w:p>
            <w:pPr>
              <w:pStyle w:val="12"/>
            </w:pPr>
          </w:p>
        </w:tc>
        <w:tc>
          <w:tcPr>
            <w:tcW w:w="2551" w:type="dxa"/>
            <w:vAlign w:val="center"/>
          </w:tcPr>
          <w:p>
            <w:pPr>
              <w:pStyle w:val="12"/>
            </w:pPr>
            <w:r>
              <w:t>362.35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362.35</w:t>
            </w:r>
          </w:p>
        </w:tc>
        <w:tc>
          <w:tcPr>
            <w:tcW w:w="2551" w:type="dxa"/>
            <w:vAlign w:val="center"/>
          </w:tcPr>
          <w:p>
            <w:pPr>
              <w:pStyle w:val="12"/>
            </w:pPr>
          </w:p>
        </w:tc>
        <w:tc>
          <w:tcPr>
            <w:tcW w:w="2551" w:type="dxa"/>
            <w:vAlign w:val="center"/>
          </w:tcPr>
          <w:p>
            <w:pPr>
              <w:pStyle w:val="12"/>
            </w:pPr>
            <w:r>
              <w:t>362.35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318.11</w:t>
            </w:r>
          </w:p>
        </w:tc>
        <w:tc>
          <w:tcPr>
            <w:tcW w:w="2551" w:type="dxa"/>
            <w:vAlign w:val="center"/>
          </w:tcPr>
          <w:p>
            <w:pPr>
              <w:pStyle w:val="12"/>
            </w:pPr>
            <w:r>
              <w:t>316.31</w:t>
            </w: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316.31</w:t>
            </w:r>
          </w:p>
        </w:tc>
        <w:tc>
          <w:tcPr>
            <w:tcW w:w="2551" w:type="dxa"/>
            <w:vAlign w:val="center"/>
          </w:tcPr>
          <w:p>
            <w:pPr>
              <w:pStyle w:val="12"/>
            </w:pPr>
            <w:r>
              <w:t>316.31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52.68</w:t>
            </w:r>
          </w:p>
        </w:tc>
        <w:tc>
          <w:tcPr>
            <w:tcW w:w="2551" w:type="dxa"/>
            <w:vAlign w:val="center"/>
          </w:tcPr>
          <w:p>
            <w:pPr>
              <w:pStyle w:val="12"/>
            </w:pPr>
            <w:r>
              <w:t>52.68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195.62</w:t>
            </w:r>
          </w:p>
        </w:tc>
        <w:tc>
          <w:tcPr>
            <w:tcW w:w="2551" w:type="dxa"/>
            <w:vAlign w:val="center"/>
          </w:tcPr>
          <w:p>
            <w:pPr>
              <w:pStyle w:val="12"/>
            </w:pPr>
            <w:r>
              <w:t>195.62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66.29</w:t>
            </w:r>
          </w:p>
        </w:tc>
        <w:tc>
          <w:tcPr>
            <w:tcW w:w="2551" w:type="dxa"/>
            <w:vAlign w:val="center"/>
          </w:tcPr>
          <w:p>
            <w:pPr>
              <w:pStyle w:val="12"/>
            </w:pPr>
            <w:r>
              <w:t>66.29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1.73</w:t>
            </w:r>
          </w:p>
        </w:tc>
        <w:tc>
          <w:tcPr>
            <w:tcW w:w="2551" w:type="dxa"/>
            <w:vAlign w:val="center"/>
          </w:tcPr>
          <w:p>
            <w:pPr>
              <w:pStyle w:val="12"/>
            </w:pPr>
            <w:r>
              <w:t>1.73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22.75</w:t>
            </w:r>
          </w:p>
        </w:tc>
        <w:tc>
          <w:tcPr>
            <w:tcW w:w="2551" w:type="dxa"/>
            <w:vAlign w:val="center"/>
          </w:tcPr>
          <w:p>
            <w:pPr>
              <w:pStyle w:val="12"/>
            </w:pPr>
            <w:r>
              <w:t>22.75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22.75</w:t>
            </w:r>
          </w:p>
        </w:tc>
        <w:tc>
          <w:tcPr>
            <w:tcW w:w="2551" w:type="dxa"/>
            <w:vAlign w:val="center"/>
          </w:tcPr>
          <w:p>
            <w:pPr>
              <w:pStyle w:val="12"/>
            </w:pPr>
            <w:r>
              <w:t>22.75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22.75</w:t>
            </w:r>
          </w:p>
        </w:tc>
        <w:tc>
          <w:tcPr>
            <w:tcW w:w="2551" w:type="dxa"/>
            <w:vAlign w:val="center"/>
          </w:tcPr>
          <w:p>
            <w:pPr>
              <w:pStyle w:val="12"/>
            </w:pPr>
            <w:r>
              <w:t>22.75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53.86</w:t>
            </w:r>
          </w:p>
        </w:tc>
        <w:tc>
          <w:tcPr>
            <w:tcW w:w="2551" w:type="dxa"/>
            <w:vAlign w:val="center"/>
          </w:tcPr>
          <w:p>
            <w:pPr>
              <w:pStyle w:val="12"/>
            </w:pPr>
            <w:r>
              <w:t>53.86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53.86</w:t>
            </w:r>
          </w:p>
        </w:tc>
        <w:tc>
          <w:tcPr>
            <w:tcW w:w="2551" w:type="dxa"/>
            <w:vAlign w:val="center"/>
          </w:tcPr>
          <w:p>
            <w:pPr>
              <w:pStyle w:val="12"/>
            </w:pPr>
            <w:r>
              <w:t>53.86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53.86</w:t>
            </w:r>
          </w:p>
        </w:tc>
        <w:tc>
          <w:tcPr>
            <w:tcW w:w="2551" w:type="dxa"/>
            <w:vAlign w:val="center"/>
          </w:tcPr>
          <w:p>
            <w:pPr>
              <w:pStyle w:val="12"/>
            </w:pPr>
            <w:r>
              <w:t>53.86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1001.93</w:t>
            </w:r>
          </w:p>
        </w:tc>
        <w:tc>
          <w:tcPr>
            <w:tcW w:w="2551" w:type="dxa"/>
            <w:vAlign w:val="center"/>
          </w:tcPr>
          <w:p>
            <w:pPr>
              <w:pStyle w:val="16"/>
            </w:pPr>
            <w:r>
              <w:t>941.04</w:t>
            </w:r>
          </w:p>
        </w:tc>
        <w:tc>
          <w:tcPr>
            <w:tcW w:w="2551" w:type="dxa"/>
            <w:vAlign w:val="center"/>
          </w:tcPr>
          <w:p>
            <w:pPr>
              <w:pStyle w:val="16"/>
            </w:pPr>
            <w:r>
              <w:t>60.89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691.90</w:t>
            </w:r>
          </w:p>
        </w:tc>
        <w:tc>
          <w:tcPr>
            <w:tcW w:w="2551" w:type="dxa"/>
            <w:vAlign w:val="center"/>
          </w:tcPr>
          <w:p>
            <w:pPr>
              <w:pStyle w:val="12"/>
            </w:pPr>
            <w:r>
              <w:t>691.90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264.09</w:t>
            </w:r>
          </w:p>
        </w:tc>
        <w:tc>
          <w:tcPr>
            <w:tcW w:w="2551" w:type="dxa"/>
            <w:vAlign w:val="center"/>
          </w:tcPr>
          <w:p>
            <w:pPr>
              <w:pStyle w:val="12"/>
            </w:pPr>
            <w:r>
              <w:t>264.09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64.60</w:t>
            </w:r>
          </w:p>
        </w:tc>
        <w:tc>
          <w:tcPr>
            <w:tcW w:w="2551" w:type="dxa"/>
            <w:vAlign w:val="center"/>
          </w:tcPr>
          <w:p>
            <w:pPr>
              <w:pStyle w:val="12"/>
            </w:pPr>
            <w:r>
              <w:t>64.60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28.96</w:t>
            </w:r>
          </w:p>
        </w:tc>
        <w:tc>
          <w:tcPr>
            <w:tcW w:w="2551" w:type="dxa"/>
            <w:vAlign w:val="center"/>
          </w:tcPr>
          <w:p>
            <w:pPr>
              <w:pStyle w:val="12"/>
            </w:pPr>
            <w:r>
              <w:t>28.96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186.08</w:t>
            </w:r>
          </w:p>
        </w:tc>
        <w:tc>
          <w:tcPr>
            <w:tcW w:w="2551" w:type="dxa"/>
            <w:vAlign w:val="center"/>
          </w:tcPr>
          <w:p>
            <w:pPr>
              <w:pStyle w:val="12"/>
            </w:pPr>
            <w:r>
              <w:t>186.08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66.29</w:t>
            </w:r>
          </w:p>
        </w:tc>
        <w:tc>
          <w:tcPr>
            <w:tcW w:w="2551" w:type="dxa"/>
            <w:vAlign w:val="center"/>
          </w:tcPr>
          <w:p>
            <w:pPr>
              <w:pStyle w:val="12"/>
            </w:pPr>
            <w:r>
              <w:t>66.29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1.73</w:t>
            </w:r>
          </w:p>
        </w:tc>
        <w:tc>
          <w:tcPr>
            <w:tcW w:w="2551" w:type="dxa"/>
            <w:vAlign w:val="center"/>
          </w:tcPr>
          <w:p>
            <w:pPr>
              <w:pStyle w:val="12"/>
            </w:pPr>
            <w:r>
              <w:t>1.73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22.75</w:t>
            </w:r>
          </w:p>
        </w:tc>
        <w:tc>
          <w:tcPr>
            <w:tcW w:w="2551" w:type="dxa"/>
            <w:vAlign w:val="center"/>
          </w:tcPr>
          <w:p>
            <w:pPr>
              <w:pStyle w:val="12"/>
            </w:pPr>
            <w:r>
              <w:t>22.75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3.55</w:t>
            </w:r>
          </w:p>
        </w:tc>
        <w:tc>
          <w:tcPr>
            <w:tcW w:w="2551" w:type="dxa"/>
            <w:vAlign w:val="center"/>
          </w:tcPr>
          <w:p>
            <w:pPr>
              <w:pStyle w:val="12"/>
            </w:pPr>
            <w:r>
              <w:t>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53.86</w:t>
            </w:r>
          </w:p>
        </w:tc>
        <w:tc>
          <w:tcPr>
            <w:tcW w:w="2551" w:type="dxa"/>
            <w:vAlign w:val="center"/>
          </w:tcPr>
          <w:p>
            <w:pPr>
              <w:pStyle w:val="12"/>
            </w:pPr>
            <w:r>
              <w:t>53.86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60.89</w:t>
            </w:r>
          </w:p>
        </w:tc>
        <w:tc>
          <w:tcPr>
            <w:tcW w:w="2551" w:type="dxa"/>
            <w:vAlign w:val="center"/>
          </w:tcPr>
          <w:p>
            <w:pPr>
              <w:pStyle w:val="12"/>
            </w:pPr>
          </w:p>
        </w:tc>
        <w:tc>
          <w:tcPr>
            <w:tcW w:w="2551" w:type="dxa"/>
            <w:vAlign w:val="center"/>
          </w:tcPr>
          <w:p>
            <w:pPr>
              <w:pStyle w:val="12"/>
            </w:pPr>
            <w:r>
              <w:t>60.89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12.64</w:t>
            </w:r>
          </w:p>
        </w:tc>
        <w:tc>
          <w:tcPr>
            <w:tcW w:w="2551" w:type="dxa"/>
            <w:vAlign w:val="center"/>
          </w:tcPr>
          <w:p>
            <w:pPr>
              <w:pStyle w:val="12"/>
            </w:pPr>
          </w:p>
        </w:tc>
        <w:tc>
          <w:tcPr>
            <w:tcW w:w="2551" w:type="dxa"/>
            <w:vAlign w:val="center"/>
          </w:tcPr>
          <w:p>
            <w:pPr>
              <w:pStyle w:val="12"/>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3.66</w:t>
            </w:r>
          </w:p>
        </w:tc>
        <w:tc>
          <w:tcPr>
            <w:tcW w:w="2551" w:type="dxa"/>
            <w:vAlign w:val="center"/>
          </w:tcPr>
          <w:p>
            <w:pPr>
              <w:pStyle w:val="12"/>
            </w:pPr>
          </w:p>
        </w:tc>
        <w:tc>
          <w:tcPr>
            <w:tcW w:w="2551" w:type="dxa"/>
            <w:vAlign w:val="center"/>
          </w:tcPr>
          <w:p>
            <w:pPr>
              <w:pStyle w:val="12"/>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9.39</w:t>
            </w:r>
          </w:p>
        </w:tc>
        <w:tc>
          <w:tcPr>
            <w:tcW w:w="2551" w:type="dxa"/>
            <w:vAlign w:val="center"/>
          </w:tcPr>
          <w:p>
            <w:pPr>
              <w:pStyle w:val="12"/>
            </w:pPr>
          </w:p>
        </w:tc>
        <w:tc>
          <w:tcPr>
            <w:tcW w:w="2551" w:type="dxa"/>
            <w:vAlign w:val="center"/>
          </w:tcPr>
          <w:p>
            <w:pPr>
              <w:pStyle w:val="12"/>
            </w:pPr>
            <w:r>
              <w:t>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6.82</w:t>
            </w:r>
          </w:p>
        </w:tc>
        <w:tc>
          <w:tcPr>
            <w:tcW w:w="2551" w:type="dxa"/>
            <w:vAlign w:val="center"/>
          </w:tcPr>
          <w:p>
            <w:pPr>
              <w:pStyle w:val="12"/>
            </w:pPr>
          </w:p>
        </w:tc>
        <w:tc>
          <w:tcPr>
            <w:tcW w:w="2551" w:type="dxa"/>
            <w:vAlign w:val="center"/>
          </w:tcPr>
          <w:p>
            <w:pPr>
              <w:pStyle w:val="12"/>
            </w:pPr>
            <w:r>
              <w:t>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6.36</w:t>
            </w:r>
          </w:p>
        </w:tc>
        <w:tc>
          <w:tcPr>
            <w:tcW w:w="2551" w:type="dxa"/>
            <w:vAlign w:val="center"/>
          </w:tcPr>
          <w:p>
            <w:pPr>
              <w:pStyle w:val="12"/>
            </w:pPr>
          </w:p>
        </w:tc>
        <w:tc>
          <w:tcPr>
            <w:tcW w:w="2551" w:type="dxa"/>
            <w:vAlign w:val="center"/>
          </w:tcPr>
          <w:p>
            <w:pPr>
              <w:pStyle w:val="12"/>
            </w:pPr>
            <w:r>
              <w:t>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12.62</w:t>
            </w:r>
          </w:p>
        </w:tc>
        <w:tc>
          <w:tcPr>
            <w:tcW w:w="2551" w:type="dxa"/>
            <w:vAlign w:val="center"/>
          </w:tcPr>
          <w:p>
            <w:pPr>
              <w:pStyle w:val="12"/>
            </w:pPr>
          </w:p>
        </w:tc>
        <w:tc>
          <w:tcPr>
            <w:tcW w:w="2551" w:type="dxa"/>
            <w:vAlign w:val="center"/>
          </w:tcPr>
          <w:p>
            <w:pPr>
              <w:pStyle w:val="12"/>
            </w:pPr>
            <w: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249.14</w:t>
            </w:r>
          </w:p>
        </w:tc>
        <w:tc>
          <w:tcPr>
            <w:tcW w:w="2551" w:type="dxa"/>
            <w:vAlign w:val="center"/>
          </w:tcPr>
          <w:p>
            <w:pPr>
              <w:pStyle w:val="12"/>
            </w:pPr>
            <w:r>
              <w:t>249.14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245.51</w:t>
            </w:r>
          </w:p>
        </w:tc>
        <w:tc>
          <w:tcPr>
            <w:tcW w:w="2551" w:type="dxa"/>
            <w:vAlign w:val="center"/>
          </w:tcPr>
          <w:p>
            <w:pPr>
              <w:pStyle w:val="12"/>
            </w:pPr>
            <w:r>
              <w:t>245.51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9.40</w:t>
            </w:r>
          </w:p>
        </w:tc>
        <w:tc>
          <w:tcPr>
            <w:tcW w:w="2381" w:type="dxa"/>
            <w:vAlign w:val="center"/>
          </w:tcPr>
          <w:p>
            <w:pPr>
              <w:pStyle w:val="16"/>
            </w:pPr>
            <w:r>
              <w:t>9.40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保定市徐水区文化广电和旅游局2026年部门预算信息公开情况说明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保定市徐水区文化广电和旅游局2026年部门预算信息公开情况说明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按照《中华人民共和国预算法》、《地方预决算公开操作规程》和《关于进一步推进预算公开工作的实施意见》规定，现将保定市徐水区文化广电和旅游局2026年部门预算公开如下：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根据《保定市徐水区文化广电和旅游局职能配置、内设机构和人员编制规定》，保定市徐水区文化广电和旅游局的主要职责是：</w:t>
      </w:r>
    </w:p>
    <w:p>
      <w:pPr>
        <w:pStyle w:val="18"/>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18"/>
      </w:pPr>
      <w:r>
        <w:t>（二）.拟订全区文化和旅游事业、文化和旅游产业、广播电视、文物和博物馆事业发展规划并组织实施，推进文化、旅游、广播电视融合发展，推进文化和旅游、广播电视领域体制机制改革。</w:t>
      </w:r>
    </w:p>
    <w:p>
      <w:pPr>
        <w:pStyle w:val="18"/>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18"/>
      </w:pPr>
      <w:r>
        <w:t>（四）.指导、管理全区文艺事业。指导艺术创作生产，扶持体现中国梦和社会主义核心价值观，具有导向性、代表性、示范性的文艺作品，推动全区各门类艺术、各艺术品种发展。</w:t>
      </w:r>
    </w:p>
    <w:p>
      <w:pPr>
        <w:pStyle w:val="18"/>
      </w:pPr>
      <w:r>
        <w:t>（五）.负责全区公共文化、旅游和广播电视事业发展。</w:t>
      </w:r>
    </w:p>
    <w:p>
      <w:pPr>
        <w:pStyle w:val="18"/>
      </w:pPr>
      <w:r>
        <w:t>推进全区旅游、文物和博物馆公共文化服务体系建设，深入实施文化和旅游惠民工程，统筹推进全区基本公共文化、旅游和广播电视服务标准化、均等化。</w:t>
      </w:r>
    </w:p>
    <w:p>
      <w:pPr>
        <w:pStyle w:val="18"/>
      </w:pPr>
      <w:r>
        <w:t>（六）.指导、推进全区文化、旅游和广播电视科技创新发展，推进文化和旅游行业信息化、标准化建设。</w:t>
      </w:r>
    </w:p>
    <w:p>
      <w:pPr>
        <w:pStyle w:val="18"/>
      </w:pPr>
      <w:r>
        <w:t>（七）.负责对全区各类广播电视机构进行业务指导和行业监管，会同有关部门对全区网络试听节目服务机构进行管理，推进广播电视与新媒体新技术新业态融合发展。</w:t>
      </w:r>
    </w:p>
    <w:p>
      <w:pPr>
        <w:pStyle w:val="18"/>
      </w:pPr>
      <w:r>
        <w:t>（八）. 组织协调文化遗产的管理和保护，指导和管理文物事业，组织指导文物的保护抢救、考古发掘和开发利用工作。负责全区非物质文化遗产保护，推动非物质文化遗产的保护、传承、普及、弘扬和振兴。</w:t>
      </w:r>
    </w:p>
    <w:p>
      <w:pPr>
        <w:pStyle w:val="18"/>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18"/>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18"/>
      </w:pPr>
      <w:r>
        <w:t>（十二）.完成区委、区政府交办的其他任务。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保定市徐水区文化广电和旅游局本级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按照预算管理有关规定，目前部门预算的编制实行综合预算管理，即全部收入和支出都反映在预算中。保定市徐水区文化广电和旅游局机关及所属事业单位的收支包含在部门预算中。</w:t>
      </w:r>
    </w:p>
    <w:p>
      <w:pPr>
        <w:pStyle w:val="19"/>
      </w:pPr>
      <w:r>
        <w:t>1、收入说明</w:t>
      </w:r>
    </w:p>
    <w:p>
      <w:pPr>
        <w:pStyle w:val="19"/>
      </w:pPr>
      <w:r>
        <w:t>反映本部门当年全部收入。2026年预算收入1445.52万元，其中：一般公共预算收入1387.18万元，基金预算收入0.00万元，国有资本经营预算收入0.00万元，财政专户核拨收入0.00万元，单位资金收入0.00万元，上年结转结余58.34万元。</w:t>
      </w:r>
    </w:p>
    <w:p>
      <w:pPr>
        <w:pStyle w:val="19"/>
      </w:pPr>
      <w:r>
        <w:t>2、支出说明</w:t>
      </w:r>
    </w:p>
    <w:p>
      <w:pPr>
        <w:pStyle w:val="19"/>
      </w:pPr>
      <w:r>
        <w:t>收支预算总表支出栏、基本支出表、项目支出表按经济分类和支出功能分类科目编制，反映保定市徐水区文化广电和旅游局年度部门预算中支出预算的总体情况。2026年支出预算1445.52万元，其中基本支出1001.93万元，包括人员经费941.04万元和日常公用经费60.89万元；项目支出443.59万元，主要为区图书馆文化馆博物馆运转保障经费175.71万元</w:t>
      </w:r>
    </w:p>
    <w:p>
      <w:pPr>
        <w:pStyle w:val="19"/>
      </w:pPr>
      <w:r>
        <w:t>视频会议系统服务费2.00万元</w:t>
      </w:r>
    </w:p>
    <w:p>
      <w:pPr>
        <w:pStyle w:val="19"/>
      </w:pPr>
      <w:r>
        <w:t>提前下达2026年国家非物质文化遗产保护资金29.00万元</w:t>
      </w:r>
    </w:p>
    <w:p>
      <w:pPr>
        <w:pStyle w:val="19"/>
      </w:pPr>
      <w:r>
        <w:t>提前下达2026年省级非物质文化遗产保护专项资金7.20万元</w:t>
      </w:r>
    </w:p>
    <w:p>
      <w:pPr>
        <w:pStyle w:val="19"/>
      </w:pPr>
      <w:r>
        <w:t>退役军人专岗人员提高待遇资金1.80万元</w:t>
      </w:r>
    </w:p>
    <w:p>
      <w:pPr>
        <w:pStyle w:val="19"/>
      </w:pPr>
      <w:r>
        <w:t>文物保护专项业务费11.27万元</w:t>
      </w:r>
    </w:p>
    <w:p>
      <w:pPr>
        <w:pStyle w:val="19"/>
      </w:pPr>
      <w:r>
        <w:t>中央支持地方公共文化服务体系建设补助资金-一般项目和奖励绩效58.34万元</w:t>
      </w:r>
    </w:p>
    <w:p>
      <w:pPr>
        <w:pStyle w:val="19"/>
      </w:pPr>
      <w:r>
        <w:t>“三馆一站”免费开放补助资金12.00万元</w:t>
      </w:r>
    </w:p>
    <w:p>
      <w:pPr>
        <w:pStyle w:val="19"/>
      </w:pPr>
      <w:r>
        <w:t>提前下达2026年基层三馆一站免费开放运行保障经费省级资金4.00万元</w:t>
      </w:r>
      <w:r>
        <w:tab/>
      </w:r>
      <w:r>
        <w:tab/>
      </w:r>
    </w:p>
    <w:p>
      <w:pPr>
        <w:pStyle w:val="19"/>
      </w:pPr>
      <w:r>
        <w:t>提前下达2026年中央支持地方公共文化服务体系建设补助资金-“三馆一站”免费开放补助资金24.00万元</w:t>
      </w:r>
    </w:p>
    <w:p>
      <w:pPr>
        <w:pStyle w:val="19"/>
      </w:pPr>
      <w:r>
        <w:t>保安保洁经费10.08万元</w:t>
      </w:r>
    </w:p>
    <w:p>
      <w:pPr>
        <w:pStyle w:val="19"/>
      </w:pPr>
      <w:r>
        <w:t>保定市徐水区博物馆派遣人员经费40.68万元</w:t>
      </w:r>
    </w:p>
    <w:p>
      <w:pPr>
        <w:pStyle w:val="19"/>
      </w:pPr>
      <w:r>
        <w:t>劳务派遣人员经费50.10万元</w:t>
      </w:r>
    </w:p>
    <w:p>
      <w:pPr>
        <w:pStyle w:val="19"/>
      </w:pPr>
      <w:r>
        <w:t>徐水会堂人员经费17.41万元；预计下年使用的单位资金结余0.00万元。委托业务费共计安排58.34万元，主要用于因技术原因确需对外委托的辅助性工作和确有必要对外委托开展咨询、评审、规划等工作。</w:t>
      </w:r>
    </w:p>
    <w:p>
      <w:pPr>
        <w:pStyle w:val="19"/>
      </w:pPr>
      <w:r>
        <w:t>3、比上年增减情况</w:t>
      </w:r>
    </w:p>
    <w:p>
      <w:pPr>
        <w:pStyle w:val="19"/>
      </w:pPr>
      <w:r>
        <w:t>2026年预算收支安排1445.52万元，较2025年预算增加64.45万元，其中：基本支出增加26.02万元，主要为2026年人员工资基数增加，人员经费支出增加项目支出增加38.42万元，主要为公共图书馆、美术馆、文化馆[站]免费开放补助资金减少</w:t>
      </w:r>
    </w:p>
    <w:p>
      <w:pPr>
        <w:pStyle w:val="19"/>
      </w:pPr>
      <w:r>
        <w:t>增加保定市徐水区博物馆派遣人员经费40.68万元。预计下年使用的单位资金结余增加0.00万元。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rPr>
          <w:rFonts w:ascii="Times New Roman" w:hAnsi="Times New Roman" w:eastAsia="方正仿宋_GBK" w:cs="Times New Roman"/>
          <w:sz w:val="28"/>
          <w:szCs w:val="22"/>
        </w:rPr>
        <w:t>2026年，我单位机关运行经费共计安排60.89万元，主要用于日常维修、办公用房水电费、办公用房取暖费、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9.40万元，其中因公出国（境）费0.00万元；公务用车购置及运维费9.40万元（其中：公务用车购置费为0.00万元，公务用车运维费9.40万元)；公务接待费0.00万元。与2025年相比减少0.32万元，增减变化的主要原因是认真贯彻落实中央八项规定精神和厉行节约要求，从严控制“三公”经费开支，预算有所节约。</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在区委、区政府的正确领导下，坚持以习近平新时代中国特色社会主义思想为指导。坚持以人民为中心，提供优质的文化旅游产品和服务；围绕高质量发展目标，努力提升文化事业、文化产业和旅游业整体质量和效益；坚持融合发展、创新驱动、绿色发展、开放协同、共建共享；守好政治底线、生态底线和安全底线。力争实现以下总体目标：文艺精品力作精彩纷呈，文化和旅游产品供给质量不断提升，市场繁荣有序；文化和旅游融合发展成效显著，公共服务体系更加完善；文化和旅游宣传影响力大幅提升，文化和旅游服务区重点工作的能力和综合贡献度明显增强。积极组织文化活动，旅游业态发展有新的发展，文化遗产保护和利用工作有新突破，文化市场综合行政执法工作有新局面，圆满完成工作任务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1.公共文化服务</w:t>
      </w:r>
    </w:p>
    <w:p>
      <w:pPr>
        <w:pStyle w:val="23"/>
      </w:pPr>
      <w:r>
        <w:t>绩效目标：推进公共文化服务设施全覆盖，提高公共文化服务设施达标率，满足人民群众公共文化服务需求；提升公共文化服务效能，丰富优秀公共文化产品供给，活跃群众文化生活；壮大公共文化服务人才队伍。</w:t>
      </w:r>
    </w:p>
    <w:p>
      <w:pPr>
        <w:pStyle w:val="23"/>
      </w:pPr>
      <w:r>
        <w:t>绩效指标：公共文化服务设施覆盖率达到100%；群众文化活动参与率达到25%；全区开展文化活动次数不低于300次；</w:t>
      </w:r>
    </w:p>
    <w:p>
      <w:pPr>
        <w:pStyle w:val="23"/>
      </w:pPr>
      <w:r>
        <w:t>2.文化活动开展和文化艺术生产</w:t>
      </w:r>
    </w:p>
    <w:p>
      <w:pPr>
        <w:pStyle w:val="23"/>
      </w:pPr>
      <w:r>
        <w:t>绩效目标：文化艺术作品进一步丰富，专业艺术创作生产能力和地位不断提高，文化科研能力进一步提升。</w:t>
      </w:r>
    </w:p>
    <w:p>
      <w:pPr>
        <w:pStyle w:val="23"/>
      </w:pPr>
      <w:r>
        <w:t>绩效指标：惠民演出120场；开展演、评比活动项目4项。</w:t>
      </w:r>
    </w:p>
    <w:p>
      <w:pPr>
        <w:pStyle w:val="23"/>
      </w:pPr>
      <w:r>
        <w:t>3.文化活动交流合作</w:t>
      </w:r>
    </w:p>
    <w:p>
      <w:pPr>
        <w:pStyle w:val="23"/>
      </w:pPr>
      <w:r>
        <w:t>绩效目标：全方位宣传推介文化艺术资源，提升对外交流水平和档次。</w:t>
      </w:r>
    </w:p>
    <w:p>
      <w:pPr>
        <w:pStyle w:val="23"/>
      </w:pPr>
      <w:r>
        <w:t>绩效指标：积极参加中央省市及周边县市的文化交流。</w:t>
      </w:r>
    </w:p>
    <w:p>
      <w:pPr>
        <w:pStyle w:val="23"/>
      </w:pPr>
      <w:r>
        <w:t>4.文化遗产保护</w:t>
      </w:r>
    </w:p>
    <w:p>
      <w:pPr>
        <w:pStyle w:val="23"/>
      </w:pPr>
      <w:r>
        <w:t>绩效目标：积极申报四级非遗项目名录并申请项目补助，使非遗得到较好保护，展示我区优厚文化底蕴；组织传承人群开展研修、研习培训，进一步调动各级非遗代表传承人进行技艺传承的积极性，提升传承人群创造性转化，创新性发展能力；组织开展并参加省市非遗宣传展示活动，让具有历史、文学、艺术、科学价值的非物质文化遗产得到传承、传播，提升社会公众保护非物质文化遗产意识，凝聚社会共识，更好保护好传承好利用好非物质文化遗产资源。</w:t>
      </w:r>
    </w:p>
    <w:p>
      <w:pPr>
        <w:pStyle w:val="23"/>
      </w:pPr>
      <w:r>
        <w:t>绩效指标：做好全区非遗项目的保护传承、保障第四次全国文物普查顺利实施。</w:t>
      </w:r>
    </w:p>
    <w:p>
      <w:pPr>
        <w:pStyle w:val="23"/>
      </w:pPr>
      <w:r>
        <w:t>5、旅游政务及形象宣传</w:t>
      </w:r>
    </w:p>
    <w:p>
      <w:pPr>
        <w:pStyle w:val="23"/>
      </w:pPr>
      <w:r>
        <w:t>绩效目标：提升徐水旅游的知名度、吸引力，扩大品牌形象影响力，提升旅游服务品质；提高政府服务意识和公众办事便利化程度，推进智慧旅游和旅游信息化建设；</w:t>
      </w:r>
    </w:p>
    <w:p>
      <w:pPr>
        <w:pStyle w:val="23"/>
      </w:pPr>
      <w:r>
        <w:t>6、旅游规划及重点项目建设</w:t>
      </w:r>
    </w:p>
    <w:p>
      <w:pPr>
        <w:pStyle w:val="23"/>
      </w:pPr>
      <w:r>
        <w:t>绩效目标：提高旅游公共服务水平；引导撬动更多社会资金投资旅游产业，大力推进旅游产业化发展；围绕实施乡村振兴战略，加快发展乡村旅游；促进文旅融合发展。</w:t>
      </w:r>
    </w:p>
    <w:p>
      <w:pPr>
        <w:pStyle w:val="23"/>
      </w:pPr>
      <w:r>
        <w:t>7、旅游市场开发推广及交流合作</w:t>
      </w:r>
    </w:p>
    <w:p>
      <w:pPr>
        <w:pStyle w:val="23"/>
      </w:pPr>
      <w:r>
        <w:t>绩效目标：组织旅游企业参加省市开展的各项推介活动，促进我区旅游项目和周边景区合作交流，提升徐水旅游的知名度、美誉度和影响力，从而促进我区旅游事业发展。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加强和完善文化和旅游领域各方面的制度建设，完善以高质量发展为导向的公共文化服务体系建设，深化把社会效益放在首位、社会效益和经济效益相统一的文化创作生产体制机制改革，健全现代文化和旅游产业体系和市场体系，不断提高文化和旅游治理体系和治理能力现代化水平。</w:t>
      </w:r>
    </w:p>
    <w:p>
      <w:pPr>
        <w:pStyle w:val="24"/>
      </w:pPr>
      <w:r>
        <w:t>2、加强支出管理。按照财政序时进度要求，加强预算执行管理，加快资金支出进度，按季度通报项目预算执行进度，做好财务保障，强化支出措施，确保6月底项目支出进度达到60%、10月底达到90%、12月底不低于95%。</w:t>
      </w:r>
    </w:p>
    <w:p>
      <w:pPr>
        <w:pStyle w:val="24"/>
      </w:pPr>
      <w:r>
        <w:t>3、加强绩效运行监控。建立健全绩效管理监督运行机制，对预算单位项目支出绩效目标实现情况和预算执行进度开展运行监督，确保财政资金安全、高效运行，确保绩效目标如期实现。</w:t>
      </w:r>
    </w:p>
    <w:p>
      <w:pPr>
        <w:pStyle w:val="24"/>
      </w:pPr>
      <w:r>
        <w:t>4、认真开展绩效自评。开展2023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pPr>
        <w:pStyle w:val="24"/>
      </w:pPr>
      <w:r>
        <w:t>5、规范财务资产管理。严格经费预算管理，增强预算刚性约束，完善内部财务管理制度办法，最大限度地降低财务风险。加强国有资产管理，做好国有资产购置、出租出借、资产处置等工作，不定期对直事业单位资产购置、出租出借、资产处置情况进行监督检查，不断规范事业单位国有资产管理行为，维护国有资产的安全和完整。</w:t>
      </w:r>
    </w:p>
    <w:p>
      <w:pPr>
        <w:pStyle w:val="24"/>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下属单位管理，特别是对财务工作的监管指导。充分发挥内部审计作用，及时消除存在的问题，确保财政资金安全。</w:t>
      </w:r>
    </w:p>
    <w:p>
      <w:pPr>
        <w:pStyle w:val="24"/>
      </w:pPr>
      <w:r>
        <w:t>7、加强宣传培训。加强财务人员业务培训，认真组织学习预算法、会计准则、会计制度等法律法规，努力提高财务管理水平。加大宣传力度，建立落实财务人员、定期向本单位 “一把手”汇报财务管理工作的制度，确保信息通畅、相互理解支持，为营造依法理财环境创造有利条件。</w:t>
      </w: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13062526P000081100641</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支持补助基层公共图书馆、文化馆、美术馆、以及乡镇综合文化站免费开放正常运行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bookmarkStart w:id="20" w:name="_GoBack"/>
            <w:bookmarkEnd w:id="20"/>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10.00</w:t>
            </w:r>
          </w:p>
        </w:tc>
        <w:tc>
          <w:tcPr>
            <w:tcW w:w="3544" w:type="dxa"/>
            <w:gridSpan w:val="2"/>
            <w:vAlign w:val="center"/>
          </w:tcPr>
          <w:p>
            <w:pPr>
              <w:pStyle w:val="14"/>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p>
          <w:p>
            <w:pPr>
              <w:pStyle w:val="13"/>
            </w:pPr>
          </w:p>
          <w:p>
            <w:pPr>
              <w:pStyle w:val="13"/>
            </w:pPr>
            <w:r>
              <w:t>2.保障公共文化服务场所免费开放正常运行，群众满意度达到90%以上</w:t>
            </w:r>
          </w:p>
          <w:p>
            <w:pPr>
              <w:pStyle w:val="13"/>
            </w:pPr>
          </w:p>
          <w:p>
            <w:pPr>
              <w:pStyle w:val="13"/>
            </w:pPr>
            <w:r>
              <w:t>3.保障图书馆、文化馆、乡村文化站各项工作有序进行，开展文化活动次数≥23次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≥23次</w:t>
            </w:r>
          </w:p>
        </w:tc>
        <w:tc>
          <w:tcPr>
            <w:tcW w:w="1276" w:type="dxa"/>
            <w:vAlign w:val="center"/>
          </w:tcPr>
          <w:p>
            <w:pPr>
              <w:pStyle w:val="13"/>
            </w:pPr>
            <w:r>
              <w:t>“三馆一站”免费开放资金项目实施计划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文化活动开展及时情况</w:t>
            </w:r>
          </w:p>
        </w:tc>
        <w:tc>
          <w:tcPr>
            <w:tcW w:w="2268" w:type="dxa"/>
            <w:vAlign w:val="center"/>
          </w:tcPr>
          <w:p>
            <w:pPr>
              <w:pStyle w:val="13"/>
            </w:pPr>
            <w:r>
              <w:t>≥80%</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≤12万元</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公共文化服务免费场所群众满意度情况</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13062526P00023210306X</w:t>
            </w:r>
          </w:p>
        </w:tc>
        <w:tc>
          <w:tcPr>
            <w:tcW w:w="2835" w:type="dxa"/>
            <w:vAlign w:val="center"/>
          </w:tcPr>
          <w:p>
            <w:pPr>
              <w:pStyle w:val="11"/>
            </w:pPr>
            <w:r>
              <w:t>项目名称</w:t>
            </w:r>
          </w:p>
        </w:tc>
        <w:tc>
          <w:tcPr>
            <w:tcW w:w="6095" w:type="dxa"/>
            <w:gridSpan w:val="3"/>
            <w:vAlign w:val="center"/>
          </w:tcPr>
          <w:p>
            <w:pPr>
              <w:pStyle w:val="13"/>
            </w:pPr>
            <w:r>
              <w:t>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10.08</w:t>
            </w:r>
          </w:p>
        </w:tc>
        <w:tc>
          <w:tcPr>
            <w:tcW w:w="2835" w:type="dxa"/>
            <w:vAlign w:val="center"/>
          </w:tcPr>
          <w:p>
            <w:pPr>
              <w:pStyle w:val="11"/>
            </w:pPr>
            <w:r>
              <w:t>其中：财政    资金</w:t>
            </w:r>
          </w:p>
        </w:tc>
        <w:tc>
          <w:tcPr>
            <w:tcW w:w="2551" w:type="dxa"/>
            <w:vAlign w:val="center"/>
          </w:tcPr>
          <w:p>
            <w:pPr>
              <w:pStyle w:val="13"/>
            </w:pPr>
            <w:r>
              <w:t>10.08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2.52</w:t>
            </w:r>
          </w:p>
        </w:tc>
        <w:tc>
          <w:tcPr>
            <w:tcW w:w="2835" w:type="dxa"/>
            <w:vAlign w:val="center"/>
          </w:tcPr>
          <w:p>
            <w:pPr>
              <w:pStyle w:val="14"/>
            </w:pPr>
            <w:r>
              <w:t>5.04</w:t>
            </w:r>
          </w:p>
        </w:tc>
        <w:tc>
          <w:tcPr>
            <w:tcW w:w="2551" w:type="dxa"/>
            <w:vAlign w:val="center"/>
          </w:tcPr>
          <w:p>
            <w:pPr>
              <w:pStyle w:val="14"/>
            </w:pPr>
            <w:r>
              <w:t>8.40</w:t>
            </w:r>
          </w:p>
        </w:tc>
        <w:tc>
          <w:tcPr>
            <w:tcW w:w="3544" w:type="dxa"/>
            <w:gridSpan w:val="2"/>
            <w:vAlign w:val="center"/>
          </w:tcPr>
          <w:p>
            <w:pPr>
              <w:pStyle w:val="14"/>
            </w:pPr>
            <w:r>
              <w:t>10.08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1.为保障单位正常运行，招聘保安保洁人员4人，做到保安保洁工作达标率95%以上，及时率100%，成本控制在预算之内，保障各项工作正常进行。</w:t>
            </w:r>
          </w:p>
          <w:p>
            <w:pPr>
              <w:pStyle w:val="13"/>
            </w:pPr>
            <w:r>
              <w:t>2.项目资金按月支付，预计3月支出25%，6月支出50%，9月支出75%，12月支出100%</w:t>
            </w:r>
          </w:p>
          <w:p>
            <w:pPr>
              <w:pStyle w:val="13"/>
            </w:pPr>
            <w:r>
              <w:t>3.按照单位的要求完成工作任务.严格落实单位的规章制度,确保单位安全和秩序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w:t>
            </w:r>
          </w:p>
        </w:tc>
        <w:tc>
          <w:tcPr>
            <w:tcW w:w="5386" w:type="dxa"/>
            <w:vAlign w:val="center"/>
          </w:tcPr>
          <w:p>
            <w:pPr>
              <w:pStyle w:val="13"/>
            </w:pPr>
            <w:r>
              <w:t>聘用保洁人员数量</w:t>
            </w:r>
          </w:p>
        </w:tc>
        <w:tc>
          <w:tcPr>
            <w:tcW w:w="2268" w:type="dxa"/>
            <w:vAlign w:val="center"/>
          </w:tcPr>
          <w:p>
            <w:pPr>
              <w:pStyle w:val="13"/>
            </w:pPr>
            <w:r>
              <w:t>2人</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w:t>
            </w:r>
          </w:p>
        </w:tc>
        <w:tc>
          <w:tcPr>
            <w:tcW w:w="5386" w:type="dxa"/>
            <w:vAlign w:val="center"/>
          </w:tcPr>
          <w:p>
            <w:pPr>
              <w:pStyle w:val="13"/>
            </w:pPr>
            <w:r>
              <w:t>聘用保安人员数量</w:t>
            </w:r>
          </w:p>
        </w:tc>
        <w:tc>
          <w:tcPr>
            <w:tcW w:w="2268" w:type="dxa"/>
            <w:vAlign w:val="center"/>
          </w:tcPr>
          <w:p>
            <w:pPr>
              <w:pStyle w:val="13"/>
            </w:pPr>
            <w:r>
              <w:t>2人</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办公楼区域每天保洁验收合格情况</w:t>
            </w:r>
          </w:p>
        </w:tc>
        <w:tc>
          <w:tcPr>
            <w:tcW w:w="2268" w:type="dxa"/>
            <w:vAlign w:val="center"/>
          </w:tcPr>
          <w:p>
            <w:pPr>
              <w:pStyle w:val="13"/>
            </w:pPr>
            <w:r>
              <w:t>≥90%</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聘用人员劳务费支付及时情况</w:t>
            </w:r>
          </w:p>
        </w:tc>
        <w:tc>
          <w:tcPr>
            <w:tcW w:w="2268" w:type="dxa"/>
            <w:vAlign w:val="center"/>
          </w:tcPr>
          <w:p>
            <w:pPr>
              <w:pStyle w:val="13"/>
            </w:pPr>
            <w:r>
              <w:t>≥95%</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聘用人员工资发放标准情况</w:t>
            </w:r>
          </w:p>
        </w:tc>
        <w:tc>
          <w:tcPr>
            <w:tcW w:w="2268" w:type="dxa"/>
            <w:vAlign w:val="center"/>
          </w:tcPr>
          <w:p>
            <w:pPr>
              <w:pStyle w:val="13"/>
            </w:pPr>
            <w:r>
              <w:t>聘用人员工资发放标准情况10.08万元</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机关办公环境整洁度</w:t>
            </w:r>
          </w:p>
        </w:tc>
        <w:tc>
          <w:tcPr>
            <w:tcW w:w="5386" w:type="dxa"/>
            <w:vAlign w:val="center"/>
          </w:tcPr>
          <w:p>
            <w:pPr>
              <w:pStyle w:val="13"/>
            </w:pPr>
            <w:r>
              <w:t>机关办公环境整洁情况</w:t>
            </w:r>
          </w:p>
        </w:tc>
        <w:tc>
          <w:tcPr>
            <w:tcW w:w="2268" w:type="dxa"/>
            <w:vAlign w:val="center"/>
          </w:tcPr>
          <w:p>
            <w:pPr>
              <w:pStyle w:val="13"/>
            </w:pPr>
            <w:r>
              <w:t>≥95%</w:t>
            </w:r>
          </w:p>
        </w:tc>
        <w:tc>
          <w:tcPr>
            <w:tcW w:w="1276" w:type="dxa"/>
            <w:vAlign w:val="center"/>
          </w:tcPr>
          <w:p>
            <w:pPr>
              <w:pStyle w:val="13"/>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办公人员满意率</w:t>
            </w:r>
          </w:p>
        </w:tc>
        <w:tc>
          <w:tcPr>
            <w:tcW w:w="5386" w:type="dxa"/>
            <w:vAlign w:val="center"/>
          </w:tcPr>
          <w:p>
            <w:pPr>
              <w:pStyle w:val="13"/>
            </w:pPr>
            <w:r>
              <w:t>办公人员对办公环境整洁度满意情况</w:t>
            </w:r>
          </w:p>
        </w:tc>
        <w:tc>
          <w:tcPr>
            <w:tcW w:w="2268" w:type="dxa"/>
            <w:vAlign w:val="center"/>
          </w:tcPr>
          <w:p>
            <w:pPr>
              <w:pStyle w:val="13"/>
            </w:pPr>
            <w:r>
              <w:t>≥90%</w:t>
            </w:r>
          </w:p>
        </w:tc>
        <w:tc>
          <w:tcPr>
            <w:tcW w:w="1276" w:type="dxa"/>
            <w:vAlign w:val="center"/>
          </w:tcPr>
          <w:p>
            <w:pPr>
              <w:pStyle w:val="13"/>
            </w:pPr>
            <w:r>
              <w:t>项目满意度计划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3、保定市徐水区博物馆派遣人员经费绩效目标表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13062526P000232103085</w:t>
            </w:r>
          </w:p>
        </w:tc>
        <w:tc>
          <w:tcPr>
            <w:tcW w:w="2835" w:type="dxa"/>
            <w:vAlign w:val="center"/>
          </w:tcPr>
          <w:p>
            <w:pPr>
              <w:pStyle w:val="11"/>
            </w:pPr>
            <w:r>
              <w:t>项目名称</w:t>
            </w:r>
          </w:p>
        </w:tc>
        <w:tc>
          <w:tcPr>
            <w:tcW w:w="6095" w:type="dxa"/>
            <w:gridSpan w:val="3"/>
            <w:vAlign w:val="center"/>
          </w:tcPr>
          <w:p>
            <w:pPr>
              <w:pStyle w:val="13"/>
            </w:pPr>
            <w:r>
              <w:t>保定市徐水区博物馆派遣人员经费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w:t>
            </w:r>
          </w:p>
        </w:tc>
        <w:tc>
          <w:tcPr>
            <w:tcW w:w="2835" w:type="dxa"/>
            <w:vAlign w:val="center"/>
          </w:tcPr>
          <w:p>
            <w:pPr>
              <w:pStyle w:val="11"/>
            </w:pPr>
            <w:r>
              <w:t>其中：财政    资金</w:t>
            </w:r>
          </w:p>
        </w:tc>
        <w:tc>
          <w:tcPr>
            <w:tcW w:w="2551" w:type="dxa"/>
            <w:vAlign w:val="center"/>
          </w:tcPr>
          <w:p>
            <w:pPr>
              <w:pStyle w:val="13"/>
            </w:pPr>
            <w:r>
              <w:t>40.68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保定市徐水区博物馆派遣人员经费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10.17</w:t>
            </w:r>
          </w:p>
        </w:tc>
        <w:tc>
          <w:tcPr>
            <w:tcW w:w="2835" w:type="dxa"/>
            <w:vAlign w:val="center"/>
          </w:tcPr>
          <w:p>
            <w:pPr>
              <w:pStyle w:val="14"/>
            </w:pPr>
            <w:r>
              <w:t>20.34</w:t>
            </w:r>
          </w:p>
        </w:tc>
        <w:tc>
          <w:tcPr>
            <w:tcW w:w="2551" w:type="dxa"/>
            <w:vAlign w:val="center"/>
          </w:tcPr>
          <w:p>
            <w:pPr>
              <w:pStyle w:val="14"/>
            </w:pPr>
            <w:r>
              <w:t>33.90</w:t>
            </w:r>
          </w:p>
        </w:tc>
        <w:tc>
          <w:tcPr>
            <w:tcW w:w="3544" w:type="dxa"/>
            <w:gridSpan w:val="2"/>
            <w:vAlign w:val="center"/>
          </w:tcPr>
          <w:p>
            <w:pPr>
              <w:pStyle w:val="14"/>
            </w:pPr>
            <w:r>
              <w:t>40.68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1.巩固完善博物馆公共文化服务阵地，提升城市建设文化品位，增强群众的文化获得感、幸福感</w:t>
            </w:r>
          </w:p>
          <w:p>
            <w:pPr>
              <w:pStyle w:val="13"/>
            </w:pPr>
            <w:r>
              <w:t>2.项目资金12月底支付完毕。</w:t>
            </w:r>
          </w:p>
          <w:p>
            <w:pPr>
              <w:pStyle w:val="13"/>
            </w:pPr>
            <w:r>
              <w:t>3.保障区博物馆10名劳务派遣人员薪酬正常发放和社会保险按时缴纳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区博物馆劳务派遣人员数</w:t>
            </w:r>
          </w:p>
        </w:tc>
        <w:tc>
          <w:tcPr>
            <w:tcW w:w="5386" w:type="dxa"/>
            <w:vAlign w:val="center"/>
          </w:tcPr>
          <w:p>
            <w:pPr>
              <w:pStyle w:val="13"/>
            </w:pPr>
            <w:r>
              <w:t>反应派遣人员数量</w:t>
            </w:r>
          </w:p>
        </w:tc>
        <w:tc>
          <w:tcPr>
            <w:tcW w:w="2268" w:type="dxa"/>
            <w:vAlign w:val="center"/>
          </w:tcPr>
          <w:p>
            <w:pPr>
              <w:pStyle w:val="13"/>
            </w:pPr>
            <w:r>
              <w:t>10人</w:t>
            </w:r>
          </w:p>
        </w:tc>
        <w:tc>
          <w:tcPr>
            <w:tcW w:w="1276" w:type="dxa"/>
            <w:vAlign w:val="center"/>
          </w:tcPr>
          <w:p>
            <w:pPr>
              <w:pStyle w:val="13"/>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区博物馆劳务派遣人员工资支付和社会保险缴纳准确度</w:t>
            </w:r>
          </w:p>
        </w:tc>
        <w:tc>
          <w:tcPr>
            <w:tcW w:w="5386" w:type="dxa"/>
            <w:vAlign w:val="center"/>
          </w:tcPr>
          <w:p>
            <w:pPr>
              <w:pStyle w:val="13"/>
            </w:pPr>
            <w:r>
              <w:t>反应派遣人员工资支付、社会保险缴纳准确情况</w:t>
            </w:r>
          </w:p>
        </w:tc>
        <w:tc>
          <w:tcPr>
            <w:tcW w:w="2268" w:type="dxa"/>
            <w:vAlign w:val="center"/>
          </w:tcPr>
          <w:p>
            <w:pPr>
              <w:pStyle w:val="13"/>
            </w:pPr>
            <w:r>
              <w:t>≧95%</w:t>
            </w:r>
          </w:p>
        </w:tc>
        <w:tc>
          <w:tcPr>
            <w:tcW w:w="1276" w:type="dxa"/>
            <w:vAlign w:val="center"/>
          </w:tcPr>
          <w:p>
            <w:pPr>
              <w:pStyle w:val="13"/>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工资支付、保险缴纳及时率</w:t>
            </w:r>
          </w:p>
        </w:tc>
        <w:tc>
          <w:tcPr>
            <w:tcW w:w="5386" w:type="dxa"/>
            <w:vAlign w:val="center"/>
          </w:tcPr>
          <w:p>
            <w:pPr>
              <w:pStyle w:val="13"/>
            </w:pPr>
            <w:r>
              <w:t>反应工资支付、保险缴纳及时情况</w:t>
            </w:r>
          </w:p>
        </w:tc>
        <w:tc>
          <w:tcPr>
            <w:tcW w:w="2268" w:type="dxa"/>
            <w:vAlign w:val="center"/>
          </w:tcPr>
          <w:p>
            <w:pPr>
              <w:pStyle w:val="13"/>
            </w:pPr>
            <w:r>
              <w:t>≧95%</w:t>
            </w:r>
          </w:p>
        </w:tc>
        <w:tc>
          <w:tcPr>
            <w:tcW w:w="1276" w:type="dxa"/>
            <w:vAlign w:val="center"/>
          </w:tcPr>
          <w:p>
            <w:pPr>
              <w:pStyle w:val="13"/>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项目成本费用</w:t>
            </w:r>
          </w:p>
        </w:tc>
        <w:tc>
          <w:tcPr>
            <w:tcW w:w="5386" w:type="dxa"/>
            <w:vAlign w:val="center"/>
          </w:tcPr>
          <w:p>
            <w:pPr>
              <w:pStyle w:val="13"/>
            </w:pPr>
            <w:r>
              <w:t>反应项目成本费用</w:t>
            </w:r>
          </w:p>
        </w:tc>
        <w:tc>
          <w:tcPr>
            <w:tcW w:w="2268" w:type="dxa"/>
            <w:vAlign w:val="center"/>
          </w:tcPr>
          <w:p>
            <w:pPr>
              <w:pStyle w:val="13"/>
            </w:pPr>
            <w:r>
              <w:t>≤40.68万元</w:t>
            </w:r>
          </w:p>
        </w:tc>
        <w:tc>
          <w:tcPr>
            <w:tcW w:w="1276" w:type="dxa"/>
            <w:vAlign w:val="center"/>
          </w:tcPr>
          <w:p>
            <w:pPr>
              <w:pStyle w:val="13"/>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区博物馆劳务派遣人员</w:t>
            </w:r>
          </w:p>
          <w:p>
            <w:pPr>
              <w:pStyle w:val="13"/>
            </w:pPr>
            <w:r>
              <w:t>工资、保险保障度</w:t>
            </w:r>
          </w:p>
        </w:tc>
        <w:tc>
          <w:tcPr>
            <w:tcW w:w="5386" w:type="dxa"/>
            <w:vAlign w:val="center"/>
          </w:tcPr>
          <w:p>
            <w:pPr>
              <w:pStyle w:val="13"/>
            </w:pPr>
            <w:r>
              <w:t>反应派遣人员</w:t>
            </w:r>
          </w:p>
          <w:p>
            <w:pPr>
              <w:pStyle w:val="13"/>
            </w:pPr>
            <w:r>
              <w:t>工资、保险保障情况</w:t>
            </w:r>
          </w:p>
        </w:tc>
        <w:tc>
          <w:tcPr>
            <w:tcW w:w="2268" w:type="dxa"/>
            <w:vAlign w:val="center"/>
          </w:tcPr>
          <w:p>
            <w:pPr>
              <w:pStyle w:val="13"/>
            </w:pPr>
            <w:r>
              <w:t>≧95%</w:t>
            </w:r>
          </w:p>
        </w:tc>
        <w:tc>
          <w:tcPr>
            <w:tcW w:w="1276" w:type="dxa"/>
            <w:vAlign w:val="center"/>
          </w:tcPr>
          <w:p>
            <w:pPr>
              <w:pStyle w:val="13"/>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区博物馆劳务派遣人员满意度</w:t>
            </w:r>
          </w:p>
        </w:tc>
        <w:tc>
          <w:tcPr>
            <w:tcW w:w="5386" w:type="dxa"/>
            <w:vAlign w:val="center"/>
          </w:tcPr>
          <w:p>
            <w:pPr>
              <w:pStyle w:val="13"/>
            </w:pPr>
            <w:r>
              <w:t>反应派遣人员满意情况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13062526P00023210305A</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50.10</w:t>
            </w:r>
          </w:p>
        </w:tc>
        <w:tc>
          <w:tcPr>
            <w:tcW w:w="2835" w:type="dxa"/>
            <w:vAlign w:val="center"/>
          </w:tcPr>
          <w:p>
            <w:pPr>
              <w:pStyle w:val="11"/>
            </w:pPr>
            <w:r>
              <w:t>其中：财政    资金</w:t>
            </w:r>
          </w:p>
        </w:tc>
        <w:tc>
          <w:tcPr>
            <w:tcW w:w="2551" w:type="dxa"/>
            <w:vAlign w:val="center"/>
          </w:tcPr>
          <w:p>
            <w:pPr>
              <w:pStyle w:val="13"/>
            </w:pPr>
            <w:r>
              <w:t>50.10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12.53</w:t>
            </w:r>
          </w:p>
        </w:tc>
        <w:tc>
          <w:tcPr>
            <w:tcW w:w="2835" w:type="dxa"/>
            <w:vAlign w:val="center"/>
          </w:tcPr>
          <w:p>
            <w:pPr>
              <w:pStyle w:val="14"/>
            </w:pPr>
            <w:r>
              <w:t>25.02</w:t>
            </w:r>
          </w:p>
        </w:tc>
        <w:tc>
          <w:tcPr>
            <w:tcW w:w="2551" w:type="dxa"/>
            <w:vAlign w:val="center"/>
          </w:tcPr>
          <w:p>
            <w:pPr>
              <w:pStyle w:val="14"/>
            </w:pPr>
            <w:r>
              <w:t>41.74</w:t>
            </w:r>
          </w:p>
        </w:tc>
        <w:tc>
          <w:tcPr>
            <w:tcW w:w="3544" w:type="dxa"/>
            <w:gridSpan w:val="2"/>
            <w:vAlign w:val="center"/>
          </w:tcPr>
          <w:p>
            <w:pPr>
              <w:pStyle w:val="14"/>
            </w:pPr>
            <w:r>
              <w:t>50.10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1.保障派遣人员12人各项保险按月缴纳</w:t>
            </w:r>
          </w:p>
          <w:p>
            <w:pPr>
              <w:pStyle w:val="13"/>
            </w:pPr>
            <w:r>
              <w:t>2.项目资金按月支付，预计3月支出25%，6月支出50%，9月支出75%，12月支出100%</w:t>
            </w:r>
          </w:p>
          <w:p>
            <w:pPr>
              <w:pStyle w:val="13"/>
            </w:pPr>
            <w:r>
              <w:t>3.保障派遣人员工资按月及时拨付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派遣服务人员数</w:t>
            </w:r>
          </w:p>
        </w:tc>
        <w:tc>
          <w:tcPr>
            <w:tcW w:w="5386" w:type="dxa"/>
            <w:vAlign w:val="center"/>
          </w:tcPr>
          <w:p>
            <w:pPr>
              <w:pStyle w:val="13"/>
            </w:pPr>
            <w:r>
              <w:t>派遣人员数量</w:t>
            </w:r>
          </w:p>
        </w:tc>
        <w:tc>
          <w:tcPr>
            <w:tcW w:w="2268" w:type="dxa"/>
            <w:vAlign w:val="center"/>
          </w:tcPr>
          <w:p>
            <w:pPr>
              <w:pStyle w:val="13"/>
            </w:pPr>
            <w:r>
              <w:t>12人</w:t>
            </w:r>
          </w:p>
        </w:tc>
        <w:tc>
          <w:tcPr>
            <w:tcW w:w="1276" w:type="dxa"/>
            <w:vAlign w:val="center"/>
          </w:tcPr>
          <w:p>
            <w:pPr>
              <w:pStyle w:val="13"/>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派遣人员劳务费发放准确度</w:t>
            </w:r>
          </w:p>
        </w:tc>
        <w:tc>
          <w:tcPr>
            <w:tcW w:w="5386" w:type="dxa"/>
            <w:vAlign w:val="center"/>
          </w:tcPr>
          <w:p>
            <w:pPr>
              <w:pStyle w:val="13"/>
            </w:pPr>
            <w:r>
              <w:t>派遣人员劳务费发放准确情况</w:t>
            </w:r>
          </w:p>
        </w:tc>
        <w:tc>
          <w:tcPr>
            <w:tcW w:w="2268" w:type="dxa"/>
            <w:vAlign w:val="center"/>
          </w:tcPr>
          <w:p>
            <w:pPr>
              <w:pStyle w:val="13"/>
            </w:pPr>
            <w:r>
              <w:t>≥95%</w:t>
            </w:r>
          </w:p>
        </w:tc>
        <w:tc>
          <w:tcPr>
            <w:tcW w:w="1276" w:type="dxa"/>
            <w:vAlign w:val="center"/>
          </w:tcPr>
          <w:p>
            <w:pPr>
              <w:pStyle w:val="13"/>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资金拨付及时情况</w:t>
            </w:r>
          </w:p>
        </w:tc>
        <w:tc>
          <w:tcPr>
            <w:tcW w:w="2268" w:type="dxa"/>
            <w:vAlign w:val="center"/>
          </w:tcPr>
          <w:p>
            <w:pPr>
              <w:pStyle w:val="13"/>
            </w:pPr>
            <w:r>
              <w:t>≥95%</w:t>
            </w:r>
          </w:p>
        </w:tc>
        <w:tc>
          <w:tcPr>
            <w:tcW w:w="1276" w:type="dxa"/>
            <w:vAlign w:val="center"/>
          </w:tcPr>
          <w:p>
            <w:pPr>
              <w:pStyle w:val="13"/>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≤50.09万元</w:t>
            </w:r>
          </w:p>
        </w:tc>
        <w:tc>
          <w:tcPr>
            <w:tcW w:w="1276" w:type="dxa"/>
            <w:vAlign w:val="center"/>
          </w:tcPr>
          <w:p>
            <w:pPr>
              <w:pStyle w:val="13"/>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派遣服务人员劳务费保障度</w:t>
            </w:r>
          </w:p>
        </w:tc>
        <w:tc>
          <w:tcPr>
            <w:tcW w:w="5386" w:type="dxa"/>
            <w:vAlign w:val="center"/>
          </w:tcPr>
          <w:p>
            <w:pPr>
              <w:pStyle w:val="13"/>
            </w:pPr>
            <w:r>
              <w:t>派遣服务人员劳务费保障情况</w:t>
            </w:r>
          </w:p>
        </w:tc>
        <w:tc>
          <w:tcPr>
            <w:tcW w:w="2268" w:type="dxa"/>
            <w:vAlign w:val="center"/>
          </w:tcPr>
          <w:p>
            <w:pPr>
              <w:pStyle w:val="13"/>
            </w:pPr>
            <w:r>
              <w:t>≥85%</w:t>
            </w:r>
          </w:p>
        </w:tc>
        <w:tc>
          <w:tcPr>
            <w:tcW w:w="1276" w:type="dxa"/>
            <w:vAlign w:val="center"/>
          </w:tcPr>
          <w:p>
            <w:pPr>
              <w:pStyle w:val="13"/>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派遣人员满意度</w:t>
            </w:r>
          </w:p>
        </w:tc>
        <w:tc>
          <w:tcPr>
            <w:tcW w:w="5386" w:type="dxa"/>
            <w:vAlign w:val="center"/>
          </w:tcPr>
          <w:p>
            <w:pPr>
              <w:pStyle w:val="13"/>
            </w:pPr>
            <w:r>
              <w:t>派遣人员满意情况</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5、区图书馆文化馆博物馆运转保障经费绩效目标表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13062526P000088100274</w:t>
            </w:r>
          </w:p>
        </w:tc>
        <w:tc>
          <w:tcPr>
            <w:tcW w:w="2835" w:type="dxa"/>
            <w:vAlign w:val="center"/>
          </w:tcPr>
          <w:p>
            <w:pPr>
              <w:pStyle w:val="11"/>
            </w:pPr>
            <w:r>
              <w:t>项目名称</w:t>
            </w:r>
          </w:p>
        </w:tc>
        <w:tc>
          <w:tcPr>
            <w:tcW w:w="6095" w:type="dxa"/>
            <w:gridSpan w:val="3"/>
            <w:vAlign w:val="center"/>
          </w:tcPr>
          <w:p>
            <w:pPr>
              <w:pStyle w:val="13"/>
            </w:pPr>
            <w:r>
              <w:t>区图书馆文化馆博物馆运转保障经费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175.71</w:t>
            </w:r>
          </w:p>
        </w:tc>
        <w:tc>
          <w:tcPr>
            <w:tcW w:w="2835" w:type="dxa"/>
            <w:vAlign w:val="center"/>
          </w:tcPr>
          <w:p>
            <w:pPr>
              <w:pStyle w:val="11"/>
            </w:pPr>
            <w:r>
              <w:t>其中：财政    资金</w:t>
            </w:r>
          </w:p>
        </w:tc>
        <w:tc>
          <w:tcPr>
            <w:tcW w:w="2551" w:type="dxa"/>
            <w:vAlign w:val="center"/>
          </w:tcPr>
          <w:p>
            <w:pPr>
              <w:pStyle w:val="13"/>
            </w:pPr>
            <w:r>
              <w:t>175.71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区图书馆文化馆日常公用经费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43.95</w:t>
            </w:r>
          </w:p>
        </w:tc>
        <w:tc>
          <w:tcPr>
            <w:tcW w:w="2835" w:type="dxa"/>
            <w:vAlign w:val="center"/>
          </w:tcPr>
          <w:p>
            <w:pPr>
              <w:pStyle w:val="14"/>
            </w:pPr>
            <w:r>
              <w:t>29.30</w:t>
            </w:r>
          </w:p>
        </w:tc>
        <w:tc>
          <w:tcPr>
            <w:tcW w:w="2551" w:type="dxa"/>
            <w:vAlign w:val="center"/>
          </w:tcPr>
          <w:p>
            <w:pPr>
              <w:pStyle w:val="14"/>
            </w:pPr>
            <w:r>
              <w:t>146.50</w:t>
            </w:r>
          </w:p>
        </w:tc>
        <w:tc>
          <w:tcPr>
            <w:tcW w:w="3544" w:type="dxa"/>
            <w:gridSpan w:val="2"/>
            <w:vAlign w:val="center"/>
          </w:tcPr>
          <w:p>
            <w:pPr>
              <w:pStyle w:val="14"/>
            </w:pPr>
            <w:r>
              <w:t>175.71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两管电费：79.84万元，两管水费及排污费：4.5万元，两管其他运维保障：1.36725万元；博物馆电费：57.76万元，博物馆水费及排污费2.1万元，其他运维保障：30.14万元，共需175.70725万元。保障三馆日常运行维护工作达标率、及时率、设备验收合格率及时率95%以上，到达运转正常；保障三馆免费开放，强化三馆环境建设，群众满意度达到95%</w:t>
            </w:r>
          </w:p>
          <w:p>
            <w:pPr>
              <w:pStyle w:val="13"/>
            </w:pPr>
            <w:r>
              <w:t>2.项目资金预计3月支出25%，6月支出50%，9月支出75%，12月支出100%</w:t>
            </w:r>
          </w:p>
          <w:p>
            <w:pPr>
              <w:pStyle w:val="13"/>
            </w:pPr>
            <w:r>
              <w:t>3.保障三馆免费开放，强化三馆环境建设，群众满意度达95%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购买电量</w:t>
            </w:r>
          </w:p>
        </w:tc>
        <w:tc>
          <w:tcPr>
            <w:tcW w:w="5386" w:type="dxa"/>
            <w:vAlign w:val="center"/>
          </w:tcPr>
          <w:p>
            <w:pPr>
              <w:pStyle w:val="13"/>
            </w:pPr>
            <w:r>
              <w:t>购买了电量度数</w:t>
            </w:r>
          </w:p>
        </w:tc>
        <w:tc>
          <w:tcPr>
            <w:tcW w:w="2268" w:type="dxa"/>
            <w:vAlign w:val="center"/>
          </w:tcPr>
          <w:p>
            <w:pPr>
              <w:pStyle w:val="13"/>
            </w:pPr>
            <w:r>
              <w:t>≤151.24万度</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水费、排污费</w:t>
            </w:r>
          </w:p>
        </w:tc>
        <w:tc>
          <w:tcPr>
            <w:tcW w:w="5386" w:type="dxa"/>
            <w:vAlign w:val="center"/>
          </w:tcPr>
          <w:p>
            <w:pPr>
              <w:pStyle w:val="13"/>
            </w:pPr>
            <w:r>
              <w:t>水费、排污费使用情况</w:t>
            </w:r>
          </w:p>
        </w:tc>
        <w:tc>
          <w:tcPr>
            <w:tcW w:w="2268" w:type="dxa"/>
            <w:vAlign w:val="center"/>
          </w:tcPr>
          <w:p>
            <w:pPr>
              <w:pStyle w:val="13"/>
            </w:pPr>
            <w:r>
              <w:t>≤1.6万吨</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维修护设备验收合格率</w:t>
            </w:r>
          </w:p>
        </w:tc>
        <w:tc>
          <w:tcPr>
            <w:tcW w:w="5386" w:type="dxa"/>
            <w:vAlign w:val="center"/>
          </w:tcPr>
          <w:p>
            <w:pPr>
              <w:pStyle w:val="13"/>
            </w:pPr>
            <w:r>
              <w:t>验收合格情况</w:t>
            </w:r>
          </w:p>
        </w:tc>
        <w:tc>
          <w:tcPr>
            <w:tcW w:w="2268" w:type="dxa"/>
            <w:vAlign w:val="center"/>
          </w:tcPr>
          <w:p>
            <w:pPr>
              <w:pStyle w:val="13"/>
            </w:pPr>
            <w:r>
              <w:t>≥95百分比</w:t>
            </w:r>
          </w:p>
        </w:tc>
        <w:tc>
          <w:tcPr>
            <w:tcW w:w="1276" w:type="dxa"/>
            <w:vAlign w:val="center"/>
          </w:tcPr>
          <w:p>
            <w:pPr>
              <w:pStyle w:val="13"/>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水费排污费缴纳及时率</w:t>
            </w:r>
          </w:p>
        </w:tc>
        <w:tc>
          <w:tcPr>
            <w:tcW w:w="5386" w:type="dxa"/>
            <w:vAlign w:val="center"/>
          </w:tcPr>
          <w:p>
            <w:pPr>
              <w:pStyle w:val="13"/>
            </w:pPr>
            <w:r>
              <w:t>水费排污费缴纳及时情况</w:t>
            </w:r>
          </w:p>
        </w:tc>
        <w:tc>
          <w:tcPr>
            <w:tcW w:w="2268" w:type="dxa"/>
            <w:vAlign w:val="center"/>
          </w:tcPr>
          <w:p>
            <w:pPr>
              <w:pStyle w:val="13"/>
            </w:pPr>
            <w:r>
              <w:t>≥95百分比</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维修护设备验收及时率</w:t>
            </w:r>
          </w:p>
        </w:tc>
        <w:tc>
          <w:tcPr>
            <w:tcW w:w="5386" w:type="dxa"/>
            <w:vAlign w:val="center"/>
          </w:tcPr>
          <w:p>
            <w:pPr>
              <w:pStyle w:val="13"/>
            </w:pPr>
            <w:r>
              <w:t>维修护设备验收及时情况</w:t>
            </w:r>
          </w:p>
        </w:tc>
        <w:tc>
          <w:tcPr>
            <w:tcW w:w="2268" w:type="dxa"/>
            <w:vAlign w:val="center"/>
          </w:tcPr>
          <w:p>
            <w:pPr>
              <w:pStyle w:val="13"/>
            </w:pPr>
            <w:r>
              <w:t>≥95百分比</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电费支付及时率</w:t>
            </w:r>
          </w:p>
        </w:tc>
        <w:tc>
          <w:tcPr>
            <w:tcW w:w="5386" w:type="dxa"/>
            <w:vAlign w:val="center"/>
          </w:tcPr>
          <w:p>
            <w:pPr>
              <w:pStyle w:val="13"/>
            </w:pPr>
            <w:r>
              <w:t>费用支付及时情况</w:t>
            </w:r>
          </w:p>
        </w:tc>
        <w:tc>
          <w:tcPr>
            <w:tcW w:w="2268" w:type="dxa"/>
            <w:vAlign w:val="center"/>
          </w:tcPr>
          <w:p>
            <w:pPr>
              <w:pStyle w:val="13"/>
            </w:pPr>
            <w:r>
              <w:t>≥95百分比</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单位成本指标</w:t>
            </w:r>
          </w:p>
        </w:tc>
        <w:tc>
          <w:tcPr>
            <w:tcW w:w="5386" w:type="dxa"/>
            <w:vAlign w:val="center"/>
          </w:tcPr>
          <w:p>
            <w:pPr>
              <w:pStyle w:val="13"/>
            </w:pPr>
            <w:r>
              <w:t>单位成本指标情况</w:t>
            </w:r>
          </w:p>
        </w:tc>
        <w:tc>
          <w:tcPr>
            <w:tcW w:w="2268" w:type="dxa"/>
            <w:vAlign w:val="center"/>
          </w:tcPr>
          <w:p>
            <w:pPr>
              <w:pStyle w:val="13"/>
            </w:pPr>
            <w:r>
              <w:t>≤175.71万元</w:t>
            </w:r>
          </w:p>
        </w:tc>
        <w:tc>
          <w:tcPr>
            <w:tcW w:w="1276" w:type="dxa"/>
            <w:vAlign w:val="center"/>
          </w:tcPr>
          <w:p>
            <w:pPr>
              <w:pStyle w:val="13"/>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场馆正常运转保障度</w:t>
            </w:r>
          </w:p>
        </w:tc>
        <w:tc>
          <w:tcPr>
            <w:tcW w:w="5386" w:type="dxa"/>
            <w:vAlign w:val="center"/>
          </w:tcPr>
          <w:p>
            <w:pPr>
              <w:pStyle w:val="13"/>
            </w:pPr>
            <w:r>
              <w:t>场馆正常运转保障情况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群众满意度情况</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6、视频会议系统服务费绩效目标表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13062526P00003110031E</w:t>
            </w:r>
          </w:p>
        </w:tc>
        <w:tc>
          <w:tcPr>
            <w:tcW w:w="2835" w:type="dxa"/>
            <w:vAlign w:val="center"/>
          </w:tcPr>
          <w:p>
            <w:pPr>
              <w:pStyle w:val="11"/>
            </w:pPr>
            <w:r>
              <w:t>项目名称</w:t>
            </w:r>
          </w:p>
        </w:tc>
        <w:tc>
          <w:tcPr>
            <w:tcW w:w="6095" w:type="dxa"/>
            <w:gridSpan w:val="3"/>
            <w:vAlign w:val="center"/>
          </w:tcPr>
          <w:p>
            <w:pPr>
              <w:pStyle w:val="13"/>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1.保障视频会议日常运行使用，维护系统1台，维护达标率95%以上，及时率90%以上，成本控制在预算之内，保障单位各项会议的正常进行。</w:t>
            </w:r>
          </w:p>
          <w:p>
            <w:pPr>
              <w:pStyle w:val="13"/>
            </w:pPr>
            <w:r>
              <w:t>2.项目资金用于视频会议正常使用，职工满意度达到85%</w:t>
            </w:r>
          </w:p>
          <w:p>
            <w:pPr>
              <w:pStyle w:val="13"/>
            </w:pPr>
            <w:r>
              <w:t>3.财政省市县多层级视频会议系统完整组网，正常维护，保障视频会议正常使用。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维护系统数</w:t>
            </w:r>
          </w:p>
        </w:tc>
        <w:tc>
          <w:tcPr>
            <w:tcW w:w="5386" w:type="dxa"/>
            <w:vAlign w:val="center"/>
          </w:tcPr>
          <w:p>
            <w:pPr>
              <w:pStyle w:val="13"/>
            </w:pPr>
            <w:r>
              <w:t>视频维修护1台</w:t>
            </w:r>
          </w:p>
        </w:tc>
        <w:tc>
          <w:tcPr>
            <w:tcW w:w="2268" w:type="dxa"/>
            <w:vAlign w:val="center"/>
          </w:tcPr>
          <w:p>
            <w:pPr>
              <w:pStyle w:val="13"/>
            </w:pPr>
            <w:r>
              <w:t>1台</w:t>
            </w:r>
          </w:p>
        </w:tc>
        <w:tc>
          <w:tcPr>
            <w:tcW w:w="1276" w:type="dxa"/>
            <w:vAlign w:val="center"/>
          </w:tcPr>
          <w:p>
            <w:pPr>
              <w:pStyle w:val="13"/>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系统维护达标率</w:t>
            </w:r>
          </w:p>
        </w:tc>
        <w:tc>
          <w:tcPr>
            <w:tcW w:w="5386" w:type="dxa"/>
            <w:vAlign w:val="center"/>
          </w:tcPr>
          <w:p>
            <w:pPr>
              <w:pStyle w:val="13"/>
            </w:pPr>
            <w:r>
              <w:t>视频维修护情况</w:t>
            </w:r>
          </w:p>
        </w:tc>
        <w:tc>
          <w:tcPr>
            <w:tcW w:w="2268" w:type="dxa"/>
            <w:vAlign w:val="center"/>
          </w:tcPr>
          <w:p>
            <w:pPr>
              <w:pStyle w:val="13"/>
            </w:pPr>
            <w:r>
              <w:t>≥95%</w:t>
            </w:r>
          </w:p>
        </w:tc>
        <w:tc>
          <w:tcPr>
            <w:tcW w:w="1276" w:type="dxa"/>
            <w:vAlign w:val="center"/>
          </w:tcPr>
          <w:p>
            <w:pPr>
              <w:pStyle w:val="13"/>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系统维护及时率</w:t>
            </w:r>
          </w:p>
        </w:tc>
        <w:tc>
          <w:tcPr>
            <w:tcW w:w="5386" w:type="dxa"/>
            <w:vAlign w:val="center"/>
          </w:tcPr>
          <w:p>
            <w:pPr>
              <w:pStyle w:val="13"/>
            </w:pPr>
            <w:r>
              <w:t>系统维护及时情况</w:t>
            </w:r>
          </w:p>
        </w:tc>
        <w:tc>
          <w:tcPr>
            <w:tcW w:w="2268" w:type="dxa"/>
            <w:vAlign w:val="center"/>
          </w:tcPr>
          <w:p>
            <w:pPr>
              <w:pStyle w:val="13"/>
            </w:pPr>
            <w:r>
              <w:t>≥90%</w:t>
            </w:r>
          </w:p>
        </w:tc>
        <w:tc>
          <w:tcPr>
            <w:tcW w:w="1276" w:type="dxa"/>
            <w:vAlign w:val="center"/>
          </w:tcPr>
          <w:p>
            <w:pPr>
              <w:pStyle w:val="13"/>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项目资金成本节支率</w:t>
            </w:r>
          </w:p>
        </w:tc>
        <w:tc>
          <w:tcPr>
            <w:tcW w:w="5386" w:type="dxa"/>
            <w:vAlign w:val="center"/>
          </w:tcPr>
          <w:p>
            <w:pPr>
              <w:pStyle w:val="13"/>
            </w:pPr>
            <w:r>
              <w:t>项目成本较预算资金节支情况</w:t>
            </w:r>
          </w:p>
        </w:tc>
        <w:tc>
          <w:tcPr>
            <w:tcW w:w="2268" w:type="dxa"/>
            <w:vAlign w:val="center"/>
          </w:tcPr>
          <w:p>
            <w:pPr>
              <w:pStyle w:val="13"/>
            </w:pPr>
            <w:r>
              <w:t>2万元</w:t>
            </w:r>
          </w:p>
        </w:tc>
        <w:tc>
          <w:tcPr>
            <w:tcW w:w="1276" w:type="dxa"/>
            <w:vAlign w:val="center"/>
          </w:tcPr>
          <w:p>
            <w:pPr>
              <w:pStyle w:val="13"/>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视频会议正常运行保障度</w:t>
            </w:r>
          </w:p>
        </w:tc>
        <w:tc>
          <w:tcPr>
            <w:tcW w:w="5386" w:type="dxa"/>
            <w:vAlign w:val="center"/>
          </w:tcPr>
          <w:p>
            <w:pPr>
              <w:pStyle w:val="13"/>
            </w:pPr>
            <w:r>
              <w:t>保障视频会议正常开展</w:t>
            </w:r>
          </w:p>
        </w:tc>
        <w:tc>
          <w:tcPr>
            <w:tcW w:w="2268" w:type="dxa"/>
            <w:vAlign w:val="center"/>
          </w:tcPr>
          <w:p>
            <w:pPr>
              <w:pStyle w:val="13"/>
            </w:pPr>
            <w:r>
              <w:t>≥95%</w:t>
            </w:r>
          </w:p>
        </w:tc>
        <w:tc>
          <w:tcPr>
            <w:tcW w:w="1276" w:type="dxa"/>
            <w:vAlign w:val="center"/>
          </w:tcPr>
          <w:p>
            <w:pPr>
              <w:pStyle w:val="13"/>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7、提前下达2026年国家非物质文化遗产保护资金绩效目标表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13062526P00008510004G</w:t>
            </w:r>
          </w:p>
        </w:tc>
        <w:tc>
          <w:tcPr>
            <w:tcW w:w="2835" w:type="dxa"/>
            <w:vAlign w:val="center"/>
          </w:tcPr>
          <w:p>
            <w:pPr>
              <w:pStyle w:val="11"/>
            </w:pPr>
            <w:r>
              <w:t>项目名称</w:t>
            </w:r>
          </w:p>
        </w:tc>
        <w:tc>
          <w:tcPr>
            <w:tcW w:w="6095" w:type="dxa"/>
            <w:gridSpan w:val="3"/>
            <w:vAlign w:val="center"/>
          </w:tcPr>
          <w:p>
            <w:pPr>
              <w:pStyle w:val="13"/>
            </w:pPr>
            <w:r>
              <w:t>提前下达2026年国家非物质文化遗产保护资金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1.加强非物质文化遗产保护</w:t>
            </w:r>
          </w:p>
          <w:p>
            <w:pPr>
              <w:pStyle w:val="13"/>
            </w:pPr>
            <w:r>
              <w:t>2.补助非物质文化遗产保障经费</w:t>
            </w:r>
          </w:p>
          <w:p>
            <w:pPr>
              <w:pStyle w:val="13"/>
            </w:pPr>
            <w:r>
              <w:t>3.项目资金一次性支出，补助个数2个，预计12月支出完毕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补助非物质文化遗产个数</w:t>
            </w:r>
          </w:p>
        </w:tc>
        <w:tc>
          <w:tcPr>
            <w:tcW w:w="5386" w:type="dxa"/>
            <w:vAlign w:val="center"/>
          </w:tcPr>
          <w:p>
            <w:pPr>
              <w:pStyle w:val="13"/>
            </w:pPr>
            <w:r>
              <w:t>补助非物质文化遗产个数情况</w:t>
            </w:r>
          </w:p>
        </w:tc>
        <w:tc>
          <w:tcPr>
            <w:tcW w:w="2268" w:type="dxa"/>
            <w:vAlign w:val="center"/>
          </w:tcPr>
          <w:p>
            <w:pPr>
              <w:pStyle w:val="13"/>
            </w:pPr>
            <w:r>
              <w:t>1个</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补助非物质文化遗产传承人人数</w:t>
            </w:r>
          </w:p>
        </w:tc>
        <w:tc>
          <w:tcPr>
            <w:tcW w:w="5386" w:type="dxa"/>
            <w:vAlign w:val="center"/>
          </w:tcPr>
          <w:p>
            <w:pPr>
              <w:pStyle w:val="13"/>
            </w:pPr>
            <w:r>
              <w:t>补助非物质文化遗产传承人人数情况</w:t>
            </w:r>
          </w:p>
        </w:tc>
        <w:tc>
          <w:tcPr>
            <w:tcW w:w="2268" w:type="dxa"/>
            <w:vAlign w:val="center"/>
          </w:tcPr>
          <w:p>
            <w:pPr>
              <w:pStyle w:val="13"/>
            </w:pPr>
            <w:r>
              <w:t>2个</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非遗代表性项目保护任务完成率</w:t>
            </w:r>
          </w:p>
        </w:tc>
        <w:tc>
          <w:tcPr>
            <w:tcW w:w="5386" w:type="dxa"/>
            <w:vAlign w:val="center"/>
          </w:tcPr>
          <w:p>
            <w:pPr>
              <w:pStyle w:val="13"/>
            </w:pPr>
            <w:r>
              <w:t>非遗代表性项目保护任务完成情况</w:t>
            </w:r>
          </w:p>
        </w:tc>
        <w:tc>
          <w:tcPr>
            <w:tcW w:w="2268" w:type="dxa"/>
            <w:vAlign w:val="center"/>
          </w:tcPr>
          <w:p>
            <w:pPr>
              <w:pStyle w:val="13"/>
            </w:pPr>
            <w:r>
              <w:t>≥95%</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补助资金到位情况</w:t>
            </w:r>
          </w:p>
        </w:tc>
        <w:tc>
          <w:tcPr>
            <w:tcW w:w="2268" w:type="dxa"/>
            <w:vAlign w:val="center"/>
          </w:tcPr>
          <w:p>
            <w:pPr>
              <w:pStyle w:val="13"/>
            </w:pPr>
            <w:r>
              <w:t>≥95%</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补助非物质文化遗产项目预算控制数</w:t>
            </w:r>
          </w:p>
        </w:tc>
        <w:tc>
          <w:tcPr>
            <w:tcW w:w="5386" w:type="dxa"/>
            <w:vAlign w:val="center"/>
          </w:tcPr>
          <w:p>
            <w:pPr>
              <w:pStyle w:val="13"/>
            </w:pPr>
            <w:r>
              <w:t>补助非物质文化遗产预算范围内</w:t>
            </w:r>
          </w:p>
        </w:tc>
        <w:tc>
          <w:tcPr>
            <w:tcW w:w="2268" w:type="dxa"/>
            <w:vAlign w:val="center"/>
          </w:tcPr>
          <w:p>
            <w:pPr>
              <w:pStyle w:val="13"/>
            </w:pPr>
            <w:r>
              <w:t>≤25万元</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补助非物质文化遗产传承人项目预算控制数</w:t>
            </w:r>
          </w:p>
        </w:tc>
        <w:tc>
          <w:tcPr>
            <w:tcW w:w="5386" w:type="dxa"/>
            <w:vAlign w:val="center"/>
          </w:tcPr>
          <w:p>
            <w:pPr>
              <w:pStyle w:val="13"/>
            </w:pPr>
            <w:r>
              <w:t>补助非物质文化遗产传承人项目预算控制数范围内</w:t>
            </w:r>
          </w:p>
        </w:tc>
        <w:tc>
          <w:tcPr>
            <w:tcW w:w="2268" w:type="dxa"/>
            <w:vAlign w:val="center"/>
          </w:tcPr>
          <w:p>
            <w:pPr>
              <w:pStyle w:val="13"/>
            </w:pPr>
            <w:r>
              <w:t>≤2万元</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补助非物质文化遗产保障度</w:t>
            </w:r>
          </w:p>
        </w:tc>
        <w:tc>
          <w:tcPr>
            <w:tcW w:w="5386" w:type="dxa"/>
            <w:vAlign w:val="center"/>
          </w:tcPr>
          <w:p>
            <w:pPr>
              <w:pStyle w:val="13"/>
            </w:pPr>
            <w:r>
              <w:t>补助非物质文化遗产保障情况</w:t>
            </w:r>
          </w:p>
        </w:tc>
        <w:tc>
          <w:tcPr>
            <w:tcW w:w="2268" w:type="dxa"/>
            <w:vAlign w:val="center"/>
          </w:tcPr>
          <w:p>
            <w:pPr>
              <w:pStyle w:val="13"/>
            </w:pPr>
            <w:r>
              <w:t>≥80%</w:t>
            </w:r>
          </w:p>
        </w:tc>
        <w:tc>
          <w:tcPr>
            <w:tcW w:w="1276" w:type="dxa"/>
            <w:vAlign w:val="center"/>
          </w:tcPr>
          <w:p>
            <w:pPr>
              <w:pStyle w:val="13"/>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非遗人员满意度</w:t>
            </w:r>
          </w:p>
        </w:tc>
        <w:tc>
          <w:tcPr>
            <w:tcW w:w="5386" w:type="dxa"/>
            <w:vAlign w:val="center"/>
          </w:tcPr>
          <w:p>
            <w:pPr>
              <w:pStyle w:val="13"/>
            </w:pPr>
            <w:r>
              <w:t>非遗人员满意满意情况</w:t>
            </w:r>
          </w:p>
        </w:tc>
        <w:tc>
          <w:tcPr>
            <w:tcW w:w="2268" w:type="dxa"/>
            <w:vAlign w:val="center"/>
          </w:tcPr>
          <w:p>
            <w:pPr>
              <w:pStyle w:val="13"/>
            </w:pPr>
            <w:r>
              <w:t>≥95%</w:t>
            </w:r>
          </w:p>
        </w:tc>
        <w:tc>
          <w:tcPr>
            <w:tcW w:w="1276" w:type="dxa"/>
            <w:vAlign w:val="center"/>
          </w:tcPr>
          <w:p>
            <w:pPr>
              <w:pStyle w:val="13"/>
            </w:pPr>
            <w:r>
              <w:t>项目满意度计划，问卷调查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8、提前下达2026年基层三馆一站免费开放运行保障经费省级资金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13062526P000081100693</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1.项目资金按季度支付，预计12月底支出完毕</w:t>
            </w:r>
          </w:p>
          <w:p>
            <w:pPr>
              <w:pStyle w:val="13"/>
            </w:pPr>
            <w:r>
              <w:t>2.加强公共文化领域深化文化体制改革，文化保护利用改革等紧密结合，协同促进相关领域改革发展，为群众提供更好的公共文化环境</w:t>
            </w:r>
          </w:p>
          <w:p>
            <w:pPr>
              <w:pStyle w:val="13"/>
            </w:pPr>
            <w:r>
              <w:t>3.保障公共文化工作有序进行，加强公共文化资源建设，数据传输等，提升公共文化服务水平，保障图书馆文化馆展文化活动次数≥23次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保障图书馆文化馆个数</w:t>
            </w:r>
          </w:p>
        </w:tc>
        <w:tc>
          <w:tcPr>
            <w:tcW w:w="5386" w:type="dxa"/>
            <w:vAlign w:val="center"/>
          </w:tcPr>
          <w:p>
            <w:pPr>
              <w:pStyle w:val="13"/>
            </w:pPr>
            <w:r>
              <w:t>保障图书馆文化馆个数情况</w:t>
            </w:r>
          </w:p>
        </w:tc>
        <w:tc>
          <w:tcPr>
            <w:tcW w:w="2268" w:type="dxa"/>
            <w:vAlign w:val="center"/>
          </w:tcPr>
          <w:p>
            <w:pPr>
              <w:pStyle w:val="13"/>
            </w:pPr>
            <w:r>
              <w:t>≥2个</w:t>
            </w:r>
          </w:p>
        </w:tc>
        <w:tc>
          <w:tcPr>
            <w:tcW w:w="1276" w:type="dxa"/>
            <w:vAlign w:val="center"/>
          </w:tcPr>
          <w:p>
            <w:pPr>
              <w:pStyle w:val="13"/>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每行政村预算安排金额</w:t>
            </w:r>
          </w:p>
        </w:tc>
        <w:tc>
          <w:tcPr>
            <w:tcW w:w="5386" w:type="dxa"/>
            <w:vAlign w:val="center"/>
          </w:tcPr>
          <w:p>
            <w:pPr>
              <w:pStyle w:val="13"/>
            </w:pPr>
            <w:r>
              <w:t>每行政村预算安排金额情况</w:t>
            </w:r>
          </w:p>
        </w:tc>
        <w:tc>
          <w:tcPr>
            <w:tcW w:w="2268" w:type="dxa"/>
            <w:vAlign w:val="center"/>
          </w:tcPr>
          <w:p>
            <w:pPr>
              <w:pStyle w:val="13"/>
            </w:pPr>
            <w:r>
              <w:t>≤2万元</w:t>
            </w:r>
          </w:p>
        </w:tc>
        <w:tc>
          <w:tcPr>
            <w:tcW w:w="1276" w:type="dxa"/>
            <w:vAlign w:val="center"/>
          </w:tcPr>
          <w:p>
            <w:pPr>
              <w:pStyle w:val="13"/>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群众文化活动参与人次增长率</w:t>
            </w:r>
          </w:p>
        </w:tc>
        <w:tc>
          <w:tcPr>
            <w:tcW w:w="5386" w:type="dxa"/>
            <w:vAlign w:val="center"/>
          </w:tcPr>
          <w:p>
            <w:pPr>
              <w:pStyle w:val="13"/>
            </w:pPr>
            <w:r>
              <w:t>群众文化活动参与人次增长情况</w:t>
            </w:r>
          </w:p>
        </w:tc>
        <w:tc>
          <w:tcPr>
            <w:tcW w:w="2268" w:type="dxa"/>
            <w:vAlign w:val="center"/>
          </w:tcPr>
          <w:p>
            <w:pPr>
              <w:pStyle w:val="13"/>
            </w:pPr>
            <w:r>
              <w:t>≥95%</w:t>
            </w:r>
          </w:p>
        </w:tc>
        <w:tc>
          <w:tcPr>
            <w:tcW w:w="1276" w:type="dxa"/>
            <w:vAlign w:val="center"/>
          </w:tcPr>
          <w:p>
            <w:pPr>
              <w:pStyle w:val="13"/>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9、提前下达2026年省级非物质文化遗产保护专项资金绩效目标表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13062526P000085100054</w:t>
            </w:r>
          </w:p>
        </w:tc>
        <w:tc>
          <w:tcPr>
            <w:tcW w:w="2835" w:type="dxa"/>
            <w:vAlign w:val="center"/>
          </w:tcPr>
          <w:p>
            <w:pPr>
              <w:pStyle w:val="11"/>
            </w:pPr>
            <w:r>
              <w:t>项目名称</w:t>
            </w:r>
          </w:p>
        </w:tc>
        <w:tc>
          <w:tcPr>
            <w:tcW w:w="6095" w:type="dxa"/>
            <w:gridSpan w:val="3"/>
            <w:vAlign w:val="center"/>
          </w:tcPr>
          <w:p>
            <w:pPr>
              <w:pStyle w:val="13"/>
            </w:pPr>
            <w:r>
              <w:t>提前下达2026年省级非物质文化遗产保护专项资金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w:t>
            </w:r>
          </w:p>
        </w:tc>
        <w:tc>
          <w:tcPr>
            <w:tcW w:w="2835" w:type="dxa"/>
            <w:vAlign w:val="center"/>
          </w:tcPr>
          <w:p>
            <w:pPr>
              <w:pStyle w:val="11"/>
            </w:pPr>
            <w:r>
              <w:t>其中：财政    资金</w:t>
            </w:r>
          </w:p>
        </w:tc>
        <w:tc>
          <w:tcPr>
            <w:tcW w:w="2551" w:type="dxa"/>
            <w:vAlign w:val="center"/>
          </w:tcPr>
          <w:p>
            <w:pPr>
              <w:pStyle w:val="13"/>
            </w:pPr>
            <w:r>
              <w:t>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1.加强非物质文化遗产保护</w:t>
            </w:r>
          </w:p>
          <w:p>
            <w:pPr>
              <w:pStyle w:val="13"/>
            </w:pPr>
            <w:r>
              <w:t>2.补助非物质文化遗产保障经费</w:t>
            </w:r>
          </w:p>
          <w:p>
            <w:pPr>
              <w:pStyle w:val="13"/>
            </w:pPr>
            <w:r>
              <w:t>3.项目资金一次性支出，补助个数7个，预计12月支出完毕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补助非物质文化遗产个数</w:t>
            </w:r>
          </w:p>
        </w:tc>
        <w:tc>
          <w:tcPr>
            <w:tcW w:w="5386" w:type="dxa"/>
            <w:vAlign w:val="center"/>
          </w:tcPr>
          <w:p>
            <w:pPr>
              <w:pStyle w:val="13"/>
            </w:pPr>
            <w:r>
              <w:t>补助非物质文化遗产个数情况</w:t>
            </w:r>
          </w:p>
        </w:tc>
        <w:tc>
          <w:tcPr>
            <w:tcW w:w="2268" w:type="dxa"/>
            <w:vAlign w:val="center"/>
          </w:tcPr>
          <w:p>
            <w:pPr>
              <w:pStyle w:val="13"/>
            </w:pPr>
            <w:r>
              <w:t>7个</w:t>
            </w:r>
          </w:p>
        </w:tc>
        <w:tc>
          <w:tcPr>
            <w:tcW w:w="1276" w:type="dxa"/>
            <w:vAlign w:val="center"/>
          </w:tcPr>
          <w:p>
            <w:pPr>
              <w:pStyle w:val="13"/>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非遗代表性项目保护任务完成率</w:t>
            </w:r>
          </w:p>
        </w:tc>
        <w:tc>
          <w:tcPr>
            <w:tcW w:w="5386" w:type="dxa"/>
            <w:vAlign w:val="center"/>
          </w:tcPr>
          <w:p>
            <w:pPr>
              <w:pStyle w:val="13"/>
            </w:pPr>
            <w:r>
              <w:t>非遗代表性项目保护任务完成情况</w:t>
            </w:r>
          </w:p>
        </w:tc>
        <w:tc>
          <w:tcPr>
            <w:tcW w:w="2268" w:type="dxa"/>
            <w:vAlign w:val="center"/>
          </w:tcPr>
          <w:p>
            <w:pPr>
              <w:pStyle w:val="13"/>
            </w:pPr>
            <w:r>
              <w:t>≥95%</w:t>
            </w:r>
          </w:p>
        </w:tc>
        <w:tc>
          <w:tcPr>
            <w:tcW w:w="1276" w:type="dxa"/>
            <w:vAlign w:val="center"/>
          </w:tcPr>
          <w:p>
            <w:pPr>
              <w:pStyle w:val="13"/>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补助资金到位情况</w:t>
            </w:r>
          </w:p>
        </w:tc>
        <w:tc>
          <w:tcPr>
            <w:tcW w:w="2268" w:type="dxa"/>
            <w:vAlign w:val="center"/>
          </w:tcPr>
          <w:p>
            <w:pPr>
              <w:pStyle w:val="13"/>
            </w:pPr>
            <w:r>
              <w:t>≥95%</w:t>
            </w:r>
          </w:p>
        </w:tc>
        <w:tc>
          <w:tcPr>
            <w:tcW w:w="1276" w:type="dxa"/>
            <w:vAlign w:val="center"/>
          </w:tcPr>
          <w:p>
            <w:pPr>
              <w:pStyle w:val="13"/>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≤7.2万元</w:t>
            </w:r>
          </w:p>
        </w:tc>
        <w:tc>
          <w:tcPr>
            <w:tcW w:w="1276" w:type="dxa"/>
            <w:vAlign w:val="center"/>
          </w:tcPr>
          <w:p>
            <w:pPr>
              <w:pStyle w:val="13"/>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补助非物质文化遗产保障度</w:t>
            </w:r>
          </w:p>
        </w:tc>
        <w:tc>
          <w:tcPr>
            <w:tcW w:w="5386" w:type="dxa"/>
            <w:vAlign w:val="center"/>
          </w:tcPr>
          <w:p>
            <w:pPr>
              <w:pStyle w:val="13"/>
            </w:pPr>
            <w:r>
              <w:t>补助非物质文化遗产保障情况</w:t>
            </w:r>
          </w:p>
        </w:tc>
        <w:tc>
          <w:tcPr>
            <w:tcW w:w="2268" w:type="dxa"/>
            <w:vAlign w:val="center"/>
          </w:tcPr>
          <w:p>
            <w:pPr>
              <w:pStyle w:val="13"/>
            </w:pPr>
            <w:r>
              <w:t>≥80%</w:t>
            </w:r>
          </w:p>
        </w:tc>
        <w:tc>
          <w:tcPr>
            <w:tcW w:w="1276" w:type="dxa"/>
            <w:vAlign w:val="center"/>
          </w:tcPr>
          <w:p>
            <w:pPr>
              <w:pStyle w:val="13"/>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非遗人员满意度</w:t>
            </w:r>
          </w:p>
        </w:tc>
        <w:tc>
          <w:tcPr>
            <w:tcW w:w="5386" w:type="dxa"/>
            <w:vAlign w:val="center"/>
          </w:tcPr>
          <w:p>
            <w:pPr>
              <w:pStyle w:val="13"/>
            </w:pPr>
            <w:r>
              <w:t>非遗人员满意满意情况</w:t>
            </w:r>
          </w:p>
        </w:tc>
        <w:tc>
          <w:tcPr>
            <w:tcW w:w="2268" w:type="dxa"/>
            <w:vAlign w:val="center"/>
          </w:tcPr>
          <w:p>
            <w:pPr>
              <w:pStyle w:val="13"/>
            </w:pPr>
            <w:r>
              <w:t>≥95%</w:t>
            </w:r>
          </w:p>
        </w:tc>
        <w:tc>
          <w:tcPr>
            <w:tcW w:w="1276" w:type="dxa"/>
            <w:vAlign w:val="center"/>
          </w:tcPr>
          <w:p>
            <w:pPr>
              <w:pStyle w:val="13"/>
            </w:pPr>
            <w:r>
              <w:t>项目满意度计划，问卷调查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13062526P000081100931</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中央支持地方公共文化服务体系建设补助金资金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20.00</w:t>
            </w:r>
          </w:p>
        </w:tc>
        <w:tc>
          <w:tcPr>
            <w:tcW w:w="3544" w:type="dxa"/>
            <w:gridSpan w:val="2"/>
            <w:vAlign w:val="center"/>
          </w:tcPr>
          <w:p>
            <w:pPr>
              <w:pStyle w:val="14"/>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1.加强公共文化领域深化文化体制改革，文化保护利用改革等紧密结合，协同促进相关领域改革发展，为群众提供更好的公共文化环境</w:t>
            </w:r>
          </w:p>
          <w:p>
            <w:pPr>
              <w:pStyle w:val="13"/>
            </w:pPr>
            <w:r>
              <w:t>2.保障公共文化工作有序进行，加强公共文化资源建设，数据传输等，提升公共文化服务水平，保障图书馆文化馆开展文化活动次数≥23次</w:t>
            </w:r>
          </w:p>
          <w:p>
            <w:pPr>
              <w:pStyle w:val="13"/>
            </w:pPr>
            <w:r>
              <w:t>3.项目资金按季度支付，预计12月底支出完毕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保障文化馆图书馆个数</w:t>
            </w:r>
          </w:p>
        </w:tc>
        <w:tc>
          <w:tcPr>
            <w:tcW w:w="5386" w:type="dxa"/>
            <w:vAlign w:val="center"/>
          </w:tcPr>
          <w:p>
            <w:pPr>
              <w:pStyle w:val="13"/>
            </w:pPr>
            <w:r>
              <w:t>保障文化馆图书馆个数情况</w:t>
            </w:r>
          </w:p>
        </w:tc>
        <w:tc>
          <w:tcPr>
            <w:tcW w:w="2268" w:type="dxa"/>
            <w:vAlign w:val="center"/>
          </w:tcPr>
          <w:p>
            <w:pPr>
              <w:pStyle w:val="13"/>
            </w:pPr>
            <w:r>
              <w:t>2个</w:t>
            </w:r>
          </w:p>
        </w:tc>
        <w:tc>
          <w:tcPr>
            <w:tcW w:w="1276" w:type="dxa"/>
            <w:vAlign w:val="center"/>
          </w:tcPr>
          <w:p>
            <w:pPr>
              <w:pStyle w:val="13"/>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图书馆文化馆预算安排金额</w:t>
            </w:r>
          </w:p>
        </w:tc>
        <w:tc>
          <w:tcPr>
            <w:tcW w:w="5386" w:type="dxa"/>
            <w:vAlign w:val="center"/>
          </w:tcPr>
          <w:p>
            <w:pPr>
              <w:pStyle w:val="13"/>
            </w:pPr>
            <w:r>
              <w:t>图书馆文化馆预算安排金额情况</w:t>
            </w:r>
          </w:p>
        </w:tc>
        <w:tc>
          <w:tcPr>
            <w:tcW w:w="2268" w:type="dxa"/>
            <w:vAlign w:val="center"/>
          </w:tcPr>
          <w:p>
            <w:pPr>
              <w:pStyle w:val="13"/>
            </w:pPr>
            <w:r>
              <w:t>≤12万元</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群众文化活动参与人次增长率</w:t>
            </w:r>
          </w:p>
        </w:tc>
        <w:tc>
          <w:tcPr>
            <w:tcW w:w="5386" w:type="dxa"/>
            <w:vAlign w:val="center"/>
          </w:tcPr>
          <w:p>
            <w:pPr>
              <w:pStyle w:val="13"/>
            </w:pPr>
            <w:r>
              <w:t>群众文化活动参与人次增长情况</w:t>
            </w:r>
          </w:p>
        </w:tc>
        <w:tc>
          <w:tcPr>
            <w:tcW w:w="2268" w:type="dxa"/>
            <w:vAlign w:val="center"/>
          </w:tcPr>
          <w:p>
            <w:pPr>
              <w:pStyle w:val="13"/>
            </w:pPr>
            <w:r>
              <w:t>≥95%</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13062526P00022911970N</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0.45</w:t>
            </w:r>
          </w:p>
        </w:tc>
        <w:tc>
          <w:tcPr>
            <w:tcW w:w="2835" w:type="dxa"/>
            <w:vAlign w:val="center"/>
          </w:tcPr>
          <w:p>
            <w:pPr>
              <w:pStyle w:val="14"/>
            </w:pPr>
            <w:r>
              <w:t>0.90</w:t>
            </w:r>
          </w:p>
        </w:tc>
        <w:tc>
          <w:tcPr>
            <w:tcW w:w="2551" w:type="dxa"/>
            <w:vAlign w:val="center"/>
          </w:tcPr>
          <w:p>
            <w:pPr>
              <w:pStyle w:val="14"/>
            </w:pPr>
            <w:r>
              <w:t>1.50</w:t>
            </w:r>
          </w:p>
        </w:tc>
        <w:tc>
          <w:tcPr>
            <w:tcW w:w="3544" w:type="dxa"/>
            <w:gridSpan w:val="2"/>
            <w:vAlign w:val="center"/>
          </w:tcPr>
          <w:p>
            <w:pPr>
              <w:pStyle w:val="14"/>
            </w:pPr>
            <w:r>
              <w:t>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1.每人每月300元，共计5人，按月支付。按时足额发放到位，落实退役军人专岗人员待遇。</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5人</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12、文物保护专项业务费绩效目标表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13062526P000084100037</w:t>
            </w:r>
          </w:p>
        </w:tc>
        <w:tc>
          <w:tcPr>
            <w:tcW w:w="2835" w:type="dxa"/>
            <w:vAlign w:val="center"/>
          </w:tcPr>
          <w:p>
            <w:pPr>
              <w:pStyle w:val="11"/>
            </w:pPr>
            <w:r>
              <w:t>项目名称</w:t>
            </w:r>
          </w:p>
        </w:tc>
        <w:tc>
          <w:tcPr>
            <w:tcW w:w="6095" w:type="dxa"/>
            <w:gridSpan w:val="3"/>
            <w:vAlign w:val="center"/>
          </w:tcPr>
          <w:p>
            <w:pPr>
              <w:pStyle w:val="13"/>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11.27</w:t>
            </w:r>
          </w:p>
        </w:tc>
        <w:tc>
          <w:tcPr>
            <w:tcW w:w="2835" w:type="dxa"/>
            <w:vAlign w:val="center"/>
          </w:tcPr>
          <w:p>
            <w:pPr>
              <w:pStyle w:val="11"/>
            </w:pPr>
            <w:r>
              <w:t>其中：财政    资金</w:t>
            </w:r>
          </w:p>
        </w:tc>
        <w:tc>
          <w:tcPr>
            <w:tcW w:w="2551" w:type="dxa"/>
            <w:vAlign w:val="center"/>
          </w:tcPr>
          <w:p>
            <w:pPr>
              <w:pStyle w:val="13"/>
            </w:pPr>
            <w:r>
              <w:t>11.27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2.82</w:t>
            </w:r>
          </w:p>
        </w:tc>
        <w:tc>
          <w:tcPr>
            <w:tcW w:w="2835" w:type="dxa"/>
            <w:vAlign w:val="center"/>
          </w:tcPr>
          <w:p>
            <w:pPr>
              <w:pStyle w:val="14"/>
            </w:pPr>
            <w:r>
              <w:t>5.64</w:t>
            </w:r>
          </w:p>
        </w:tc>
        <w:tc>
          <w:tcPr>
            <w:tcW w:w="2551" w:type="dxa"/>
            <w:vAlign w:val="center"/>
          </w:tcPr>
          <w:p>
            <w:pPr>
              <w:pStyle w:val="14"/>
            </w:pPr>
            <w:r>
              <w:t>9.40</w:t>
            </w:r>
          </w:p>
        </w:tc>
        <w:tc>
          <w:tcPr>
            <w:tcW w:w="3544" w:type="dxa"/>
            <w:gridSpan w:val="2"/>
            <w:vAlign w:val="center"/>
          </w:tcPr>
          <w:p>
            <w:pPr>
              <w:pStyle w:val="14"/>
            </w:pPr>
            <w:r>
              <w:t>11.27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1.田野文物保护队伍人员数量稳定，组建不少于20人文物保护队员，做到补助发放准确率、及时率均100%，成本控制在预算之内，提升文物保护水平。</w:t>
            </w:r>
          </w:p>
          <w:p>
            <w:pPr>
              <w:pStyle w:val="13"/>
            </w:pPr>
            <w:r>
              <w:t>2.项目资金按月支付，预计3月支出25%，6月支出50%，9月支出75%，12月支出100%</w:t>
            </w:r>
          </w:p>
          <w:p>
            <w:pPr>
              <w:pStyle w:val="13"/>
            </w:pPr>
            <w:r>
              <w:t>3.田野文物保护队伍人员数量稳定，组建不少于20人文物保护队员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文物保护员人数</w:t>
            </w:r>
          </w:p>
        </w:tc>
        <w:tc>
          <w:tcPr>
            <w:tcW w:w="5386" w:type="dxa"/>
            <w:vAlign w:val="center"/>
          </w:tcPr>
          <w:p>
            <w:pPr>
              <w:pStyle w:val="13"/>
            </w:pPr>
            <w:r>
              <w:t>聘用文物保护员人数量</w:t>
            </w:r>
          </w:p>
        </w:tc>
        <w:tc>
          <w:tcPr>
            <w:tcW w:w="2268" w:type="dxa"/>
            <w:vAlign w:val="center"/>
          </w:tcPr>
          <w:p>
            <w:pPr>
              <w:pStyle w:val="13"/>
            </w:pPr>
            <w:r>
              <w:t>≥20人</w:t>
            </w:r>
          </w:p>
        </w:tc>
        <w:tc>
          <w:tcPr>
            <w:tcW w:w="1276" w:type="dxa"/>
            <w:vAlign w:val="center"/>
          </w:tcPr>
          <w:p>
            <w:pPr>
              <w:pStyle w:val="13"/>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文物保护员补助发放准确率</w:t>
            </w:r>
          </w:p>
        </w:tc>
        <w:tc>
          <w:tcPr>
            <w:tcW w:w="5386" w:type="dxa"/>
            <w:vAlign w:val="center"/>
          </w:tcPr>
          <w:p>
            <w:pPr>
              <w:pStyle w:val="13"/>
            </w:pPr>
            <w:r>
              <w:t>文物保护员补助发放准确情况</w:t>
            </w:r>
          </w:p>
        </w:tc>
        <w:tc>
          <w:tcPr>
            <w:tcW w:w="2268" w:type="dxa"/>
            <w:vAlign w:val="center"/>
          </w:tcPr>
          <w:p>
            <w:pPr>
              <w:pStyle w:val="13"/>
            </w:pPr>
            <w:r>
              <w:t>100%</w:t>
            </w:r>
          </w:p>
        </w:tc>
        <w:tc>
          <w:tcPr>
            <w:tcW w:w="1276" w:type="dxa"/>
            <w:vAlign w:val="center"/>
          </w:tcPr>
          <w:p>
            <w:pPr>
              <w:pStyle w:val="13"/>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文物保护员补助发放及时率</w:t>
            </w:r>
          </w:p>
        </w:tc>
        <w:tc>
          <w:tcPr>
            <w:tcW w:w="5386" w:type="dxa"/>
            <w:vAlign w:val="center"/>
          </w:tcPr>
          <w:p>
            <w:pPr>
              <w:pStyle w:val="13"/>
            </w:pPr>
            <w:r>
              <w:t>文物保护员补助发放及时情况</w:t>
            </w:r>
          </w:p>
        </w:tc>
        <w:tc>
          <w:tcPr>
            <w:tcW w:w="2268" w:type="dxa"/>
            <w:vAlign w:val="center"/>
          </w:tcPr>
          <w:p>
            <w:pPr>
              <w:pStyle w:val="13"/>
            </w:pPr>
            <w:r>
              <w:t>100%</w:t>
            </w:r>
          </w:p>
        </w:tc>
        <w:tc>
          <w:tcPr>
            <w:tcW w:w="1276" w:type="dxa"/>
            <w:vAlign w:val="center"/>
          </w:tcPr>
          <w:p>
            <w:pPr>
              <w:pStyle w:val="13"/>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聘用文物保护员工资发放标准</w:t>
            </w:r>
          </w:p>
        </w:tc>
        <w:tc>
          <w:tcPr>
            <w:tcW w:w="5386" w:type="dxa"/>
            <w:vAlign w:val="center"/>
          </w:tcPr>
          <w:p>
            <w:pPr>
              <w:pStyle w:val="13"/>
            </w:pPr>
            <w:r>
              <w:t>文物保护员工资发放标准情况</w:t>
            </w:r>
          </w:p>
        </w:tc>
        <w:tc>
          <w:tcPr>
            <w:tcW w:w="2268" w:type="dxa"/>
            <w:vAlign w:val="center"/>
          </w:tcPr>
          <w:p>
            <w:pPr>
              <w:pStyle w:val="13"/>
            </w:pPr>
            <w:r>
              <w:t>≤11.26万元</w:t>
            </w:r>
          </w:p>
        </w:tc>
        <w:tc>
          <w:tcPr>
            <w:tcW w:w="1276" w:type="dxa"/>
            <w:vAlign w:val="center"/>
          </w:tcPr>
          <w:p>
            <w:pPr>
              <w:pStyle w:val="13"/>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文物保护水平提升度</w:t>
            </w:r>
          </w:p>
        </w:tc>
        <w:tc>
          <w:tcPr>
            <w:tcW w:w="5386" w:type="dxa"/>
            <w:vAlign w:val="center"/>
          </w:tcPr>
          <w:p>
            <w:pPr>
              <w:pStyle w:val="13"/>
            </w:pPr>
            <w:r>
              <w:t>文物保护水平提升情况</w:t>
            </w:r>
          </w:p>
        </w:tc>
        <w:tc>
          <w:tcPr>
            <w:tcW w:w="2268" w:type="dxa"/>
            <w:vAlign w:val="center"/>
          </w:tcPr>
          <w:p>
            <w:pPr>
              <w:pStyle w:val="13"/>
            </w:pPr>
            <w:r>
              <w:t>≥90%</w:t>
            </w:r>
          </w:p>
        </w:tc>
        <w:tc>
          <w:tcPr>
            <w:tcW w:w="1276" w:type="dxa"/>
            <w:vAlign w:val="center"/>
          </w:tcPr>
          <w:p>
            <w:pPr>
              <w:pStyle w:val="13"/>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文物保护员对工作满意度</w:t>
            </w:r>
          </w:p>
        </w:tc>
        <w:tc>
          <w:tcPr>
            <w:tcW w:w="5386" w:type="dxa"/>
            <w:vAlign w:val="center"/>
          </w:tcPr>
          <w:p>
            <w:pPr>
              <w:pStyle w:val="13"/>
            </w:pPr>
            <w:r>
              <w:t>文物保护员对工作满意情况</w:t>
            </w:r>
          </w:p>
        </w:tc>
        <w:tc>
          <w:tcPr>
            <w:tcW w:w="2268" w:type="dxa"/>
            <w:vAlign w:val="center"/>
          </w:tcPr>
          <w:p>
            <w:pPr>
              <w:pStyle w:val="13"/>
            </w:pPr>
            <w:r>
              <w:t>≥95%</w:t>
            </w:r>
          </w:p>
        </w:tc>
        <w:tc>
          <w:tcPr>
            <w:tcW w:w="1276" w:type="dxa"/>
            <w:vAlign w:val="center"/>
          </w:tcPr>
          <w:p>
            <w:pPr>
              <w:pStyle w:val="13"/>
            </w:pPr>
            <w:r>
              <w:t>项目满意度计划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13、徐水会堂人员经费绩效目标表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13062526P00023210304N</w:t>
            </w:r>
          </w:p>
        </w:tc>
        <w:tc>
          <w:tcPr>
            <w:tcW w:w="2835" w:type="dxa"/>
            <w:vAlign w:val="center"/>
          </w:tcPr>
          <w:p>
            <w:pPr>
              <w:pStyle w:val="11"/>
            </w:pPr>
            <w:r>
              <w:t>项目名称</w:t>
            </w:r>
          </w:p>
        </w:tc>
        <w:tc>
          <w:tcPr>
            <w:tcW w:w="6095" w:type="dxa"/>
            <w:gridSpan w:val="3"/>
            <w:vAlign w:val="center"/>
          </w:tcPr>
          <w:p>
            <w:pPr>
              <w:pStyle w:val="13"/>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17.41</w:t>
            </w:r>
          </w:p>
        </w:tc>
        <w:tc>
          <w:tcPr>
            <w:tcW w:w="2835" w:type="dxa"/>
            <w:vAlign w:val="center"/>
          </w:tcPr>
          <w:p>
            <w:pPr>
              <w:pStyle w:val="11"/>
            </w:pPr>
            <w:r>
              <w:t>其中：财政    资金</w:t>
            </w:r>
          </w:p>
        </w:tc>
        <w:tc>
          <w:tcPr>
            <w:tcW w:w="2551" w:type="dxa"/>
            <w:vAlign w:val="center"/>
          </w:tcPr>
          <w:p>
            <w:pPr>
              <w:pStyle w:val="13"/>
            </w:pPr>
            <w:r>
              <w:t>17.41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4.43</w:t>
            </w:r>
          </w:p>
        </w:tc>
        <w:tc>
          <w:tcPr>
            <w:tcW w:w="2835" w:type="dxa"/>
            <w:vAlign w:val="center"/>
          </w:tcPr>
          <w:p>
            <w:pPr>
              <w:pStyle w:val="14"/>
            </w:pPr>
            <w:r>
              <w:t>8.75</w:t>
            </w:r>
          </w:p>
        </w:tc>
        <w:tc>
          <w:tcPr>
            <w:tcW w:w="2551" w:type="dxa"/>
            <w:vAlign w:val="center"/>
          </w:tcPr>
          <w:p>
            <w:pPr>
              <w:pStyle w:val="14"/>
            </w:pPr>
            <w:r>
              <w:t>14.51</w:t>
            </w:r>
          </w:p>
        </w:tc>
        <w:tc>
          <w:tcPr>
            <w:tcW w:w="3544" w:type="dxa"/>
            <w:gridSpan w:val="2"/>
            <w:vAlign w:val="center"/>
          </w:tcPr>
          <w:p>
            <w:pPr>
              <w:pStyle w:val="14"/>
            </w:pPr>
            <w:r>
              <w:t>17.41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1.保障会堂人员保险按月缴纳，共19人，退休人员大病保险，共计缴纳12个月，项目资金共需174119.69元。</w:t>
            </w:r>
          </w:p>
          <w:p>
            <w:pPr>
              <w:pStyle w:val="13"/>
            </w:pPr>
            <w:r>
              <w:t>2.项目资金按月支付，预计3月支出25%，6月支出50%，9月支出75%，12月支出100%</w:t>
            </w:r>
            <w:r>
              <w:tab/>
            </w:r>
            <w:r>
              <w:tab/>
            </w:r>
            <w:r>
              <w:tab/>
            </w:r>
            <w:r>
              <w:tab/>
            </w:r>
            <w:r>
              <w:tab/>
            </w:r>
            <w:r>
              <w:tab/>
            </w:r>
          </w:p>
          <w:p>
            <w:pPr>
              <w:pStyle w:val="13"/>
            </w:pPr>
          </w:p>
          <w:p>
            <w:pPr>
              <w:pStyle w:val="13"/>
            </w:pPr>
            <w:r>
              <w:t>3.保障会堂人员退休业务及保险缴纳业务及时办理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会堂服务在职人员数</w:t>
            </w:r>
          </w:p>
        </w:tc>
        <w:tc>
          <w:tcPr>
            <w:tcW w:w="5386" w:type="dxa"/>
            <w:vAlign w:val="center"/>
          </w:tcPr>
          <w:p>
            <w:pPr>
              <w:pStyle w:val="13"/>
            </w:pPr>
            <w:r>
              <w:t>会堂在职人员数量</w:t>
            </w:r>
          </w:p>
        </w:tc>
        <w:tc>
          <w:tcPr>
            <w:tcW w:w="2268" w:type="dxa"/>
            <w:vAlign w:val="center"/>
          </w:tcPr>
          <w:p>
            <w:pPr>
              <w:pStyle w:val="13"/>
            </w:pPr>
            <w:r>
              <w:t>10人</w:t>
            </w:r>
          </w:p>
        </w:tc>
        <w:tc>
          <w:tcPr>
            <w:tcW w:w="1276" w:type="dxa"/>
            <w:vAlign w:val="center"/>
          </w:tcPr>
          <w:p>
            <w:pPr>
              <w:pStyle w:val="13"/>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会堂服务在职缴纳养老保险、医疗保险人员数</w:t>
            </w:r>
          </w:p>
        </w:tc>
        <w:tc>
          <w:tcPr>
            <w:tcW w:w="5386" w:type="dxa"/>
            <w:vAlign w:val="center"/>
          </w:tcPr>
          <w:p>
            <w:pPr>
              <w:pStyle w:val="13"/>
            </w:pPr>
            <w:r>
              <w:t>会堂在职人员缴纳养老保险、医疗保险数量</w:t>
            </w:r>
          </w:p>
        </w:tc>
        <w:tc>
          <w:tcPr>
            <w:tcW w:w="2268" w:type="dxa"/>
            <w:vAlign w:val="center"/>
          </w:tcPr>
          <w:p>
            <w:pPr>
              <w:pStyle w:val="13"/>
            </w:pPr>
            <w:r>
              <w:t>10人</w:t>
            </w:r>
          </w:p>
        </w:tc>
        <w:tc>
          <w:tcPr>
            <w:tcW w:w="1276" w:type="dxa"/>
            <w:vAlign w:val="center"/>
          </w:tcPr>
          <w:p>
            <w:pPr>
              <w:pStyle w:val="13"/>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会堂服务退休人员数</w:t>
            </w:r>
          </w:p>
        </w:tc>
        <w:tc>
          <w:tcPr>
            <w:tcW w:w="5386" w:type="dxa"/>
            <w:vAlign w:val="center"/>
          </w:tcPr>
          <w:p>
            <w:pPr>
              <w:pStyle w:val="13"/>
            </w:pPr>
            <w:r>
              <w:t>会堂服务退休人员数量</w:t>
            </w:r>
          </w:p>
        </w:tc>
        <w:tc>
          <w:tcPr>
            <w:tcW w:w="2268" w:type="dxa"/>
            <w:vAlign w:val="center"/>
          </w:tcPr>
          <w:p>
            <w:pPr>
              <w:pStyle w:val="13"/>
            </w:pPr>
            <w:r>
              <w:t>18人</w:t>
            </w:r>
          </w:p>
        </w:tc>
        <w:tc>
          <w:tcPr>
            <w:tcW w:w="1276" w:type="dxa"/>
            <w:vAlign w:val="center"/>
          </w:tcPr>
          <w:p>
            <w:pPr>
              <w:pStyle w:val="13"/>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会堂人员保险缴纳准确度</w:t>
            </w:r>
          </w:p>
        </w:tc>
        <w:tc>
          <w:tcPr>
            <w:tcW w:w="5386" w:type="dxa"/>
            <w:vAlign w:val="center"/>
          </w:tcPr>
          <w:p>
            <w:pPr>
              <w:pStyle w:val="13"/>
            </w:pPr>
            <w:r>
              <w:t>会堂人员保险缴纳准确情况</w:t>
            </w:r>
          </w:p>
        </w:tc>
        <w:tc>
          <w:tcPr>
            <w:tcW w:w="2268" w:type="dxa"/>
            <w:vAlign w:val="center"/>
          </w:tcPr>
          <w:p>
            <w:pPr>
              <w:pStyle w:val="13"/>
            </w:pPr>
            <w:r>
              <w:t>≥95%</w:t>
            </w:r>
          </w:p>
        </w:tc>
        <w:tc>
          <w:tcPr>
            <w:tcW w:w="1276" w:type="dxa"/>
            <w:vAlign w:val="center"/>
          </w:tcPr>
          <w:p>
            <w:pPr>
              <w:pStyle w:val="13"/>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保险缴纳及时率</w:t>
            </w:r>
          </w:p>
        </w:tc>
        <w:tc>
          <w:tcPr>
            <w:tcW w:w="5386" w:type="dxa"/>
            <w:vAlign w:val="center"/>
          </w:tcPr>
          <w:p>
            <w:pPr>
              <w:pStyle w:val="13"/>
            </w:pPr>
            <w:r>
              <w:t>保险缴纳及时情况</w:t>
            </w:r>
          </w:p>
        </w:tc>
        <w:tc>
          <w:tcPr>
            <w:tcW w:w="2268" w:type="dxa"/>
            <w:vAlign w:val="center"/>
          </w:tcPr>
          <w:p>
            <w:pPr>
              <w:pStyle w:val="13"/>
            </w:pPr>
            <w:r>
              <w:t>≥95%</w:t>
            </w:r>
          </w:p>
        </w:tc>
        <w:tc>
          <w:tcPr>
            <w:tcW w:w="1276" w:type="dxa"/>
            <w:vAlign w:val="center"/>
          </w:tcPr>
          <w:p>
            <w:pPr>
              <w:pStyle w:val="13"/>
            </w:pPr>
            <w:r>
              <w:t>根据《劳动法》依法参加社会保险，缴纳社会保险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在职人员大病保险成本</w:t>
            </w:r>
          </w:p>
        </w:tc>
        <w:tc>
          <w:tcPr>
            <w:tcW w:w="5386" w:type="dxa"/>
            <w:vAlign w:val="center"/>
          </w:tcPr>
          <w:p>
            <w:pPr>
              <w:pStyle w:val="13"/>
            </w:pPr>
            <w:r>
              <w:t>在职人员每年大病保险成本</w:t>
            </w:r>
          </w:p>
        </w:tc>
        <w:tc>
          <w:tcPr>
            <w:tcW w:w="2268" w:type="dxa"/>
            <w:vAlign w:val="center"/>
          </w:tcPr>
          <w:p>
            <w:pPr>
              <w:pStyle w:val="13"/>
            </w:pPr>
            <w:r>
              <w:t>60元</w:t>
            </w:r>
          </w:p>
        </w:tc>
        <w:tc>
          <w:tcPr>
            <w:tcW w:w="1276" w:type="dxa"/>
            <w:vAlign w:val="center"/>
          </w:tcPr>
          <w:p>
            <w:pPr>
              <w:pStyle w:val="13"/>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会堂服务在职缴纳养老保险、医疗保险成本</w:t>
            </w:r>
          </w:p>
        </w:tc>
        <w:tc>
          <w:tcPr>
            <w:tcW w:w="5386" w:type="dxa"/>
            <w:vAlign w:val="center"/>
          </w:tcPr>
          <w:p>
            <w:pPr>
              <w:pStyle w:val="13"/>
            </w:pPr>
            <w:r>
              <w:t>会堂服务在职缴纳养老保险、医疗保险成本情况</w:t>
            </w:r>
          </w:p>
        </w:tc>
        <w:tc>
          <w:tcPr>
            <w:tcW w:w="2268" w:type="dxa"/>
            <w:vAlign w:val="center"/>
          </w:tcPr>
          <w:p>
            <w:pPr>
              <w:pStyle w:val="13"/>
            </w:pPr>
            <w:r>
              <w:t>≤14419.98元</w:t>
            </w:r>
          </w:p>
        </w:tc>
        <w:tc>
          <w:tcPr>
            <w:tcW w:w="1276" w:type="dxa"/>
            <w:vAlign w:val="center"/>
          </w:tcPr>
          <w:p>
            <w:pPr>
              <w:pStyle w:val="13"/>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退休人员大病保险成本</w:t>
            </w:r>
          </w:p>
        </w:tc>
        <w:tc>
          <w:tcPr>
            <w:tcW w:w="5386" w:type="dxa"/>
            <w:vAlign w:val="center"/>
          </w:tcPr>
          <w:p>
            <w:pPr>
              <w:pStyle w:val="13"/>
            </w:pPr>
            <w:r>
              <w:t>退休人员每年大病保险成本</w:t>
            </w:r>
          </w:p>
        </w:tc>
        <w:tc>
          <w:tcPr>
            <w:tcW w:w="2268" w:type="dxa"/>
            <w:vAlign w:val="center"/>
          </w:tcPr>
          <w:p>
            <w:pPr>
              <w:pStyle w:val="13"/>
            </w:pPr>
            <w:r>
              <w:t>60元</w:t>
            </w:r>
          </w:p>
        </w:tc>
        <w:tc>
          <w:tcPr>
            <w:tcW w:w="1276" w:type="dxa"/>
            <w:vAlign w:val="center"/>
          </w:tcPr>
          <w:p>
            <w:pPr>
              <w:pStyle w:val="13"/>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会堂服务人员保险保障度</w:t>
            </w:r>
          </w:p>
        </w:tc>
        <w:tc>
          <w:tcPr>
            <w:tcW w:w="5386" w:type="dxa"/>
            <w:vAlign w:val="center"/>
          </w:tcPr>
          <w:p>
            <w:pPr>
              <w:pStyle w:val="13"/>
            </w:pPr>
            <w:r>
              <w:t>会堂服务人员保险保障情况</w:t>
            </w:r>
          </w:p>
        </w:tc>
        <w:tc>
          <w:tcPr>
            <w:tcW w:w="2268" w:type="dxa"/>
            <w:vAlign w:val="center"/>
          </w:tcPr>
          <w:p>
            <w:pPr>
              <w:pStyle w:val="13"/>
            </w:pPr>
            <w:r>
              <w:t>95%</w:t>
            </w:r>
          </w:p>
        </w:tc>
        <w:tc>
          <w:tcPr>
            <w:tcW w:w="1276" w:type="dxa"/>
            <w:vAlign w:val="center"/>
          </w:tcPr>
          <w:p>
            <w:pPr>
              <w:pStyle w:val="13"/>
            </w:pPr>
            <w:r>
              <w:t>根据《社会保险费征缴暂行条例》为职工缴纳社会保险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会堂人员满意度</w:t>
            </w:r>
          </w:p>
        </w:tc>
        <w:tc>
          <w:tcPr>
            <w:tcW w:w="5386" w:type="dxa"/>
            <w:vAlign w:val="center"/>
          </w:tcPr>
          <w:p>
            <w:pPr>
              <w:pStyle w:val="13"/>
            </w:pPr>
            <w:r>
              <w:t>会堂人员满意情况</w:t>
            </w:r>
          </w:p>
        </w:tc>
        <w:tc>
          <w:tcPr>
            <w:tcW w:w="2268" w:type="dxa"/>
            <w:vAlign w:val="center"/>
          </w:tcPr>
          <w:p>
            <w:pPr>
              <w:pStyle w:val="13"/>
            </w:pPr>
            <w:r>
              <w:t>≥85百分比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14、中央支持地方公共文化服务体系建设补助资金-一般项目和奖励绩效绩效目标表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13062525P00007910013R</w:t>
            </w:r>
          </w:p>
        </w:tc>
        <w:tc>
          <w:tcPr>
            <w:tcW w:w="2835" w:type="dxa"/>
            <w:vAlign w:val="center"/>
          </w:tcPr>
          <w:p>
            <w:pPr>
              <w:pStyle w:val="11"/>
            </w:pPr>
            <w:r>
              <w:t>项目名称</w:t>
            </w:r>
          </w:p>
        </w:tc>
        <w:tc>
          <w:tcPr>
            <w:tcW w:w="6095" w:type="dxa"/>
            <w:gridSpan w:val="3"/>
            <w:vAlign w:val="center"/>
          </w:tcPr>
          <w:p>
            <w:pPr>
              <w:pStyle w:val="13"/>
            </w:pPr>
            <w:r>
              <w:t>中央支持地方公共文化服务体系建设补助资金-一般项目和奖励绩效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58.34</w:t>
            </w:r>
          </w:p>
        </w:tc>
        <w:tc>
          <w:tcPr>
            <w:tcW w:w="2835" w:type="dxa"/>
            <w:vAlign w:val="center"/>
          </w:tcPr>
          <w:p>
            <w:pPr>
              <w:pStyle w:val="11"/>
            </w:pPr>
            <w:r>
              <w:t>其中：财政    资金</w:t>
            </w:r>
          </w:p>
        </w:tc>
        <w:tc>
          <w:tcPr>
            <w:tcW w:w="2551" w:type="dxa"/>
            <w:vAlign w:val="center"/>
          </w:tcPr>
          <w:p>
            <w:pPr>
              <w:pStyle w:val="13"/>
            </w:pPr>
            <w:r>
              <w:t>58.34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中央支持地方公共文化服务体系建设补助资金-公共图书馆、美术馆、文化馆（站）免费开放补助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14.58</w:t>
            </w:r>
          </w:p>
        </w:tc>
        <w:tc>
          <w:tcPr>
            <w:tcW w:w="2835" w:type="dxa"/>
            <w:vAlign w:val="center"/>
          </w:tcPr>
          <w:p>
            <w:pPr>
              <w:pStyle w:val="14"/>
            </w:pPr>
            <w:r>
              <w:t>29.16</w:t>
            </w:r>
          </w:p>
        </w:tc>
        <w:tc>
          <w:tcPr>
            <w:tcW w:w="2551" w:type="dxa"/>
            <w:vAlign w:val="center"/>
          </w:tcPr>
          <w:p>
            <w:pPr>
              <w:pStyle w:val="14"/>
            </w:pPr>
            <w:r>
              <w:t>48.60</w:t>
            </w:r>
          </w:p>
        </w:tc>
        <w:tc>
          <w:tcPr>
            <w:tcW w:w="3544" w:type="dxa"/>
            <w:gridSpan w:val="2"/>
            <w:vAlign w:val="center"/>
          </w:tcPr>
          <w:p>
            <w:pPr>
              <w:pStyle w:val="14"/>
            </w:pPr>
            <w:r>
              <w:t>58.34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1.保障公共文化工作有序进行，加强公共文化资源建设，数据传输等，提升公共文化服务水平，保障304个行政村开展文化活动次数≥23次</w:t>
            </w:r>
          </w:p>
          <w:p>
            <w:pPr>
              <w:pStyle w:val="13"/>
            </w:pPr>
            <w:r>
              <w:t>2.项目资金按季度支付，预计12月底支出完毕</w:t>
            </w:r>
          </w:p>
          <w:p>
            <w:pPr>
              <w:pStyle w:val="13"/>
            </w:pPr>
            <w:r>
              <w:t>3.加强公共文化领域深化文化体制改革，文化保护利用改革等紧密结合，协同促进相关领域改革发展，为群众提供更好的公共文化环境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保障行政村个数</w:t>
            </w:r>
          </w:p>
        </w:tc>
        <w:tc>
          <w:tcPr>
            <w:tcW w:w="5386" w:type="dxa"/>
            <w:vAlign w:val="center"/>
          </w:tcPr>
          <w:p>
            <w:pPr>
              <w:pStyle w:val="13"/>
            </w:pPr>
            <w:r>
              <w:t>保障行政村个数情况</w:t>
            </w:r>
          </w:p>
        </w:tc>
        <w:tc>
          <w:tcPr>
            <w:tcW w:w="2268" w:type="dxa"/>
            <w:vAlign w:val="center"/>
          </w:tcPr>
          <w:p>
            <w:pPr>
              <w:pStyle w:val="13"/>
            </w:pPr>
            <w:r>
              <w:t>≥304个</w:t>
            </w:r>
          </w:p>
        </w:tc>
        <w:tc>
          <w:tcPr>
            <w:tcW w:w="1276" w:type="dxa"/>
            <w:vAlign w:val="center"/>
          </w:tcPr>
          <w:p>
            <w:pPr>
              <w:pStyle w:val="13"/>
            </w:pPr>
            <w:r>
              <w:t>现代公共文化服务体系实施意见</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“公共文化服务体系建设资金”活动实施方案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“公共文化服务体系建设资金”活动实施方案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每行政村预算安排金额</w:t>
            </w:r>
          </w:p>
        </w:tc>
        <w:tc>
          <w:tcPr>
            <w:tcW w:w="5386" w:type="dxa"/>
            <w:vAlign w:val="center"/>
          </w:tcPr>
          <w:p>
            <w:pPr>
              <w:pStyle w:val="13"/>
            </w:pPr>
            <w:r>
              <w:t>每行政村预算安排金额情况</w:t>
            </w:r>
          </w:p>
        </w:tc>
        <w:tc>
          <w:tcPr>
            <w:tcW w:w="2268" w:type="dxa"/>
            <w:vAlign w:val="center"/>
          </w:tcPr>
          <w:p>
            <w:pPr>
              <w:pStyle w:val="13"/>
            </w:pPr>
            <w:r>
              <w:t>≤583442元</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群众文化活动参与人次增长率</w:t>
            </w:r>
          </w:p>
        </w:tc>
        <w:tc>
          <w:tcPr>
            <w:tcW w:w="5386" w:type="dxa"/>
            <w:vAlign w:val="center"/>
          </w:tcPr>
          <w:p>
            <w:pPr>
              <w:pStyle w:val="13"/>
            </w:pPr>
            <w:r>
              <w:t>群众文化活动参与人次增长情况</w:t>
            </w:r>
          </w:p>
        </w:tc>
        <w:tc>
          <w:tcPr>
            <w:tcW w:w="2268" w:type="dxa"/>
            <w:vAlign w:val="center"/>
          </w:tcPr>
          <w:p>
            <w:pPr>
              <w:pStyle w:val="13"/>
            </w:pPr>
            <w:r>
              <w:t>≥95%</w:t>
            </w:r>
          </w:p>
        </w:tc>
        <w:tc>
          <w:tcPr>
            <w:tcW w:w="1276" w:type="dxa"/>
            <w:vAlign w:val="center"/>
          </w:tcPr>
          <w:p>
            <w:pPr>
              <w:pStyle w:val="13"/>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10.40</w:t>
            </w:r>
          </w:p>
        </w:tc>
        <w:tc>
          <w:tcPr>
            <w:tcW w:w="964" w:type="dxa"/>
            <w:vAlign w:val="center"/>
          </w:tcPr>
          <w:p>
            <w:pPr>
              <w:pStyle w:val="16"/>
            </w:pPr>
            <w:r>
              <w:t>10.40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保定市徐水区文化广电和旅游局本级小计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10.40</w:t>
            </w:r>
          </w:p>
        </w:tc>
        <w:tc>
          <w:tcPr>
            <w:tcW w:w="964" w:type="dxa"/>
            <w:vAlign w:val="center"/>
          </w:tcPr>
          <w:p>
            <w:pPr>
              <w:pStyle w:val="16"/>
            </w:pPr>
            <w:r>
              <w:t>10.40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33.16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33.16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33.16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33.16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5.60</w:t>
            </w:r>
          </w:p>
        </w:tc>
        <w:tc>
          <w:tcPr>
            <w:tcW w:w="964" w:type="dxa"/>
            <w:vAlign w:val="center"/>
          </w:tcPr>
          <w:p>
            <w:pPr>
              <w:pStyle w:val="12"/>
            </w:pPr>
            <w:r>
              <w:t>5.60</w:t>
            </w:r>
          </w:p>
        </w:tc>
        <w:tc>
          <w:tcPr>
            <w:tcW w:w="964" w:type="dxa"/>
            <w:vAlign w:val="center"/>
          </w:tcPr>
          <w:p>
            <w:pPr>
              <w:pStyle w:val="12"/>
            </w:pPr>
            <w:r>
              <w:t>5.60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保定市徐水区文化广电和旅游局（含所属单位）上年末固定资产金额为1442.98万元（详见下表）。本年度拟购置固定资产总额为0.00万元，已按要求列入政府采购预算，详见政府采购预算表。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1442.98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6788</w:t>
            </w:r>
          </w:p>
        </w:tc>
        <w:tc>
          <w:tcPr>
            <w:tcW w:w="2835" w:type="dxa"/>
            <w:vAlign w:val="center"/>
          </w:tcPr>
          <w:p>
            <w:pPr>
              <w:pStyle w:val="12"/>
            </w:pPr>
            <w:r>
              <w:t>427.40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6755</w:t>
            </w:r>
          </w:p>
        </w:tc>
        <w:tc>
          <w:tcPr>
            <w:tcW w:w="2835" w:type="dxa"/>
            <w:vAlign w:val="center"/>
          </w:tcPr>
          <w:p>
            <w:pPr>
              <w:pStyle w:val="12"/>
            </w:pPr>
            <w:r>
              <w:t>423.65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42.51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703</w:t>
            </w:r>
          </w:p>
        </w:tc>
        <w:tc>
          <w:tcPr>
            <w:tcW w:w="2835" w:type="dxa"/>
            <w:vAlign w:val="center"/>
          </w:tcPr>
          <w:p>
            <w:pPr>
              <w:pStyle w:val="12"/>
            </w:pPr>
            <w:r>
              <w:t>973.07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876E8B"/>
    <w:rsid w:val="61052F5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2026-03-03T11:11:00Z</dcterms:created>
  <dc:creator>Administrator</dc:creator>
  <cp:lastModifiedBy>Administrator</cp:lastModifiedBy>
  <dcterms:modified xsi:type="dcterms:W3CDTF">2026-03-09T09:46:50Z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