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
      <w:pPr>
        <w:spacing w:beforeLines="0" w:afterLines="0"/>
        <w:rPr>
          <w:rFonts w:hint="default"/>
          <w:sz w:val="24"/>
          <w:szCs w:val="24"/>
        </w:rPr>
      </w:pPr>
      <w:r>
        <w:rPr>
          <w:rFonts w:hint="default" w:ascii="方正楷体_GBK" w:hAnsi="方正楷体_GBK" w:eastAsia="方正楷体_GBK" w:cs="方正楷体_GBK"/>
          <w:b/>
          <w:color w:val="000000"/>
          <w:sz w:val="28"/>
          <w:szCs w:val="24"/>
          <w:lang w:eastAsia="zh-CN"/>
        </w:rPr>
        <w:t>单位</w:t>
      </w:r>
      <w:r>
        <w:rPr>
          <w:rFonts w:hint="default" w:ascii="方正楷体_GBK" w:hAnsi="方正楷体_GBK" w:eastAsia="方正楷体_GBK" w:cs="方正楷体_GBK"/>
          <w:b/>
          <w:color w:val="000000"/>
          <w:sz w:val="28"/>
          <w:szCs w:val="24"/>
        </w:rPr>
        <w:t>预算公开表</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TOC \o "2-2" \h \z \u</w:instrText>
      </w:r>
      <w:r>
        <w:rPr>
          <w:rFonts w:hint="default"/>
          <w:sz w:val="28"/>
          <w:szCs w:val="24"/>
        </w:rPr>
        <w:fldChar w:fldCharType="separate"/>
      </w:r>
      <w:r>
        <w:rPr>
          <w:rFonts w:hint="default"/>
          <w:sz w:val="28"/>
          <w:szCs w:val="24"/>
        </w:rPr>
        <w:fldChar w:fldCharType="begin"/>
      </w:r>
      <w:r>
        <w:rPr>
          <w:rFonts w:hint="default"/>
          <w:sz w:val="28"/>
          <w:szCs w:val="24"/>
        </w:rPr>
        <w:instrText xml:space="preserve">HYPERLINK \l _Toc_2_2_0000000001</w:instrText>
      </w:r>
      <w:r>
        <w:rPr>
          <w:rFonts w:hint="default"/>
          <w:sz w:val="28"/>
          <w:szCs w:val="24"/>
        </w:rPr>
        <w:fldChar w:fldCharType="separate"/>
      </w:r>
      <w:r>
        <w:rPr>
          <w:rFonts w:hint="default" w:ascii="方正仿宋_GBK"/>
          <w:sz w:val="28"/>
          <w:szCs w:val="24"/>
          <w:lang w:eastAsia="zh-CN"/>
        </w:rPr>
        <w:t>单位</w:t>
      </w:r>
      <w:r>
        <w:rPr>
          <w:rFonts w:hint="default" w:ascii="方正仿宋_GBK"/>
          <w:sz w:val="28"/>
          <w:szCs w:val="24"/>
        </w:rPr>
        <w:t>预算收支总表</w:t>
      </w:r>
      <w:r>
        <w:rPr>
          <w:rFonts w:hint="default"/>
          <w:sz w:val="28"/>
          <w:szCs w:val="24"/>
        </w:rPr>
        <w:tab/>
      </w:r>
      <w:r>
        <w:rPr>
          <w:rFonts w:hint="default"/>
          <w:sz w:val="28"/>
          <w:szCs w:val="24"/>
          <w:lang w:val="en-US"/>
        </w:rPr>
        <w:t>1</w:t>
      </w:r>
      <w:r>
        <w:rPr>
          <w:rFonts w:hint="default"/>
          <w:sz w:val="28"/>
          <w:szCs w:val="24"/>
        </w:rPr>
        <w:fldChar w:fldCharType="end"/>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_Toc_2_2_0000000002</w:instrText>
      </w:r>
      <w:r>
        <w:rPr>
          <w:rFonts w:hint="default"/>
          <w:sz w:val="28"/>
          <w:szCs w:val="24"/>
        </w:rPr>
        <w:fldChar w:fldCharType="separate"/>
      </w:r>
      <w:r>
        <w:rPr>
          <w:rFonts w:hint="default" w:ascii="方正仿宋_GBK"/>
          <w:sz w:val="28"/>
          <w:szCs w:val="24"/>
          <w:lang w:eastAsia="zh-CN"/>
        </w:rPr>
        <w:t>单位</w:t>
      </w:r>
      <w:r>
        <w:rPr>
          <w:rFonts w:hint="default" w:ascii="方正仿宋_GBK"/>
          <w:sz w:val="28"/>
          <w:szCs w:val="24"/>
        </w:rPr>
        <w:t>预算收入总表</w:t>
      </w:r>
      <w:r>
        <w:rPr>
          <w:rFonts w:hint="default"/>
          <w:sz w:val="28"/>
          <w:szCs w:val="24"/>
        </w:rPr>
        <w:tab/>
      </w:r>
      <w:r>
        <w:rPr>
          <w:rFonts w:hint="default"/>
          <w:sz w:val="28"/>
          <w:szCs w:val="24"/>
        </w:rPr>
        <w:fldChar w:fldCharType="end"/>
      </w:r>
      <w:r>
        <w:rPr>
          <w:rFonts w:hint="default"/>
          <w:sz w:val="28"/>
          <w:szCs w:val="24"/>
          <w:lang w:val="en-US"/>
        </w:rPr>
        <w:t>3</w:t>
      </w:r>
    </w:p>
    <w:p>
      <w:pPr>
        <w:pStyle w:val="2"/>
        <w:tabs>
          <w:tab w:val="right" w:leader="dot" w:pos="14562"/>
        </w:tabs>
        <w:spacing w:beforeLines="0" w:afterLines="0"/>
        <w:rPr>
          <w:rFonts w:hint="default"/>
          <w:sz w:val="28"/>
          <w:szCs w:val="24"/>
        </w:rPr>
      </w:pPr>
      <w:r>
        <w:rPr>
          <w:rFonts w:hint="default"/>
          <w:sz w:val="28"/>
          <w:szCs w:val="24"/>
        </w:rPr>
        <w:fldChar w:fldCharType="begin"/>
      </w:r>
      <w:r>
        <w:rPr>
          <w:rFonts w:hint="default"/>
          <w:sz w:val="28"/>
          <w:szCs w:val="24"/>
        </w:rPr>
        <w:instrText xml:space="preserve">HYPERLINK \l _Toc_2_2_0000000003</w:instrText>
      </w:r>
      <w:r>
        <w:rPr>
          <w:rFonts w:hint="default"/>
          <w:sz w:val="28"/>
          <w:szCs w:val="24"/>
        </w:rPr>
        <w:fldChar w:fldCharType="separate"/>
      </w:r>
      <w:r>
        <w:rPr>
          <w:rFonts w:hint="default" w:ascii="方正仿宋_GBK"/>
          <w:sz w:val="28"/>
          <w:szCs w:val="24"/>
          <w:lang w:eastAsia="zh-CN"/>
        </w:rPr>
        <w:t>单位</w:t>
      </w:r>
      <w:r>
        <w:rPr>
          <w:rFonts w:hint="default" w:ascii="方正仿宋_GBK"/>
          <w:sz w:val="28"/>
          <w:szCs w:val="24"/>
        </w:rPr>
        <w:t>预算支出总表</w:t>
      </w:r>
      <w:r>
        <w:rPr>
          <w:rFonts w:hint="default"/>
          <w:sz w:val="28"/>
          <w:szCs w:val="24"/>
        </w:rPr>
        <w:tab/>
      </w:r>
      <w:r>
        <w:rPr>
          <w:rFonts w:hint="default"/>
          <w:sz w:val="28"/>
          <w:szCs w:val="24"/>
          <w:lang w:val="en-US"/>
        </w:rPr>
        <w:t>5</w:t>
      </w:r>
      <w:r>
        <w:rPr>
          <w:rFonts w:hint="default"/>
          <w:sz w:val="28"/>
          <w:szCs w:val="24"/>
        </w:rPr>
        <w:fldChar w:fldCharType="end"/>
      </w:r>
    </w:p>
    <w:p>
      <w:pPr>
        <w:pStyle w:val="2"/>
        <w:tabs>
          <w:tab w:val="right" w:leader="dot" w:pos="14562"/>
        </w:tabs>
        <w:spacing w:beforeLines="0" w:afterLines="0"/>
        <w:rPr>
          <w:rFonts w:hint="default"/>
          <w:sz w:val="28"/>
          <w:szCs w:val="24"/>
        </w:rPr>
      </w:pPr>
      <w:r>
        <w:rPr>
          <w:rFonts w:hint="default"/>
          <w:sz w:val="28"/>
          <w:szCs w:val="24"/>
        </w:rPr>
        <w:fldChar w:fldCharType="begin"/>
      </w:r>
      <w:r>
        <w:rPr>
          <w:rFonts w:hint="default"/>
          <w:sz w:val="28"/>
          <w:szCs w:val="24"/>
        </w:rPr>
        <w:instrText xml:space="preserve">HYPERLINK \l _Toc_2_2_0000000004</w:instrText>
      </w:r>
      <w:r>
        <w:rPr>
          <w:rFonts w:hint="default"/>
          <w:sz w:val="28"/>
          <w:szCs w:val="24"/>
        </w:rPr>
        <w:fldChar w:fldCharType="separate"/>
      </w:r>
      <w:r>
        <w:rPr>
          <w:rFonts w:hint="default" w:ascii="方正仿宋_GBK"/>
          <w:sz w:val="28"/>
          <w:szCs w:val="24"/>
          <w:lang w:eastAsia="zh-CN"/>
        </w:rPr>
        <w:t>单位</w:t>
      </w:r>
      <w:r>
        <w:rPr>
          <w:rFonts w:hint="default" w:ascii="方正仿宋_GBK"/>
          <w:sz w:val="28"/>
          <w:szCs w:val="24"/>
        </w:rPr>
        <w:t>预算财政拨款收支总表</w:t>
      </w:r>
      <w:r>
        <w:rPr>
          <w:rFonts w:hint="default"/>
          <w:sz w:val="28"/>
          <w:szCs w:val="24"/>
        </w:rPr>
        <w:tab/>
      </w:r>
      <w:r>
        <w:rPr>
          <w:rFonts w:hint="default"/>
          <w:sz w:val="28"/>
          <w:szCs w:val="24"/>
          <w:lang w:val="en-US"/>
        </w:rPr>
        <w:t>7</w:t>
      </w:r>
      <w:r>
        <w:rPr>
          <w:rFonts w:hint="default"/>
          <w:sz w:val="28"/>
          <w:szCs w:val="24"/>
        </w:rPr>
        <w:fldChar w:fldCharType="end"/>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_Toc_2_2_0000000005</w:instrText>
      </w:r>
      <w:r>
        <w:rPr>
          <w:rFonts w:hint="default"/>
          <w:sz w:val="28"/>
          <w:szCs w:val="24"/>
        </w:rPr>
        <w:fldChar w:fldCharType="separate"/>
      </w:r>
      <w:r>
        <w:rPr>
          <w:rFonts w:hint="default" w:ascii="方正仿宋_GBK"/>
          <w:sz w:val="28"/>
          <w:szCs w:val="24"/>
          <w:lang w:eastAsia="zh-CN"/>
        </w:rPr>
        <w:t>单位</w:t>
      </w:r>
      <w:r>
        <w:rPr>
          <w:rFonts w:hint="default" w:ascii="方正仿宋_GBK"/>
          <w:sz w:val="28"/>
          <w:szCs w:val="24"/>
        </w:rPr>
        <w:t>预算一般公共预算财政拨款支出表</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0</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_Toc_2_2_0000000006</w:instrText>
      </w:r>
      <w:r>
        <w:rPr>
          <w:rFonts w:hint="default"/>
          <w:sz w:val="28"/>
          <w:szCs w:val="24"/>
        </w:rPr>
        <w:fldChar w:fldCharType="separate"/>
      </w:r>
      <w:r>
        <w:rPr>
          <w:rFonts w:hint="default" w:ascii="方正仿宋_GBK"/>
          <w:sz w:val="28"/>
          <w:szCs w:val="24"/>
          <w:lang w:eastAsia="zh-CN"/>
        </w:rPr>
        <w:t>单位</w:t>
      </w:r>
      <w:r>
        <w:rPr>
          <w:rFonts w:hint="default" w:ascii="方正仿宋_GBK"/>
          <w:sz w:val="28"/>
          <w:szCs w:val="24"/>
        </w:rPr>
        <w:t>预算一般公共预算财政拨款基本支出表</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1</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_Toc_2_2_0000000007</w:instrText>
      </w:r>
      <w:r>
        <w:rPr>
          <w:rFonts w:hint="default"/>
          <w:sz w:val="28"/>
          <w:szCs w:val="24"/>
        </w:rPr>
        <w:fldChar w:fldCharType="separate"/>
      </w:r>
      <w:r>
        <w:rPr>
          <w:rFonts w:hint="default" w:ascii="方正仿宋_GBK"/>
          <w:sz w:val="28"/>
          <w:szCs w:val="24"/>
          <w:lang w:eastAsia="zh-CN"/>
        </w:rPr>
        <w:t>单位</w:t>
      </w:r>
      <w:r>
        <w:rPr>
          <w:rFonts w:hint="default" w:ascii="方正仿宋_GBK"/>
          <w:sz w:val="28"/>
          <w:szCs w:val="24"/>
        </w:rPr>
        <w:t>预算政府性基金预算财政拨款支出表</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3</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_Toc_2_2_0000000008</w:instrText>
      </w:r>
      <w:r>
        <w:rPr>
          <w:rFonts w:hint="default"/>
          <w:sz w:val="28"/>
          <w:szCs w:val="24"/>
        </w:rPr>
        <w:fldChar w:fldCharType="separate"/>
      </w:r>
      <w:r>
        <w:rPr>
          <w:rFonts w:hint="default" w:ascii="方正仿宋_GBK"/>
          <w:sz w:val="28"/>
          <w:szCs w:val="24"/>
          <w:lang w:eastAsia="zh-CN"/>
        </w:rPr>
        <w:t>单位</w:t>
      </w:r>
      <w:r>
        <w:rPr>
          <w:rFonts w:hint="default" w:ascii="方正仿宋_GBK"/>
          <w:sz w:val="28"/>
          <w:szCs w:val="24"/>
        </w:rPr>
        <w:t>预算国有资本经营预算财政拨款支出表</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4</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_Toc_2_2_0000000009</w:instrText>
      </w:r>
      <w:r>
        <w:rPr>
          <w:rFonts w:hint="default"/>
          <w:sz w:val="28"/>
          <w:szCs w:val="24"/>
        </w:rPr>
        <w:fldChar w:fldCharType="separate"/>
      </w:r>
      <w:r>
        <w:rPr>
          <w:rFonts w:hint="default" w:ascii="方正仿宋_GBK"/>
          <w:sz w:val="28"/>
          <w:szCs w:val="24"/>
          <w:lang w:eastAsia="zh-CN"/>
        </w:rPr>
        <w:t>单位</w:t>
      </w:r>
      <w:r>
        <w:rPr>
          <w:rFonts w:hint="default" w:ascii="方正仿宋_GBK"/>
          <w:sz w:val="28"/>
          <w:szCs w:val="24"/>
        </w:rPr>
        <w:t>预算财政拨款“三公”经费支出表</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5</w:t>
      </w:r>
    </w:p>
    <w:p>
      <w:pPr>
        <w:pStyle w:val="2"/>
        <w:tabs>
          <w:tab w:val="right" w:leader="dot" w:pos="14562"/>
        </w:tabs>
        <w:spacing w:beforeLines="0" w:afterLines="0"/>
        <w:rPr>
          <w:rFonts w:hint="default" w:eastAsia="宋体"/>
          <w:sz w:val="24"/>
          <w:szCs w:val="24"/>
        </w:rPr>
      </w:pPr>
      <w:r>
        <w:rPr>
          <w:rFonts w:hint="default"/>
          <w:sz w:val="28"/>
          <w:szCs w:val="24"/>
        </w:rPr>
        <w:fldChar w:fldCharType="end"/>
      </w:r>
    </w:p>
    <w:p>
      <w:pPr>
        <w:spacing w:beforeLines="0" w:afterLines="0"/>
        <w:rPr>
          <w:rFonts w:hint="default"/>
          <w:sz w:val="24"/>
          <w:szCs w:val="24"/>
        </w:rPr>
      </w:pPr>
      <w:r>
        <w:rPr>
          <w:rFonts w:hint="default" w:ascii="方正楷体_GBK" w:hAnsi="方正楷体_GBK" w:eastAsia="方正楷体_GBK" w:cs="方正楷体_GBK"/>
          <w:b/>
          <w:color w:val="000000"/>
          <w:sz w:val="28"/>
          <w:szCs w:val="24"/>
          <w:lang w:eastAsia="zh-CN"/>
        </w:rPr>
        <w:t>单位</w:t>
      </w:r>
      <w:r>
        <w:rPr>
          <w:rFonts w:hint="default" w:ascii="方正楷体_GBK" w:hAnsi="方正楷体_GBK" w:eastAsia="方正楷体_GBK" w:cs="方正楷体_GBK"/>
          <w:b/>
          <w:color w:val="000000"/>
          <w:sz w:val="28"/>
          <w:szCs w:val="24"/>
        </w:rPr>
        <w:t>预算信息公开情况说明</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TOC \o "3-3" \h \z \u</w:instrText>
      </w:r>
      <w:r>
        <w:rPr>
          <w:rFonts w:hint="default"/>
          <w:sz w:val="28"/>
          <w:szCs w:val="24"/>
        </w:rPr>
        <w:fldChar w:fldCharType="separate"/>
      </w:r>
      <w:r>
        <w:rPr>
          <w:rFonts w:hint="default"/>
          <w:sz w:val="28"/>
          <w:szCs w:val="24"/>
        </w:rPr>
        <w:fldChar w:fldCharType="begin"/>
      </w:r>
      <w:r>
        <w:rPr>
          <w:rFonts w:hint="default"/>
          <w:sz w:val="28"/>
          <w:szCs w:val="24"/>
        </w:rPr>
        <w:instrText xml:space="preserve">HYPERLINK \l _Toc_3_3_0000000010</w:instrText>
      </w:r>
      <w:r>
        <w:rPr>
          <w:rFonts w:hint="default"/>
          <w:sz w:val="28"/>
          <w:szCs w:val="24"/>
        </w:rPr>
        <w:fldChar w:fldCharType="separate"/>
      </w:r>
      <w:r>
        <w:rPr>
          <w:rFonts w:hint="default" w:ascii="方正仿宋_GBK"/>
          <w:sz w:val="28"/>
          <w:szCs w:val="24"/>
        </w:rPr>
        <w:t>一、</w:t>
      </w:r>
      <w:r>
        <w:rPr>
          <w:rFonts w:hint="default" w:ascii="方正仿宋_GBK"/>
          <w:sz w:val="28"/>
          <w:szCs w:val="24"/>
          <w:lang w:eastAsia="zh-CN"/>
        </w:rPr>
        <w:t>单位</w:t>
      </w:r>
      <w:r>
        <w:rPr>
          <w:rFonts w:hint="default" w:ascii="方正仿宋_GBK"/>
          <w:sz w:val="28"/>
          <w:szCs w:val="24"/>
        </w:rPr>
        <w:t>职责及机构设置情况</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6</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_Toc_3_3_0000000011</w:instrText>
      </w:r>
      <w:r>
        <w:rPr>
          <w:rFonts w:hint="default"/>
          <w:sz w:val="28"/>
          <w:szCs w:val="24"/>
        </w:rPr>
        <w:fldChar w:fldCharType="separate"/>
      </w:r>
      <w:r>
        <w:rPr>
          <w:rFonts w:hint="default" w:ascii="方正仿宋_GBK"/>
          <w:sz w:val="28"/>
          <w:szCs w:val="24"/>
        </w:rPr>
        <w:t>二、</w:t>
      </w:r>
      <w:r>
        <w:rPr>
          <w:rFonts w:hint="default" w:ascii="方正仿宋_GBK"/>
          <w:sz w:val="28"/>
          <w:szCs w:val="24"/>
          <w:lang w:eastAsia="zh-CN"/>
        </w:rPr>
        <w:t>单位</w:t>
      </w:r>
      <w:r>
        <w:rPr>
          <w:rFonts w:hint="default" w:ascii="方正仿宋_GBK"/>
          <w:sz w:val="28"/>
          <w:szCs w:val="24"/>
        </w:rPr>
        <w:t>预算安排的总体情况</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8</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_Toc_3_3_0000000012</w:instrText>
      </w:r>
      <w:r>
        <w:rPr>
          <w:rFonts w:hint="default"/>
          <w:sz w:val="28"/>
          <w:szCs w:val="24"/>
        </w:rPr>
        <w:fldChar w:fldCharType="separate"/>
      </w:r>
      <w:r>
        <w:rPr>
          <w:rFonts w:hint="default" w:ascii="方正仿宋_GBK"/>
          <w:sz w:val="28"/>
          <w:szCs w:val="24"/>
        </w:rPr>
        <w:t>三、机关运行经费安排情况</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9</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_Toc_3_3_0000000013</w:instrText>
      </w:r>
      <w:r>
        <w:rPr>
          <w:rFonts w:hint="default"/>
          <w:sz w:val="28"/>
          <w:szCs w:val="24"/>
        </w:rPr>
        <w:fldChar w:fldCharType="separate"/>
      </w:r>
      <w:r>
        <w:rPr>
          <w:rFonts w:hint="default" w:ascii="方正仿宋_GBK"/>
          <w:sz w:val="28"/>
          <w:szCs w:val="24"/>
        </w:rPr>
        <w:t>四、财政拨款“三公”经费预算情况及增减变化原因</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9</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_Toc_3_3_0000000016</w:instrText>
      </w:r>
      <w:r>
        <w:rPr>
          <w:rFonts w:hint="default"/>
          <w:sz w:val="28"/>
          <w:szCs w:val="24"/>
        </w:rPr>
        <w:fldChar w:fldCharType="separate"/>
      </w:r>
      <w:r>
        <w:rPr>
          <w:rFonts w:hint="eastAsia" w:ascii="方正仿宋_GBK"/>
          <w:sz w:val="28"/>
          <w:szCs w:val="24"/>
          <w:lang w:val="en-US" w:eastAsia="zh-CN"/>
        </w:rPr>
        <w:t>五</w:t>
      </w:r>
      <w:r>
        <w:rPr>
          <w:rFonts w:hint="default" w:ascii="方正仿宋_GBK"/>
          <w:sz w:val="28"/>
          <w:szCs w:val="24"/>
        </w:rPr>
        <w:t>、</w:t>
      </w:r>
      <w:r>
        <w:rPr>
          <w:rFonts w:hint="default" w:ascii="方正仿宋_GBK"/>
          <w:sz w:val="28"/>
          <w:szCs w:val="24"/>
          <w:lang w:eastAsia="zh-CN"/>
        </w:rPr>
        <w:t>单位</w:t>
      </w:r>
      <w:r>
        <w:rPr>
          <w:rFonts w:hint="default" w:ascii="方正仿宋_GBK"/>
          <w:sz w:val="28"/>
          <w:szCs w:val="24"/>
        </w:rPr>
        <w:t>项目预算安排情况及绩效目标</w:t>
      </w:r>
      <w:r>
        <w:rPr>
          <w:rFonts w:hint="default"/>
          <w:sz w:val="28"/>
          <w:szCs w:val="24"/>
        </w:rPr>
        <w:tab/>
      </w:r>
      <w:r>
        <w:rPr>
          <w:rFonts w:hint="default"/>
          <w:sz w:val="28"/>
          <w:szCs w:val="24"/>
          <w:lang w:val="en-US"/>
        </w:rPr>
        <w:t>1</w:t>
      </w:r>
      <w:r>
        <w:rPr>
          <w:rFonts w:hint="default"/>
          <w:sz w:val="28"/>
          <w:szCs w:val="24"/>
        </w:rPr>
        <w:fldChar w:fldCharType="end"/>
      </w:r>
      <w:r>
        <w:rPr>
          <w:rFonts w:hint="default"/>
          <w:sz w:val="28"/>
          <w:szCs w:val="24"/>
          <w:lang w:val="en-US"/>
        </w:rPr>
        <w:t>9</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_Toc_3_3_0000000017</w:instrText>
      </w:r>
      <w:r>
        <w:rPr>
          <w:rFonts w:hint="default"/>
          <w:sz w:val="28"/>
          <w:szCs w:val="24"/>
        </w:rPr>
        <w:fldChar w:fldCharType="separate"/>
      </w:r>
      <w:r>
        <w:rPr>
          <w:rFonts w:hint="eastAsia" w:ascii="方正仿宋_GBK"/>
          <w:sz w:val="28"/>
          <w:szCs w:val="24"/>
          <w:lang w:val="en-US" w:eastAsia="zh-CN"/>
        </w:rPr>
        <w:t>六</w:t>
      </w:r>
      <w:r>
        <w:rPr>
          <w:rFonts w:hint="default" w:ascii="方正仿宋_GBK"/>
          <w:sz w:val="28"/>
          <w:szCs w:val="24"/>
        </w:rPr>
        <w:t>、政府采购预算情况</w:t>
      </w:r>
      <w:r>
        <w:rPr>
          <w:rFonts w:hint="default"/>
          <w:sz w:val="28"/>
          <w:szCs w:val="24"/>
        </w:rPr>
        <w:tab/>
      </w:r>
      <w:r>
        <w:rPr>
          <w:rFonts w:hint="default"/>
          <w:sz w:val="28"/>
          <w:szCs w:val="24"/>
          <w:lang w:val="en-US"/>
        </w:rPr>
        <w:t>3</w:t>
      </w:r>
      <w:r>
        <w:rPr>
          <w:rFonts w:hint="default"/>
          <w:sz w:val="28"/>
          <w:szCs w:val="24"/>
        </w:rPr>
        <w:fldChar w:fldCharType="end"/>
      </w:r>
      <w:r>
        <w:rPr>
          <w:rFonts w:hint="default"/>
          <w:sz w:val="28"/>
          <w:szCs w:val="24"/>
          <w:lang w:val="en-US"/>
        </w:rPr>
        <w:t>4</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_Toc_3_3_0000000018</w:instrText>
      </w:r>
      <w:r>
        <w:rPr>
          <w:rFonts w:hint="default"/>
          <w:sz w:val="28"/>
          <w:szCs w:val="24"/>
        </w:rPr>
        <w:fldChar w:fldCharType="separate"/>
      </w:r>
      <w:r>
        <w:rPr>
          <w:rFonts w:hint="eastAsia" w:ascii="方正仿宋_GBK"/>
          <w:sz w:val="28"/>
          <w:szCs w:val="24"/>
          <w:lang w:val="en-US" w:eastAsia="zh-CN"/>
        </w:rPr>
        <w:t>七</w:t>
      </w:r>
      <w:r>
        <w:rPr>
          <w:rFonts w:hint="default" w:ascii="方正仿宋_GBK"/>
          <w:sz w:val="28"/>
          <w:szCs w:val="24"/>
        </w:rPr>
        <w:t>、国有资产信息</w:t>
      </w:r>
      <w:r>
        <w:rPr>
          <w:rFonts w:hint="default"/>
          <w:sz w:val="28"/>
          <w:szCs w:val="24"/>
        </w:rPr>
        <w:tab/>
      </w:r>
      <w:r>
        <w:rPr>
          <w:rFonts w:hint="default"/>
          <w:sz w:val="28"/>
          <w:szCs w:val="24"/>
          <w:lang w:val="en-US"/>
        </w:rPr>
        <w:t>3</w:t>
      </w:r>
      <w:r>
        <w:rPr>
          <w:rFonts w:hint="default"/>
          <w:sz w:val="28"/>
          <w:szCs w:val="24"/>
        </w:rPr>
        <w:fldChar w:fldCharType="end"/>
      </w:r>
      <w:r>
        <w:rPr>
          <w:rFonts w:hint="default"/>
          <w:sz w:val="28"/>
          <w:szCs w:val="24"/>
          <w:lang w:val="en-US"/>
        </w:rPr>
        <w:t>5</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_Toc_3_3_0000000019</w:instrText>
      </w:r>
      <w:r>
        <w:rPr>
          <w:rFonts w:hint="default"/>
          <w:sz w:val="28"/>
          <w:szCs w:val="24"/>
        </w:rPr>
        <w:fldChar w:fldCharType="separate"/>
      </w:r>
      <w:r>
        <w:rPr>
          <w:rFonts w:hint="eastAsia" w:ascii="方正仿宋_GBK"/>
          <w:sz w:val="28"/>
          <w:szCs w:val="24"/>
          <w:lang w:val="en-US" w:eastAsia="zh-CN"/>
        </w:rPr>
        <w:t>八</w:t>
      </w:r>
      <w:r>
        <w:rPr>
          <w:rFonts w:hint="default" w:ascii="方正仿宋_GBK"/>
          <w:sz w:val="28"/>
          <w:szCs w:val="24"/>
        </w:rPr>
        <w:t>、名词解释</w:t>
      </w:r>
      <w:r>
        <w:rPr>
          <w:rFonts w:hint="default"/>
          <w:sz w:val="28"/>
          <w:szCs w:val="24"/>
        </w:rPr>
        <w:tab/>
      </w:r>
      <w:r>
        <w:rPr>
          <w:rFonts w:hint="default"/>
          <w:sz w:val="28"/>
          <w:szCs w:val="24"/>
          <w:lang w:val="en-US"/>
        </w:rPr>
        <w:t>3</w:t>
      </w:r>
      <w:r>
        <w:rPr>
          <w:rFonts w:hint="default"/>
          <w:sz w:val="28"/>
          <w:szCs w:val="24"/>
        </w:rPr>
        <w:fldChar w:fldCharType="end"/>
      </w:r>
      <w:r>
        <w:rPr>
          <w:rFonts w:hint="default"/>
          <w:sz w:val="28"/>
          <w:szCs w:val="24"/>
          <w:lang w:val="en-US"/>
        </w:rPr>
        <w:t>6</w:t>
      </w:r>
    </w:p>
    <w:p>
      <w:pPr>
        <w:pStyle w:val="2"/>
        <w:tabs>
          <w:tab w:val="right" w:leader="dot" w:pos="14562"/>
        </w:tabs>
        <w:spacing w:beforeLines="0" w:afterLines="0"/>
        <w:rPr>
          <w:rFonts w:hint="default"/>
          <w:sz w:val="28"/>
          <w:szCs w:val="24"/>
          <w:lang w:val="en-US"/>
        </w:rPr>
      </w:pPr>
      <w:r>
        <w:rPr>
          <w:rFonts w:hint="default"/>
          <w:sz w:val="28"/>
          <w:szCs w:val="24"/>
        </w:rPr>
        <w:fldChar w:fldCharType="begin"/>
      </w:r>
      <w:r>
        <w:rPr>
          <w:rFonts w:hint="default"/>
          <w:sz w:val="28"/>
          <w:szCs w:val="24"/>
        </w:rPr>
        <w:instrText xml:space="preserve">HYPERLINK \l _Toc_3_3_0000000020</w:instrText>
      </w:r>
      <w:r>
        <w:rPr>
          <w:rFonts w:hint="default"/>
          <w:sz w:val="28"/>
          <w:szCs w:val="24"/>
        </w:rPr>
        <w:fldChar w:fldCharType="separate"/>
      </w:r>
      <w:r>
        <w:rPr>
          <w:rFonts w:hint="eastAsia" w:ascii="方正仿宋_GBK"/>
          <w:sz w:val="28"/>
          <w:szCs w:val="24"/>
          <w:lang w:val="en-US" w:eastAsia="zh-CN"/>
        </w:rPr>
        <w:t>九</w:t>
      </w:r>
      <w:r>
        <w:rPr>
          <w:rFonts w:hint="default" w:ascii="方正仿宋_GBK"/>
          <w:sz w:val="28"/>
          <w:szCs w:val="24"/>
        </w:rPr>
        <w:t>、其他需要说明的事项</w:t>
      </w:r>
      <w:r>
        <w:rPr>
          <w:rFonts w:hint="default"/>
          <w:sz w:val="28"/>
          <w:szCs w:val="24"/>
        </w:rPr>
        <w:tab/>
      </w:r>
      <w:r>
        <w:rPr>
          <w:rFonts w:hint="default"/>
          <w:sz w:val="28"/>
          <w:szCs w:val="24"/>
          <w:lang w:val="en-US"/>
        </w:rPr>
        <w:t>3</w:t>
      </w:r>
      <w:r>
        <w:rPr>
          <w:rFonts w:hint="default"/>
          <w:sz w:val="28"/>
          <w:szCs w:val="24"/>
        </w:rPr>
        <w:fldChar w:fldCharType="end"/>
      </w:r>
      <w:r>
        <w:rPr>
          <w:rFonts w:hint="default"/>
          <w:sz w:val="28"/>
          <w:szCs w:val="24"/>
          <w:lang w:val="en-US"/>
        </w:rPr>
        <w:t>7</w:t>
      </w:r>
    </w:p>
    <w:p>
      <w:pPr>
        <w:sectPr>
          <w:pgSz w:w="16840" w:h="11900" w:orient="landscape"/>
          <w:pgMar w:top="1587" w:right="1134" w:bottom="1361" w:left="1134" w:header="720" w:footer="720" w:gutter="0"/>
          <w:pgNumType w:start="1"/>
          <w:cols w:space="720" w:num="1"/>
        </w:sectPr>
      </w:pPr>
      <w:r>
        <w:rPr>
          <w:rFonts w:hint="default"/>
          <w:sz w:val="28"/>
          <w:szCs w:val="24"/>
        </w:rP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2126" w:type="dxa"/>
            <w:tcBorders>
              <w:top w:val="single" w:color="FFFFFF" w:sz="6" w:space="0"/>
              <w:left w:val="single" w:color="FFFFFF" w:sz="6" w:space="0"/>
              <w:right w:val="single" w:color="FFFFFF" w:sz="6" w:space="0"/>
            </w:tcBorders>
            <w:vAlign w:val="center"/>
          </w:tcPr>
          <w:p>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292.15</w:t>
            </w:r>
          </w:p>
        </w:tc>
        <w:tc>
          <w:tcPr>
            <w:tcW w:w="4535" w:type="dxa"/>
            <w:vAlign w:val="center"/>
          </w:tcPr>
          <w:p>
            <w:pPr>
              <w:pStyle w:val="14"/>
            </w:pPr>
            <w:r>
              <w:t>一、一般公共服务支出</w:t>
            </w:r>
          </w:p>
        </w:tc>
        <w:tc>
          <w:tcPr>
            <w:tcW w:w="2126" w:type="dxa"/>
            <w:vAlign w:val="center"/>
          </w:tcPr>
          <w:p>
            <w:pPr>
              <w:pStyle w:val="13"/>
            </w:pPr>
            <w:r>
              <w:t>230.75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34.12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19.26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6"/>
            </w:pPr>
            <w:r>
              <w:t>本年收入合计</w:t>
            </w:r>
          </w:p>
        </w:tc>
        <w:tc>
          <w:tcPr>
            <w:tcW w:w="2126" w:type="dxa"/>
            <w:vAlign w:val="center"/>
          </w:tcPr>
          <w:p>
            <w:pPr>
              <w:pStyle w:val="17"/>
            </w:pPr>
            <w:r>
              <w:t>292.15</w:t>
            </w:r>
          </w:p>
        </w:tc>
        <w:tc>
          <w:tcPr>
            <w:tcW w:w="4535" w:type="dxa"/>
            <w:vAlign w:val="center"/>
          </w:tcPr>
          <w:p>
            <w:pPr>
              <w:pStyle w:val="16"/>
            </w:pPr>
            <w:r>
              <w:t>本年支出合计</w:t>
            </w:r>
          </w:p>
        </w:tc>
        <w:tc>
          <w:tcPr>
            <w:tcW w:w="2126" w:type="dxa"/>
            <w:vAlign w:val="center"/>
          </w:tcPr>
          <w:p>
            <w:pPr>
              <w:pStyle w:val="17"/>
            </w:pPr>
            <w:r>
              <w:t>292.15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6"/>
            </w:pPr>
            <w:r>
              <w:t>收入总计</w:t>
            </w:r>
          </w:p>
        </w:tc>
        <w:tc>
          <w:tcPr>
            <w:tcW w:w="2126" w:type="dxa"/>
            <w:vAlign w:val="center"/>
          </w:tcPr>
          <w:p>
            <w:pPr>
              <w:pStyle w:val="17"/>
            </w:pPr>
            <w:r>
              <w:t>292.15</w:t>
            </w:r>
          </w:p>
        </w:tc>
        <w:tc>
          <w:tcPr>
            <w:tcW w:w="4535" w:type="dxa"/>
            <w:vAlign w:val="center"/>
          </w:tcPr>
          <w:p>
            <w:pPr>
              <w:pStyle w:val="16"/>
            </w:pPr>
            <w:r>
              <w:t>支出总计</w:t>
            </w:r>
          </w:p>
        </w:tc>
        <w:tc>
          <w:tcPr>
            <w:tcW w:w="2126" w:type="dxa"/>
            <w:vAlign w:val="center"/>
          </w:tcPr>
          <w:p>
            <w:pPr>
              <w:pStyle w:val="17"/>
            </w:pPr>
            <w:r>
              <w:t>292.15</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2"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292.15</w:t>
            </w:r>
          </w:p>
        </w:tc>
        <w:tc>
          <w:tcPr>
            <w:tcW w:w="1134" w:type="dxa"/>
            <w:vAlign w:val="center"/>
          </w:tcPr>
          <w:p>
            <w:pPr>
              <w:pStyle w:val="17"/>
            </w:pPr>
            <w:r>
              <w:t>292.15</w:t>
            </w:r>
          </w:p>
        </w:tc>
        <w:tc>
          <w:tcPr>
            <w:tcW w:w="1134" w:type="dxa"/>
            <w:vAlign w:val="center"/>
          </w:tcPr>
          <w:p>
            <w:pPr>
              <w:pStyle w:val="17"/>
            </w:pPr>
            <w:r>
              <w:t>292.15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230.75</w:t>
            </w:r>
          </w:p>
        </w:tc>
        <w:tc>
          <w:tcPr>
            <w:tcW w:w="1134" w:type="dxa"/>
            <w:vAlign w:val="center"/>
          </w:tcPr>
          <w:p>
            <w:pPr>
              <w:pStyle w:val="13"/>
            </w:pPr>
            <w:r>
              <w:t>230.75</w:t>
            </w:r>
          </w:p>
        </w:tc>
        <w:tc>
          <w:tcPr>
            <w:tcW w:w="1134" w:type="dxa"/>
            <w:vAlign w:val="center"/>
          </w:tcPr>
          <w:p>
            <w:pPr>
              <w:pStyle w:val="13"/>
            </w:pPr>
            <w:r>
              <w:t>230.75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20132</w:t>
            </w:r>
          </w:p>
        </w:tc>
        <w:tc>
          <w:tcPr>
            <w:tcW w:w="1559" w:type="dxa"/>
            <w:vAlign w:val="center"/>
          </w:tcPr>
          <w:p>
            <w:pPr>
              <w:pStyle w:val="14"/>
            </w:pPr>
            <w:r>
              <w:t>组织事务</w:t>
            </w:r>
          </w:p>
        </w:tc>
        <w:tc>
          <w:tcPr>
            <w:tcW w:w="1134" w:type="dxa"/>
            <w:vAlign w:val="center"/>
          </w:tcPr>
          <w:p>
            <w:pPr>
              <w:pStyle w:val="13"/>
            </w:pPr>
            <w:r>
              <w:t>230.75</w:t>
            </w:r>
          </w:p>
        </w:tc>
        <w:tc>
          <w:tcPr>
            <w:tcW w:w="1134" w:type="dxa"/>
            <w:vAlign w:val="center"/>
          </w:tcPr>
          <w:p>
            <w:pPr>
              <w:pStyle w:val="13"/>
            </w:pPr>
            <w:r>
              <w:t>230.75</w:t>
            </w:r>
          </w:p>
        </w:tc>
        <w:tc>
          <w:tcPr>
            <w:tcW w:w="1134" w:type="dxa"/>
            <w:vAlign w:val="center"/>
          </w:tcPr>
          <w:p>
            <w:pPr>
              <w:pStyle w:val="13"/>
            </w:pPr>
            <w:r>
              <w:t>230.75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2013201</w:t>
            </w:r>
          </w:p>
        </w:tc>
        <w:tc>
          <w:tcPr>
            <w:tcW w:w="1559" w:type="dxa"/>
            <w:vAlign w:val="center"/>
          </w:tcPr>
          <w:p>
            <w:pPr>
              <w:pStyle w:val="14"/>
            </w:pPr>
            <w:r>
              <w:t>行政运行</w:t>
            </w:r>
          </w:p>
        </w:tc>
        <w:tc>
          <w:tcPr>
            <w:tcW w:w="1134" w:type="dxa"/>
            <w:vAlign w:val="center"/>
          </w:tcPr>
          <w:p>
            <w:pPr>
              <w:pStyle w:val="13"/>
            </w:pPr>
            <w:r>
              <w:t>149.07</w:t>
            </w:r>
          </w:p>
        </w:tc>
        <w:tc>
          <w:tcPr>
            <w:tcW w:w="1134" w:type="dxa"/>
            <w:vAlign w:val="center"/>
          </w:tcPr>
          <w:p>
            <w:pPr>
              <w:pStyle w:val="13"/>
            </w:pPr>
            <w:r>
              <w:t>149.07</w:t>
            </w:r>
          </w:p>
        </w:tc>
        <w:tc>
          <w:tcPr>
            <w:tcW w:w="1134" w:type="dxa"/>
            <w:vAlign w:val="center"/>
          </w:tcPr>
          <w:p>
            <w:pPr>
              <w:pStyle w:val="13"/>
            </w:pPr>
            <w:r>
              <w:t>149.07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2013202</w:t>
            </w:r>
          </w:p>
        </w:tc>
        <w:tc>
          <w:tcPr>
            <w:tcW w:w="1559" w:type="dxa"/>
            <w:vAlign w:val="center"/>
          </w:tcPr>
          <w:p>
            <w:pPr>
              <w:pStyle w:val="14"/>
            </w:pPr>
            <w:r>
              <w:t>一般行政管理事务</w:t>
            </w:r>
          </w:p>
        </w:tc>
        <w:tc>
          <w:tcPr>
            <w:tcW w:w="1134" w:type="dxa"/>
            <w:vAlign w:val="center"/>
          </w:tcPr>
          <w:p>
            <w:pPr>
              <w:pStyle w:val="13"/>
            </w:pPr>
            <w:r>
              <w:t>15.95</w:t>
            </w:r>
          </w:p>
        </w:tc>
        <w:tc>
          <w:tcPr>
            <w:tcW w:w="1134" w:type="dxa"/>
            <w:vAlign w:val="center"/>
          </w:tcPr>
          <w:p>
            <w:pPr>
              <w:pStyle w:val="13"/>
            </w:pPr>
            <w:r>
              <w:t>15.95</w:t>
            </w:r>
          </w:p>
        </w:tc>
        <w:tc>
          <w:tcPr>
            <w:tcW w:w="1134" w:type="dxa"/>
            <w:vAlign w:val="center"/>
          </w:tcPr>
          <w:p>
            <w:pPr>
              <w:pStyle w:val="13"/>
            </w:pPr>
            <w:r>
              <w:t>15.95</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2013250</w:t>
            </w:r>
          </w:p>
        </w:tc>
        <w:tc>
          <w:tcPr>
            <w:tcW w:w="1559" w:type="dxa"/>
            <w:vAlign w:val="center"/>
          </w:tcPr>
          <w:p>
            <w:pPr>
              <w:pStyle w:val="14"/>
            </w:pPr>
            <w:r>
              <w:t>事业运行</w:t>
            </w:r>
          </w:p>
        </w:tc>
        <w:tc>
          <w:tcPr>
            <w:tcW w:w="1134" w:type="dxa"/>
            <w:vAlign w:val="center"/>
          </w:tcPr>
          <w:p>
            <w:pPr>
              <w:pStyle w:val="13"/>
            </w:pPr>
            <w:r>
              <w:t>65.73</w:t>
            </w:r>
          </w:p>
        </w:tc>
        <w:tc>
          <w:tcPr>
            <w:tcW w:w="1134" w:type="dxa"/>
            <w:vAlign w:val="center"/>
          </w:tcPr>
          <w:p>
            <w:pPr>
              <w:pStyle w:val="13"/>
            </w:pPr>
            <w:r>
              <w:t>65.73</w:t>
            </w:r>
          </w:p>
        </w:tc>
        <w:tc>
          <w:tcPr>
            <w:tcW w:w="1134" w:type="dxa"/>
            <w:vAlign w:val="center"/>
          </w:tcPr>
          <w:p>
            <w:pPr>
              <w:pStyle w:val="13"/>
            </w:pPr>
            <w:r>
              <w:t>65.73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34.12</w:t>
            </w:r>
          </w:p>
        </w:tc>
        <w:tc>
          <w:tcPr>
            <w:tcW w:w="1134" w:type="dxa"/>
            <w:vAlign w:val="center"/>
          </w:tcPr>
          <w:p>
            <w:pPr>
              <w:pStyle w:val="13"/>
            </w:pPr>
            <w:r>
              <w:t>34.12</w:t>
            </w:r>
          </w:p>
        </w:tc>
        <w:tc>
          <w:tcPr>
            <w:tcW w:w="1134" w:type="dxa"/>
            <w:vAlign w:val="center"/>
          </w:tcPr>
          <w:p>
            <w:pPr>
              <w:pStyle w:val="13"/>
            </w:pPr>
            <w:r>
              <w:t>34.12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34.12</w:t>
            </w:r>
          </w:p>
        </w:tc>
        <w:tc>
          <w:tcPr>
            <w:tcW w:w="1134" w:type="dxa"/>
            <w:vAlign w:val="center"/>
          </w:tcPr>
          <w:p>
            <w:pPr>
              <w:pStyle w:val="13"/>
            </w:pPr>
            <w:r>
              <w:t>34.12</w:t>
            </w:r>
          </w:p>
        </w:tc>
        <w:tc>
          <w:tcPr>
            <w:tcW w:w="1134" w:type="dxa"/>
            <w:vAlign w:val="center"/>
          </w:tcPr>
          <w:p>
            <w:pPr>
              <w:pStyle w:val="13"/>
            </w:pPr>
            <w:r>
              <w:t>34.12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10.56</w:t>
            </w:r>
          </w:p>
        </w:tc>
        <w:tc>
          <w:tcPr>
            <w:tcW w:w="1134" w:type="dxa"/>
            <w:vAlign w:val="center"/>
          </w:tcPr>
          <w:p>
            <w:pPr>
              <w:pStyle w:val="13"/>
            </w:pPr>
            <w:r>
              <w:t>10.56</w:t>
            </w:r>
          </w:p>
        </w:tc>
        <w:tc>
          <w:tcPr>
            <w:tcW w:w="1134" w:type="dxa"/>
            <w:vAlign w:val="center"/>
          </w:tcPr>
          <w:p>
            <w:pPr>
              <w:pStyle w:val="13"/>
            </w:pPr>
            <w:r>
              <w:t>10.56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23.56</w:t>
            </w:r>
          </w:p>
        </w:tc>
        <w:tc>
          <w:tcPr>
            <w:tcW w:w="1134" w:type="dxa"/>
            <w:vAlign w:val="center"/>
          </w:tcPr>
          <w:p>
            <w:pPr>
              <w:pStyle w:val="13"/>
            </w:pPr>
            <w:r>
              <w:t>23.56</w:t>
            </w:r>
          </w:p>
        </w:tc>
        <w:tc>
          <w:tcPr>
            <w:tcW w:w="1134" w:type="dxa"/>
            <w:vAlign w:val="center"/>
          </w:tcPr>
          <w:p>
            <w:pPr>
              <w:pStyle w:val="13"/>
            </w:pPr>
            <w:r>
              <w:t>23.56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8.02</w:t>
            </w:r>
          </w:p>
        </w:tc>
        <w:tc>
          <w:tcPr>
            <w:tcW w:w="1134" w:type="dxa"/>
            <w:vAlign w:val="center"/>
          </w:tcPr>
          <w:p>
            <w:pPr>
              <w:pStyle w:val="13"/>
            </w:pPr>
            <w:r>
              <w:t>8.02</w:t>
            </w:r>
          </w:p>
        </w:tc>
        <w:tc>
          <w:tcPr>
            <w:tcW w:w="1134" w:type="dxa"/>
            <w:vAlign w:val="center"/>
          </w:tcPr>
          <w:p>
            <w:pPr>
              <w:pStyle w:val="13"/>
            </w:pPr>
            <w:r>
              <w:t>8.02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8.02</w:t>
            </w:r>
          </w:p>
        </w:tc>
        <w:tc>
          <w:tcPr>
            <w:tcW w:w="1134" w:type="dxa"/>
            <w:vAlign w:val="center"/>
          </w:tcPr>
          <w:p>
            <w:pPr>
              <w:pStyle w:val="13"/>
            </w:pPr>
            <w:r>
              <w:t>8.02</w:t>
            </w:r>
          </w:p>
        </w:tc>
        <w:tc>
          <w:tcPr>
            <w:tcW w:w="1134" w:type="dxa"/>
            <w:vAlign w:val="center"/>
          </w:tcPr>
          <w:p>
            <w:pPr>
              <w:pStyle w:val="13"/>
            </w:pPr>
            <w:r>
              <w:t>8.02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8.02</w:t>
            </w:r>
          </w:p>
        </w:tc>
        <w:tc>
          <w:tcPr>
            <w:tcW w:w="1134" w:type="dxa"/>
            <w:vAlign w:val="center"/>
          </w:tcPr>
          <w:p>
            <w:pPr>
              <w:pStyle w:val="13"/>
            </w:pPr>
            <w:r>
              <w:t>8.02</w:t>
            </w:r>
          </w:p>
        </w:tc>
        <w:tc>
          <w:tcPr>
            <w:tcW w:w="1134" w:type="dxa"/>
            <w:vAlign w:val="center"/>
          </w:tcPr>
          <w:p>
            <w:pPr>
              <w:pStyle w:val="13"/>
            </w:pPr>
            <w:r>
              <w:t>8.02</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19.26</w:t>
            </w:r>
          </w:p>
        </w:tc>
        <w:tc>
          <w:tcPr>
            <w:tcW w:w="1134" w:type="dxa"/>
            <w:vAlign w:val="center"/>
          </w:tcPr>
          <w:p>
            <w:pPr>
              <w:pStyle w:val="13"/>
            </w:pPr>
            <w:r>
              <w:t>19.26</w:t>
            </w:r>
          </w:p>
        </w:tc>
        <w:tc>
          <w:tcPr>
            <w:tcW w:w="1134" w:type="dxa"/>
            <w:vAlign w:val="center"/>
          </w:tcPr>
          <w:p>
            <w:pPr>
              <w:pStyle w:val="13"/>
            </w:pPr>
            <w:r>
              <w:t>19.26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19.26</w:t>
            </w:r>
          </w:p>
        </w:tc>
        <w:tc>
          <w:tcPr>
            <w:tcW w:w="1134" w:type="dxa"/>
            <w:vAlign w:val="center"/>
          </w:tcPr>
          <w:p>
            <w:pPr>
              <w:pStyle w:val="13"/>
            </w:pPr>
            <w:r>
              <w:t>19.26</w:t>
            </w:r>
          </w:p>
        </w:tc>
        <w:tc>
          <w:tcPr>
            <w:tcW w:w="1134" w:type="dxa"/>
            <w:vAlign w:val="center"/>
          </w:tcPr>
          <w:p>
            <w:pPr>
              <w:pStyle w:val="13"/>
            </w:pPr>
            <w:r>
              <w:t>19.26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19.26</w:t>
            </w:r>
          </w:p>
        </w:tc>
        <w:tc>
          <w:tcPr>
            <w:tcW w:w="1134" w:type="dxa"/>
            <w:vAlign w:val="center"/>
          </w:tcPr>
          <w:p>
            <w:pPr>
              <w:pStyle w:val="13"/>
            </w:pPr>
            <w:r>
              <w:t>19.26</w:t>
            </w:r>
          </w:p>
        </w:tc>
        <w:tc>
          <w:tcPr>
            <w:tcW w:w="1134" w:type="dxa"/>
            <w:vAlign w:val="center"/>
          </w:tcPr>
          <w:p>
            <w:pPr>
              <w:pStyle w:val="13"/>
            </w:pPr>
            <w:r>
              <w:t>19.26</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2722" w:type="dxa"/>
            <w:gridSpan w:val="2"/>
            <w:tcBorders>
              <w:top w:val="single" w:color="FFFFFF" w:sz="6" w:space="0"/>
              <w:left w:val="single" w:color="FFFFFF" w:sz="6" w:space="0"/>
              <w:right w:val="single" w:color="FFFFFF" w:sz="6" w:space="0"/>
            </w:tcBorders>
            <w:vAlign w:val="center"/>
          </w:tcPr>
          <w:p>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7"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292.15</w:t>
            </w:r>
          </w:p>
        </w:tc>
        <w:tc>
          <w:tcPr>
            <w:tcW w:w="1361" w:type="dxa"/>
            <w:vAlign w:val="center"/>
          </w:tcPr>
          <w:p>
            <w:pPr>
              <w:pStyle w:val="17"/>
            </w:pPr>
            <w:r>
              <w:t>276.20</w:t>
            </w:r>
          </w:p>
        </w:tc>
        <w:tc>
          <w:tcPr>
            <w:tcW w:w="1361" w:type="dxa"/>
            <w:vAlign w:val="center"/>
          </w:tcPr>
          <w:p>
            <w:pPr>
              <w:pStyle w:val="17"/>
            </w:pPr>
            <w:r>
              <w:t>15.95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230.75</w:t>
            </w:r>
          </w:p>
        </w:tc>
        <w:tc>
          <w:tcPr>
            <w:tcW w:w="1361" w:type="dxa"/>
            <w:vAlign w:val="center"/>
          </w:tcPr>
          <w:p>
            <w:pPr>
              <w:pStyle w:val="13"/>
            </w:pPr>
            <w:r>
              <w:t>214.80</w:t>
            </w:r>
          </w:p>
        </w:tc>
        <w:tc>
          <w:tcPr>
            <w:tcW w:w="1361" w:type="dxa"/>
            <w:vAlign w:val="center"/>
          </w:tcPr>
          <w:p>
            <w:pPr>
              <w:pStyle w:val="13"/>
            </w:pPr>
            <w:r>
              <w:t>15.95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20132</w:t>
            </w:r>
          </w:p>
        </w:tc>
        <w:tc>
          <w:tcPr>
            <w:tcW w:w="4535" w:type="dxa"/>
            <w:vAlign w:val="center"/>
          </w:tcPr>
          <w:p>
            <w:pPr>
              <w:pStyle w:val="14"/>
            </w:pPr>
            <w:r>
              <w:t>组织事务</w:t>
            </w:r>
          </w:p>
        </w:tc>
        <w:tc>
          <w:tcPr>
            <w:tcW w:w="1361" w:type="dxa"/>
            <w:vAlign w:val="center"/>
          </w:tcPr>
          <w:p>
            <w:pPr>
              <w:pStyle w:val="13"/>
            </w:pPr>
            <w:r>
              <w:t>230.75</w:t>
            </w:r>
          </w:p>
        </w:tc>
        <w:tc>
          <w:tcPr>
            <w:tcW w:w="1361" w:type="dxa"/>
            <w:vAlign w:val="center"/>
          </w:tcPr>
          <w:p>
            <w:pPr>
              <w:pStyle w:val="13"/>
            </w:pPr>
            <w:r>
              <w:t>214.80</w:t>
            </w:r>
          </w:p>
        </w:tc>
        <w:tc>
          <w:tcPr>
            <w:tcW w:w="1361" w:type="dxa"/>
            <w:vAlign w:val="center"/>
          </w:tcPr>
          <w:p>
            <w:pPr>
              <w:pStyle w:val="13"/>
            </w:pPr>
            <w:r>
              <w:t>15.95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2013201</w:t>
            </w:r>
          </w:p>
        </w:tc>
        <w:tc>
          <w:tcPr>
            <w:tcW w:w="4535" w:type="dxa"/>
            <w:vAlign w:val="center"/>
          </w:tcPr>
          <w:p>
            <w:pPr>
              <w:pStyle w:val="14"/>
            </w:pPr>
            <w:r>
              <w:t>行政运行</w:t>
            </w:r>
          </w:p>
        </w:tc>
        <w:tc>
          <w:tcPr>
            <w:tcW w:w="1361" w:type="dxa"/>
            <w:vAlign w:val="center"/>
          </w:tcPr>
          <w:p>
            <w:pPr>
              <w:pStyle w:val="13"/>
            </w:pPr>
            <w:r>
              <w:t>149.07</w:t>
            </w:r>
          </w:p>
        </w:tc>
        <w:tc>
          <w:tcPr>
            <w:tcW w:w="1361" w:type="dxa"/>
            <w:vAlign w:val="center"/>
          </w:tcPr>
          <w:p>
            <w:pPr>
              <w:pStyle w:val="13"/>
            </w:pPr>
            <w:r>
              <w:t>149.07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2013202</w:t>
            </w:r>
          </w:p>
        </w:tc>
        <w:tc>
          <w:tcPr>
            <w:tcW w:w="4535" w:type="dxa"/>
            <w:vAlign w:val="center"/>
          </w:tcPr>
          <w:p>
            <w:pPr>
              <w:pStyle w:val="14"/>
            </w:pPr>
            <w:r>
              <w:t>一般行政管理事务</w:t>
            </w:r>
          </w:p>
        </w:tc>
        <w:tc>
          <w:tcPr>
            <w:tcW w:w="1361" w:type="dxa"/>
            <w:vAlign w:val="center"/>
          </w:tcPr>
          <w:p>
            <w:pPr>
              <w:pStyle w:val="13"/>
            </w:pPr>
            <w:r>
              <w:t>15.95</w:t>
            </w:r>
          </w:p>
        </w:tc>
        <w:tc>
          <w:tcPr>
            <w:tcW w:w="1361" w:type="dxa"/>
            <w:vAlign w:val="center"/>
          </w:tcPr>
          <w:p>
            <w:pPr>
              <w:pStyle w:val="13"/>
            </w:pPr>
          </w:p>
        </w:tc>
        <w:tc>
          <w:tcPr>
            <w:tcW w:w="1361" w:type="dxa"/>
            <w:vAlign w:val="center"/>
          </w:tcPr>
          <w:p>
            <w:pPr>
              <w:pStyle w:val="13"/>
            </w:pPr>
            <w:r>
              <w:t>15.95</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2013250</w:t>
            </w:r>
          </w:p>
        </w:tc>
        <w:tc>
          <w:tcPr>
            <w:tcW w:w="4535" w:type="dxa"/>
            <w:vAlign w:val="center"/>
          </w:tcPr>
          <w:p>
            <w:pPr>
              <w:pStyle w:val="14"/>
            </w:pPr>
            <w:r>
              <w:t>事业运行</w:t>
            </w:r>
          </w:p>
        </w:tc>
        <w:tc>
          <w:tcPr>
            <w:tcW w:w="1361" w:type="dxa"/>
            <w:vAlign w:val="center"/>
          </w:tcPr>
          <w:p>
            <w:pPr>
              <w:pStyle w:val="13"/>
            </w:pPr>
            <w:r>
              <w:t>65.73</w:t>
            </w:r>
          </w:p>
        </w:tc>
        <w:tc>
          <w:tcPr>
            <w:tcW w:w="1361" w:type="dxa"/>
            <w:vAlign w:val="center"/>
          </w:tcPr>
          <w:p>
            <w:pPr>
              <w:pStyle w:val="13"/>
            </w:pPr>
            <w:r>
              <w:t>65.73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34.12</w:t>
            </w:r>
          </w:p>
        </w:tc>
        <w:tc>
          <w:tcPr>
            <w:tcW w:w="1361" w:type="dxa"/>
            <w:vAlign w:val="center"/>
          </w:tcPr>
          <w:p>
            <w:pPr>
              <w:pStyle w:val="13"/>
            </w:pPr>
            <w:r>
              <w:t>34.12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34.12</w:t>
            </w:r>
          </w:p>
        </w:tc>
        <w:tc>
          <w:tcPr>
            <w:tcW w:w="1361" w:type="dxa"/>
            <w:vAlign w:val="center"/>
          </w:tcPr>
          <w:p>
            <w:pPr>
              <w:pStyle w:val="13"/>
            </w:pPr>
            <w:r>
              <w:t>34.12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10.56</w:t>
            </w:r>
          </w:p>
        </w:tc>
        <w:tc>
          <w:tcPr>
            <w:tcW w:w="1361" w:type="dxa"/>
            <w:vAlign w:val="center"/>
          </w:tcPr>
          <w:p>
            <w:pPr>
              <w:pStyle w:val="13"/>
            </w:pPr>
            <w:r>
              <w:t>10.56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23.56</w:t>
            </w:r>
          </w:p>
        </w:tc>
        <w:tc>
          <w:tcPr>
            <w:tcW w:w="1361" w:type="dxa"/>
            <w:vAlign w:val="center"/>
          </w:tcPr>
          <w:p>
            <w:pPr>
              <w:pStyle w:val="13"/>
            </w:pPr>
            <w:r>
              <w:t>23.56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8.02</w:t>
            </w:r>
          </w:p>
        </w:tc>
        <w:tc>
          <w:tcPr>
            <w:tcW w:w="1361" w:type="dxa"/>
            <w:vAlign w:val="center"/>
          </w:tcPr>
          <w:p>
            <w:pPr>
              <w:pStyle w:val="13"/>
            </w:pPr>
            <w:r>
              <w:t>8.02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8.02</w:t>
            </w:r>
          </w:p>
        </w:tc>
        <w:tc>
          <w:tcPr>
            <w:tcW w:w="1361" w:type="dxa"/>
            <w:vAlign w:val="center"/>
          </w:tcPr>
          <w:p>
            <w:pPr>
              <w:pStyle w:val="13"/>
            </w:pPr>
            <w:r>
              <w:t>8.02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8.02</w:t>
            </w:r>
          </w:p>
        </w:tc>
        <w:tc>
          <w:tcPr>
            <w:tcW w:w="1361" w:type="dxa"/>
            <w:vAlign w:val="center"/>
          </w:tcPr>
          <w:p>
            <w:pPr>
              <w:pStyle w:val="13"/>
            </w:pPr>
            <w:r>
              <w:t>8.02</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19.26</w:t>
            </w:r>
          </w:p>
        </w:tc>
        <w:tc>
          <w:tcPr>
            <w:tcW w:w="1361" w:type="dxa"/>
            <w:vAlign w:val="center"/>
          </w:tcPr>
          <w:p>
            <w:pPr>
              <w:pStyle w:val="13"/>
            </w:pPr>
            <w:r>
              <w:t>19.26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19.26</w:t>
            </w:r>
          </w:p>
        </w:tc>
        <w:tc>
          <w:tcPr>
            <w:tcW w:w="1361" w:type="dxa"/>
            <w:vAlign w:val="center"/>
          </w:tcPr>
          <w:p>
            <w:pPr>
              <w:pStyle w:val="13"/>
            </w:pPr>
            <w:r>
              <w:t>19.26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19.26</w:t>
            </w:r>
          </w:p>
        </w:tc>
        <w:tc>
          <w:tcPr>
            <w:tcW w:w="1361" w:type="dxa"/>
            <w:vAlign w:val="center"/>
          </w:tcPr>
          <w:p>
            <w:pPr>
              <w:pStyle w:val="13"/>
            </w:pPr>
            <w:r>
              <w:t>19.26</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3402" w:type="dxa"/>
            <w:tcBorders>
              <w:top w:val="single" w:color="FFFFFF" w:sz="6" w:space="0"/>
              <w:left w:val="single" w:color="FFFFFF" w:sz="6" w:space="0"/>
              <w:right w:val="single" w:color="FFFFFF" w:sz="6" w:space="0"/>
            </w:tcBorders>
            <w:vAlign w:val="center"/>
          </w:tcPr>
          <w:p>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292.15</w:t>
            </w:r>
          </w:p>
        </w:tc>
        <w:tc>
          <w:tcPr>
            <w:tcW w:w="3402" w:type="dxa"/>
            <w:vAlign w:val="center"/>
          </w:tcPr>
          <w:p>
            <w:pPr>
              <w:pStyle w:val="14"/>
            </w:pPr>
            <w:r>
              <w:t>一、一般公共服务支出</w:t>
            </w:r>
          </w:p>
        </w:tc>
        <w:tc>
          <w:tcPr>
            <w:tcW w:w="1474" w:type="dxa"/>
            <w:vAlign w:val="center"/>
          </w:tcPr>
          <w:p>
            <w:pPr>
              <w:pStyle w:val="13"/>
            </w:pPr>
            <w:r>
              <w:t>230.75</w:t>
            </w:r>
          </w:p>
        </w:tc>
        <w:tc>
          <w:tcPr>
            <w:tcW w:w="1474" w:type="dxa"/>
            <w:vAlign w:val="center"/>
          </w:tcPr>
          <w:p>
            <w:pPr>
              <w:pStyle w:val="13"/>
            </w:pPr>
            <w:r>
              <w:t>230.75</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34.12</w:t>
            </w:r>
          </w:p>
        </w:tc>
        <w:tc>
          <w:tcPr>
            <w:tcW w:w="1474" w:type="dxa"/>
            <w:vAlign w:val="center"/>
          </w:tcPr>
          <w:p>
            <w:pPr>
              <w:pStyle w:val="13"/>
            </w:pPr>
            <w:r>
              <w:t>34.12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8.02</w:t>
            </w:r>
          </w:p>
        </w:tc>
        <w:tc>
          <w:tcPr>
            <w:tcW w:w="1474" w:type="dxa"/>
            <w:vAlign w:val="center"/>
          </w:tcPr>
          <w:p>
            <w:pPr>
              <w:pStyle w:val="13"/>
            </w:pPr>
            <w:r>
              <w:t>8.02</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19.26</w:t>
            </w:r>
          </w:p>
        </w:tc>
        <w:tc>
          <w:tcPr>
            <w:tcW w:w="1474" w:type="dxa"/>
            <w:vAlign w:val="center"/>
          </w:tcPr>
          <w:p>
            <w:pPr>
              <w:pStyle w:val="13"/>
            </w:pPr>
            <w:r>
              <w:t>19.26</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292.15</w:t>
            </w:r>
          </w:p>
        </w:tc>
        <w:tc>
          <w:tcPr>
            <w:tcW w:w="3402" w:type="dxa"/>
            <w:vAlign w:val="center"/>
          </w:tcPr>
          <w:p>
            <w:pPr>
              <w:pStyle w:val="16"/>
            </w:pPr>
            <w:r>
              <w:t>本年支出合计</w:t>
            </w:r>
          </w:p>
        </w:tc>
        <w:tc>
          <w:tcPr>
            <w:tcW w:w="1474" w:type="dxa"/>
            <w:vAlign w:val="center"/>
          </w:tcPr>
          <w:p>
            <w:pPr>
              <w:pStyle w:val="17"/>
            </w:pPr>
            <w:r>
              <w:t>292.15</w:t>
            </w:r>
          </w:p>
        </w:tc>
        <w:tc>
          <w:tcPr>
            <w:tcW w:w="1474" w:type="dxa"/>
            <w:vAlign w:val="center"/>
          </w:tcPr>
          <w:p>
            <w:pPr>
              <w:pStyle w:val="17"/>
            </w:pPr>
            <w:r>
              <w:t>292.15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292.15</w:t>
            </w:r>
          </w:p>
        </w:tc>
        <w:tc>
          <w:tcPr>
            <w:tcW w:w="3402" w:type="dxa"/>
            <w:vAlign w:val="center"/>
          </w:tcPr>
          <w:p>
            <w:pPr>
              <w:pStyle w:val="16"/>
            </w:pPr>
            <w:r>
              <w:t>支出总计</w:t>
            </w:r>
          </w:p>
        </w:tc>
        <w:tc>
          <w:tcPr>
            <w:tcW w:w="1474" w:type="dxa"/>
            <w:vAlign w:val="center"/>
          </w:tcPr>
          <w:p>
            <w:pPr>
              <w:pStyle w:val="17"/>
            </w:pPr>
            <w:r>
              <w:t>292.15</w:t>
            </w:r>
          </w:p>
        </w:tc>
        <w:tc>
          <w:tcPr>
            <w:tcW w:w="1474" w:type="dxa"/>
            <w:vAlign w:val="center"/>
          </w:tcPr>
          <w:p>
            <w:pPr>
              <w:pStyle w:val="17"/>
            </w:pPr>
            <w:r>
              <w:t>292.15</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292.15</w:t>
            </w:r>
          </w:p>
        </w:tc>
        <w:tc>
          <w:tcPr>
            <w:tcW w:w="2551" w:type="dxa"/>
            <w:vAlign w:val="center"/>
          </w:tcPr>
          <w:p>
            <w:pPr>
              <w:pStyle w:val="17"/>
            </w:pPr>
            <w:r>
              <w:t>276.20</w:t>
            </w:r>
          </w:p>
        </w:tc>
        <w:tc>
          <w:tcPr>
            <w:tcW w:w="2551" w:type="dxa"/>
            <w:vAlign w:val="center"/>
          </w:tcPr>
          <w:p>
            <w:pPr>
              <w:pStyle w:val="17"/>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230.75</w:t>
            </w:r>
          </w:p>
        </w:tc>
        <w:tc>
          <w:tcPr>
            <w:tcW w:w="2551" w:type="dxa"/>
            <w:vAlign w:val="center"/>
          </w:tcPr>
          <w:p>
            <w:pPr>
              <w:pStyle w:val="13"/>
            </w:pPr>
            <w:r>
              <w:t>214.80</w:t>
            </w:r>
          </w:p>
        </w:tc>
        <w:tc>
          <w:tcPr>
            <w:tcW w:w="2551" w:type="dxa"/>
            <w:vAlign w:val="center"/>
          </w:tcPr>
          <w:p>
            <w:pPr>
              <w:pStyle w:val="13"/>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20132</w:t>
            </w:r>
          </w:p>
        </w:tc>
        <w:tc>
          <w:tcPr>
            <w:tcW w:w="4535" w:type="dxa"/>
            <w:vAlign w:val="center"/>
          </w:tcPr>
          <w:p>
            <w:pPr>
              <w:pStyle w:val="14"/>
            </w:pPr>
            <w:r>
              <w:t>组织事务</w:t>
            </w:r>
          </w:p>
        </w:tc>
        <w:tc>
          <w:tcPr>
            <w:tcW w:w="2551" w:type="dxa"/>
            <w:vAlign w:val="center"/>
          </w:tcPr>
          <w:p>
            <w:pPr>
              <w:pStyle w:val="13"/>
            </w:pPr>
            <w:r>
              <w:t>230.75</w:t>
            </w:r>
          </w:p>
        </w:tc>
        <w:tc>
          <w:tcPr>
            <w:tcW w:w="2551" w:type="dxa"/>
            <w:vAlign w:val="center"/>
          </w:tcPr>
          <w:p>
            <w:pPr>
              <w:pStyle w:val="13"/>
            </w:pPr>
            <w:r>
              <w:t>214.80</w:t>
            </w:r>
          </w:p>
        </w:tc>
        <w:tc>
          <w:tcPr>
            <w:tcW w:w="2551" w:type="dxa"/>
            <w:vAlign w:val="center"/>
          </w:tcPr>
          <w:p>
            <w:pPr>
              <w:pStyle w:val="13"/>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2013201</w:t>
            </w:r>
          </w:p>
        </w:tc>
        <w:tc>
          <w:tcPr>
            <w:tcW w:w="4535" w:type="dxa"/>
            <w:vAlign w:val="center"/>
          </w:tcPr>
          <w:p>
            <w:pPr>
              <w:pStyle w:val="14"/>
            </w:pPr>
            <w:r>
              <w:t>行政运行</w:t>
            </w:r>
          </w:p>
        </w:tc>
        <w:tc>
          <w:tcPr>
            <w:tcW w:w="2551" w:type="dxa"/>
            <w:vAlign w:val="center"/>
          </w:tcPr>
          <w:p>
            <w:pPr>
              <w:pStyle w:val="13"/>
            </w:pPr>
            <w:r>
              <w:t>149.07</w:t>
            </w:r>
          </w:p>
        </w:tc>
        <w:tc>
          <w:tcPr>
            <w:tcW w:w="2551" w:type="dxa"/>
            <w:vAlign w:val="center"/>
          </w:tcPr>
          <w:p>
            <w:pPr>
              <w:pStyle w:val="13"/>
            </w:pPr>
            <w:r>
              <w:t>149.07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2013202</w:t>
            </w:r>
          </w:p>
        </w:tc>
        <w:tc>
          <w:tcPr>
            <w:tcW w:w="4535" w:type="dxa"/>
            <w:vAlign w:val="center"/>
          </w:tcPr>
          <w:p>
            <w:pPr>
              <w:pStyle w:val="14"/>
            </w:pPr>
            <w:r>
              <w:t>一般行政管理事务</w:t>
            </w:r>
          </w:p>
        </w:tc>
        <w:tc>
          <w:tcPr>
            <w:tcW w:w="2551" w:type="dxa"/>
            <w:vAlign w:val="center"/>
          </w:tcPr>
          <w:p>
            <w:pPr>
              <w:pStyle w:val="13"/>
            </w:pPr>
            <w:r>
              <w:t>15.95</w:t>
            </w:r>
          </w:p>
        </w:tc>
        <w:tc>
          <w:tcPr>
            <w:tcW w:w="2551" w:type="dxa"/>
            <w:vAlign w:val="center"/>
          </w:tcPr>
          <w:p>
            <w:pPr>
              <w:pStyle w:val="13"/>
            </w:pPr>
          </w:p>
        </w:tc>
        <w:tc>
          <w:tcPr>
            <w:tcW w:w="2551" w:type="dxa"/>
            <w:vAlign w:val="center"/>
          </w:tcPr>
          <w:p>
            <w:pPr>
              <w:pStyle w:val="13"/>
            </w:pPr>
            <w:r>
              <w:t>15.95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2013250</w:t>
            </w:r>
          </w:p>
        </w:tc>
        <w:tc>
          <w:tcPr>
            <w:tcW w:w="4535" w:type="dxa"/>
            <w:vAlign w:val="center"/>
          </w:tcPr>
          <w:p>
            <w:pPr>
              <w:pStyle w:val="14"/>
            </w:pPr>
            <w:r>
              <w:t>事业运行</w:t>
            </w:r>
          </w:p>
        </w:tc>
        <w:tc>
          <w:tcPr>
            <w:tcW w:w="2551" w:type="dxa"/>
            <w:vAlign w:val="center"/>
          </w:tcPr>
          <w:p>
            <w:pPr>
              <w:pStyle w:val="13"/>
            </w:pPr>
            <w:r>
              <w:t>65.73</w:t>
            </w:r>
          </w:p>
        </w:tc>
        <w:tc>
          <w:tcPr>
            <w:tcW w:w="2551" w:type="dxa"/>
            <w:vAlign w:val="center"/>
          </w:tcPr>
          <w:p>
            <w:pPr>
              <w:pStyle w:val="13"/>
            </w:pPr>
            <w:r>
              <w:t>65.73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34.12</w:t>
            </w:r>
          </w:p>
        </w:tc>
        <w:tc>
          <w:tcPr>
            <w:tcW w:w="2551" w:type="dxa"/>
            <w:vAlign w:val="center"/>
          </w:tcPr>
          <w:p>
            <w:pPr>
              <w:pStyle w:val="13"/>
            </w:pPr>
            <w:r>
              <w:t>34.12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34.12</w:t>
            </w:r>
          </w:p>
        </w:tc>
        <w:tc>
          <w:tcPr>
            <w:tcW w:w="2551" w:type="dxa"/>
            <w:vAlign w:val="center"/>
          </w:tcPr>
          <w:p>
            <w:pPr>
              <w:pStyle w:val="13"/>
            </w:pPr>
            <w:r>
              <w:t>34.12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10.56</w:t>
            </w:r>
          </w:p>
        </w:tc>
        <w:tc>
          <w:tcPr>
            <w:tcW w:w="2551" w:type="dxa"/>
            <w:vAlign w:val="center"/>
          </w:tcPr>
          <w:p>
            <w:pPr>
              <w:pStyle w:val="13"/>
            </w:pPr>
            <w:r>
              <w:t>10.56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23.56</w:t>
            </w:r>
          </w:p>
        </w:tc>
        <w:tc>
          <w:tcPr>
            <w:tcW w:w="2551" w:type="dxa"/>
            <w:vAlign w:val="center"/>
          </w:tcPr>
          <w:p>
            <w:pPr>
              <w:pStyle w:val="13"/>
            </w:pPr>
            <w:r>
              <w:t>23.56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8.02</w:t>
            </w:r>
          </w:p>
        </w:tc>
        <w:tc>
          <w:tcPr>
            <w:tcW w:w="2551" w:type="dxa"/>
            <w:vAlign w:val="center"/>
          </w:tcPr>
          <w:p>
            <w:pPr>
              <w:pStyle w:val="13"/>
            </w:pPr>
            <w:r>
              <w:t>8.02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8.02</w:t>
            </w:r>
          </w:p>
        </w:tc>
        <w:tc>
          <w:tcPr>
            <w:tcW w:w="2551" w:type="dxa"/>
            <w:vAlign w:val="center"/>
          </w:tcPr>
          <w:p>
            <w:pPr>
              <w:pStyle w:val="13"/>
            </w:pPr>
            <w:r>
              <w:t>8.02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8.02</w:t>
            </w:r>
          </w:p>
        </w:tc>
        <w:tc>
          <w:tcPr>
            <w:tcW w:w="2551" w:type="dxa"/>
            <w:vAlign w:val="center"/>
          </w:tcPr>
          <w:p>
            <w:pPr>
              <w:pStyle w:val="13"/>
            </w:pPr>
            <w:r>
              <w:t>8.02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19.26</w:t>
            </w:r>
          </w:p>
        </w:tc>
        <w:tc>
          <w:tcPr>
            <w:tcW w:w="2551" w:type="dxa"/>
            <w:vAlign w:val="center"/>
          </w:tcPr>
          <w:p>
            <w:pPr>
              <w:pStyle w:val="13"/>
            </w:pPr>
            <w:r>
              <w:t>19.26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19.26</w:t>
            </w:r>
          </w:p>
        </w:tc>
        <w:tc>
          <w:tcPr>
            <w:tcW w:w="2551" w:type="dxa"/>
            <w:vAlign w:val="center"/>
          </w:tcPr>
          <w:p>
            <w:pPr>
              <w:pStyle w:val="13"/>
            </w:pPr>
            <w:r>
              <w:t>19.26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19.26</w:t>
            </w:r>
          </w:p>
        </w:tc>
        <w:tc>
          <w:tcPr>
            <w:tcW w:w="2551" w:type="dxa"/>
            <w:vAlign w:val="center"/>
          </w:tcPr>
          <w:p>
            <w:pPr>
              <w:pStyle w:val="13"/>
            </w:pPr>
            <w:r>
              <w:t>19.26</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w:t>
            </w:r>
            <w:r>
              <w:rPr>
                <w:rFonts w:hint="eastAsia"/>
                <w:lang w:eastAsia="zh-CN"/>
              </w:rPr>
              <w:t>单位</w:t>
            </w:r>
            <w:r>
              <w:t>经济分类科目</w:t>
            </w:r>
          </w:p>
        </w:tc>
        <w:tc>
          <w:tcPr>
            <w:tcW w:w="7653"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276.20</w:t>
            </w:r>
          </w:p>
        </w:tc>
        <w:tc>
          <w:tcPr>
            <w:tcW w:w="2551" w:type="dxa"/>
            <w:vAlign w:val="center"/>
          </w:tcPr>
          <w:p>
            <w:pPr>
              <w:pStyle w:val="17"/>
            </w:pPr>
            <w:r>
              <w:t>254.79</w:t>
            </w:r>
          </w:p>
        </w:tc>
        <w:tc>
          <w:tcPr>
            <w:tcW w:w="2551" w:type="dxa"/>
            <w:vAlign w:val="center"/>
          </w:tcPr>
          <w:p>
            <w:pPr>
              <w:pStyle w:val="17"/>
            </w:pPr>
            <w:r>
              <w:t>21.41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244.50</w:t>
            </w:r>
          </w:p>
        </w:tc>
        <w:tc>
          <w:tcPr>
            <w:tcW w:w="2551" w:type="dxa"/>
            <w:vAlign w:val="center"/>
          </w:tcPr>
          <w:p>
            <w:pPr>
              <w:pStyle w:val="13"/>
            </w:pPr>
            <w:r>
              <w:t>244.50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87.91</w:t>
            </w:r>
          </w:p>
        </w:tc>
        <w:tc>
          <w:tcPr>
            <w:tcW w:w="2551" w:type="dxa"/>
            <w:vAlign w:val="center"/>
          </w:tcPr>
          <w:p>
            <w:pPr>
              <w:pStyle w:val="13"/>
            </w:pPr>
            <w:r>
              <w:t>87.91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40.61</w:t>
            </w:r>
          </w:p>
        </w:tc>
        <w:tc>
          <w:tcPr>
            <w:tcW w:w="2551" w:type="dxa"/>
            <w:vAlign w:val="center"/>
          </w:tcPr>
          <w:p>
            <w:pPr>
              <w:pStyle w:val="13"/>
            </w:pPr>
            <w:r>
              <w:t>40.61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28.18</w:t>
            </w:r>
          </w:p>
        </w:tc>
        <w:tc>
          <w:tcPr>
            <w:tcW w:w="2551" w:type="dxa"/>
            <w:vAlign w:val="center"/>
          </w:tcPr>
          <w:p>
            <w:pPr>
              <w:pStyle w:val="13"/>
            </w:pPr>
            <w:r>
              <w:t>28.18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36.04</w:t>
            </w:r>
          </w:p>
        </w:tc>
        <w:tc>
          <w:tcPr>
            <w:tcW w:w="2551" w:type="dxa"/>
            <w:vAlign w:val="center"/>
          </w:tcPr>
          <w:p>
            <w:pPr>
              <w:pStyle w:val="13"/>
            </w:pPr>
            <w:r>
              <w:t>36.04</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23.56</w:t>
            </w:r>
          </w:p>
        </w:tc>
        <w:tc>
          <w:tcPr>
            <w:tcW w:w="2551" w:type="dxa"/>
            <w:vAlign w:val="center"/>
          </w:tcPr>
          <w:p>
            <w:pPr>
              <w:pStyle w:val="13"/>
            </w:pPr>
            <w:r>
              <w:t>23.56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8.02</w:t>
            </w:r>
          </w:p>
        </w:tc>
        <w:tc>
          <w:tcPr>
            <w:tcW w:w="2551" w:type="dxa"/>
            <w:vAlign w:val="center"/>
          </w:tcPr>
          <w:p>
            <w:pPr>
              <w:pStyle w:val="13"/>
            </w:pPr>
            <w:r>
              <w:t>8.02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0.91</w:t>
            </w:r>
          </w:p>
        </w:tc>
        <w:tc>
          <w:tcPr>
            <w:tcW w:w="2551" w:type="dxa"/>
            <w:vAlign w:val="center"/>
          </w:tcPr>
          <w:p>
            <w:pPr>
              <w:pStyle w:val="13"/>
            </w:pPr>
            <w:r>
              <w:t>0.91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19.26</w:t>
            </w:r>
          </w:p>
        </w:tc>
        <w:tc>
          <w:tcPr>
            <w:tcW w:w="2551" w:type="dxa"/>
            <w:vAlign w:val="center"/>
          </w:tcPr>
          <w:p>
            <w:pPr>
              <w:pStyle w:val="13"/>
            </w:pPr>
            <w:r>
              <w:t>19.26</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21.41</w:t>
            </w:r>
          </w:p>
        </w:tc>
        <w:tc>
          <w:tcPr>
            <w:tcW w:w="2551" w:type="dxa"/>
            <w:vAlign w:val="center"/>
          </w:tcPr>
          <w:p>
            <w:pPr>
              <w:pStyle w:val="13"/>
            </w:pPr>
          </w:p>
        </w:tc>
        <w:tc>
          <w:tcPr>
            <w:tcW w:w="2551" w:type="dxa"/>
            <w:vAlign w:val="center"/>
          </w:tcPr>
          <w:p>
            <w:pPr>
              <w:pStyle w:val="13"/>
            </w:pPr>
            <w:r>
              <w:t>21.41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4.05</w:t>
            </w:r>
          </w:p>
        </w:tc>
        <w:tc>
          <w:tcPr>
            <w:tcW w:w="2551" w:type="dxa"/>
            <w:vAlign w:val="center"/>
          </w:tcPr>
          <w:p>
            <w:pPr>
              <w:pStyle w:val="13"/>
            </w:pPr>
          </w:p>
        </w:tc>
        <w:tc>
          <w:tcPr>
            <w:tcW w:w="2551" w:type="dxa"/>
            <w:vAlign w:val="center"/>
          </w:tcPr>
          <w:p>
            <w:pPr>
              <w:pStyle w:val="13"/>
            </w:pPr>
            <w:r>
              <w:t>4.05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3.48</w:t>
            </w:r>
          </w:p>
        </w:tc>
        <w:tc>
          <w:tcPr>
            <w:tcW w:w="2551" w:type="dxa"/>
            <w:vAlign w:val="center"/>
          </w:tcPr>
          <w:p>
            <w:pPr>
              <w:pStyle w:val="13"/>
            </w:pPr>
          </w:p>
        </w:tc>
        <w:tc>
          <w:tcPr>
            <w:tcW w:w="2551" w:type="dxa"/>
            <w:vAlign w:val="center"/>
          </w:tcPr>
          <w:p>
            <w:pPr>
              <w:pStyle w:val="13"/>
            </w:pPr>
            <w:r>
              <w:t>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2.40</w:t>
            </w:r>
          </w:p>
        </w:tc>
        <w:tc>
          <w:tcPr>
            <w:tcW w:w="2551" w:type="dxa"/>
            <w:vAlign w:val="center"/>
          </w:tcPr>
          <w:p>
            <w:pPr>
              <w:pStyle w:val="13"/>
            </w:pPr>
          </w:p>
        </w:tc>
        <w:tc>
          <w:tcPr>
            <w:tcW w:w="2551" w:type="dxa"/>
            <w:vAlign w:val="center"/>
          </w:tcPr>
          <w:p>
            <w:pPr>
              <w:pStyle w:val="13"/>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2.35</w:t>
            </w:r>
          </w:p>
        </w:tc>
        <w:tc>
          <w:tcPr>
            <w:tcW w:w="2551" w:type="dxa"/>
            <w:vAlign w:val="center"/>
          </w:tcPr>
          <w:p>
            <w:pPr>
              <w:pStyle w:val="13"/>
            </w:pPr>
          </w:p>
        </w:tc>
        <w:tc>
          <w:tcPr>
            <w:tcW w:w="2551" w:type="dxa"/>
            <w:vAlign w:val="center"/>
          </w:tcPr>
          <w:p>
            <w:pPr>
              <w:pStyle w:val="13"/>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6.00</w:t>
            </w:r>
          </w:p>
        </w:tc>
        <w:tc>
          <w:tcPr>
            <w:tcW w:w="2551" w:type="dxa"/>
            <w:vAlign w:val="center"/>
          </w:tcPr>
          <w:p>
            <w:pPr>
              <w:pStyle w:val="13"/>
            </w:pPr>
          </w:p>
        </w:tc>
        <w:tc>
          <w:tcPr>
            <w:tcW w:w="2551" w:type="dxa"/>
            <w:vAlign w:val="center"/>
          </w:tcPr>
          <w:p>
            <w:pPr>
              <w:pStyle w:val="13"/>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3.13</w:t>
            </w:r>
          </w:p>
        </w:tc>
        <w:tc>
          <w:tcPr>
            <w:tcW w:w="2551" w:type="dxa"/>
            <w:vAlign w:val="center"/>
          </w:tcPr>
          <w:p>
            <w:pPr>
              <w:pStyle w:val="13"/>
            </w:pPr>
          </w:p>
        </w:tc>
        <w:tc>
          <w:tcPr>
            <w:tcW w:w="2551" w:type="dxa"/>
            <w:vAlign w:val="center"/>
          </w:tcPr>
          <w:p>
            <w:pPr>
              <w:pStyle w:val="13"/>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10.29</w:t>
            </w:r>
          </w:p>
        </w:tc>
        <w:tc>
          <w:tcPr>
            <w:tcW w:w="2551" w:type="dxa"/>
            <w:vAlign w:val="center"/>
          </w:tcPr>
          <w:p>
            <w:pPr>
              <w:pStyle w:val="13"/>
            </w:pPr>
            <w:r>
              <w:t>10.29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10.29</w:t>
            </w:r>
          </w:p>
        </w:tc>
        <w:tc>
          <w:tcPr>
            <w:tcW w:w="2551" w:type="dxa"/>
            <w:vAlign w:val="center"/>
          </w:tcPr>
          <w:p>
            <w:pPr>
              <w:pStyle w:val="13"/>
            </w:pPr>
            <w:r>
              <w:t>10.29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2551" w:type="dxa"/>
            <w:tcBorders>
              <w:top w:val="single" w:color="FFFFFF" w:sz="6" w:space="0"/>
              <w:left w:val="single" w:color="FFFFFF" w:sz="6" w:space="0"/>
              <w:right w:val="single" w:color="FFFFFF" w:sz="6" w:space="0"/>
            </w:tcBorders>
            <w:vAlign w:val="center"/>
          </w:tcPr>
          <w:p>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2381" w:type="dxa"/>
            <w:tcBorders>
              <w:top w:val="single" w:color="FFFFFF" w:sz="6" w:space="0"/>
              <w:left w:val="single" w:color="FFFFFF" w:sz="6" w:space="0"/>
              <w:right w:val="single" w:color="FFFFFF" w:sz="6" w:space="0"/>
            </w:tcBorders>
            <w:vAlign w:val="center"/>
          </w:tcPr>
          <w:p>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2.35</w:t>
            </w:r>
          </w:p>
        </w:tc>
        <w:tc>
          <w:tcPr>
            <w:tcW w:w="2381" w:type="dxa"/>
            <w:vAlign w:val="center"/>
          </w:tcPr>
          <w:p>
            <w:pPr>
              <w:pStyle w:val="17"/>
            </w:pPr>
            <w:r>
              <w:t>2.35</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2.35</w:t>
            </w:r>
          </w:p>
        </w:tc>
        <w:tc>
          <w:tcPr>
            <w:tcW w:w="2381" w:type="dxa"/>
            <w:vAlign w:val="center"/>
          </w:tcPr>
          <w:p>
            <w:pPr>
              <w:pStyle w:val="13"/>
            </w:pPr>
            <w:r>
              <w:t>2.35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2.35</w:t>
            </w:r>
          </w:p>
        </w:tc>
        <w:tc>
          <w:tcPr>
            <w:tcW w:w="2381" w:type="dxa"/>
            <w:vAlign w:val="center"/>
          </w:tcPr>
          <w:p>
            <w:pPr>
              <w:pStyle w:val="13"/>
            </w:pPr>
            <w:r>
              <w:t>2.35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2.35</w:t>
            </w:r>
          </w:p>
        </w:tc>
        <w:tc>
          <w:tcPr>
            <w:tcW w:w="2381" w:type="dxa"/>
            <w:vAlign w:val="center"/>
          </w:tcPr>
          <w:p>
            <w:pPr>
              <w:pStyle w:val="13"/>
            </w:pPr>
            <w:r>
              <w:t>2.35</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中共保定市徐水区委机构编制委员会办公室本级2026年单位预算信息公开情况说明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按照《中华人民共和国预算法》、《地方预决算公开操作规程》和《关于进一步推进预算公开工作的实施意见》规定，现将中共保定市徐水区委机构编制委员会办公室本级2026年单位预算公开如下：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9"/>
      </w:pPr>
      <w:r>
        <w:t>根据《中共保定市徐水区委机构编制委员会办公室职能配置、内设机构和人员编制规定》， 中共保定市徐水区委机构编制委员会办公室的主要职责是：</w:t>
      </w:r>
    </w:p>
    <w:p>
      <w:pPr>
        <w:pStyle w:val="19"/>
      </w:pPr>
      <w:r>
        <w:t>（一）贯彻落实党中央、省委、市委和区委关于行政管理体制和机构改革以及机构编制管理的政策法规；管理和指导区委、人大、政府、政协、监察委机关，各民主党派、人民团体机关以及全区事业单位的机构编制工作。</w:t>
      </w:r>
    </w:p>
    <w:p>
      <w:pPr>
        <w:pStyle w:val="19"/>
      </w:pPr>
      <w:r>
        <w:t>（二）组织拟订全区行政管理体制改革和区委、区政府机构改革方案并组织实施。审核区委、区政府各</w:t>
      </w:r>
      <w:r>
        <w:rPr>
          <w:rFonts w:hint="eastAsia"/>
          <w:lang w:eastAsia="zh-CN"/>
        </w:rPr>
        <w:t>单位</w:t>
      </w:r>
      <w:r>
        <w:t>职能配置、内设机构、人员编制和领导职数以及全区乡（镇）机构改革方案；审核全区各级各类机关人员编制总额；指导协调乡（镇）行政管理体制和机构改革以及机构编制管理工作；研究推进机关后勤体制改革。</w:t>
      </w:r>
    </w:p>
    <w:p>
      <w:pPr>
        <w:pStyle w:val="19"/>
      </w:pPr>
      <w:r>
        <w:t>（三）协调区委各</w:t>
      </w:r>
      <w:r>
        <w:rPr>
          <w:rFonts w:hint="eastAsia"/>
          <w:lang w:eastAsia="zh-CN"/>
        </w:rPr>
        <w:t>单位</w:t>
      </w:r>
      <w:r>
        <w:t>、区政府各</w:t>
      </w:r>
      <w:r>
        <w:rPr>
          <w:rFonts w:hint="eastAsia"/>
          <w:lang w:eastAsia="zh-CN"/>
        </w:rPr>
        <w:t>单位</w:t>
      </w:r>
      <w:r>
        <w:t>的职能配置及其调整；协调区委各</w:t>
      </w:r>
      <w:r>
        <w:rPr>
          <w:rFonts w:hint="eastAsia"/>
          <w:lang w:eastAsia="zh-CN"/>
        </w:rPr>
        <w:t>单位</w:t>
      </w:r>
      <w:r>
        <w:t>之间、区政府各</w:t>
      </w:r>
      <w:r>
        <w:rPr>
          <w:rFonts w:hint="eastAsia"/>
          <w:lang w:eastAsia="zh-CN"/>
        </w:rPr>
        <w:t>单位</w:t>
      </w:r>
      <w:r>
        <w:t>之间、区委各</w:t>
      </w:r>
      <w:r>
        <w:rPr>
          <w:rFonts w:hint="eastAsia"/>
          <w:lang w:eastAsia="zh-CN"/>
        </w:rPr>
        <w:t>单位</w:t>
      </w:r>
      <w:r>
        <w:t>与区政府各</w:t>
      </w:r>
      <w:r>
        <w:rPr>
          <w:rFonts w:hint="eastAsia"/>
          <w:lang w:eastAsia="zh-CN"/>
        </w:rPr>
        <w:t>单位</w:t>
      </w:r>
      <w:r>
        <w:t>之间的职责分工。</w:t>
      </w:r>
    </w:p>
    <w:p>
      <w:pPr>
        <w:pStyle w:val="19"/>
      </w:pPr>
      <w:r>
        <w:t>（四）审核或审批区委、区政府各</w:t>
      </w:r>
      <w:r>
        <w:rPr>
          <w:rFonts w:hint="eastAsia"/>
          <w:lang w:eastAsia="zh-CN"/>
        </w:rPr>
        <w:t>单位</w:t>
      </w:r>
      <w:r>
        <w:t>派出机构的职能配置、机构设置、人员编制和领导职数。</w:t>
      </w:r>
    </w:p>
    <w:p>
      <w:pPr>
        <w:pStyle w:val="19"/>
      </w:pPr>
      <w:r>
        <w:t>（五）审核区人大、区政协、区监察委和区级各民主党派、人民团体机关的职能配置、机构设置、人员编制和领导职数。</w:t>
      </w:r>
    </w:p>
    <w:p>
      <w:pPr>
        <w:pStyle w:val="19"/>
      </w:pPr>
      <w:r>
        <w:t>（六）组织拟订全区事业单位管理体制和机构改革方案；审核或审批区委、区政府直属事业单位和区直</w:t>
      </w:r>
      <w:r>
        <w:rPr>
          <w:rFonts w:hint="eastAsia"/>
          <w:lang w:eastAsia="zh-CN"/>
        </w:rPr>
        <w:t>单位</w:t>
      </w:r>
      <w:r>
        <w:t>所属事业单位的机构编制事宜；负责全区党政群机关统一社会信用代码赋码管理工作，负责全区事业单位法人登记管理和监督检查工作。</w:t>
      </w:r>
    </w:p>
    <w:p>
      <w:pPr>
        <w:pStyle w:val="19"/>
      </w:pPr>
      <w:r>
        <w:t>（七）指导开发区（园区）行政管理体制改革工作；审核开发区（园区）职能配置、内设机构、人员编制和领导职数。</w:t>
      </w:r>
    </w:p>
    <w:p>
      <w:pPr>
        <w:pStyle w:val="19"/>
      </w:pPr>
      <w:r>
        <w:t>（八）负责全区机构编制的总量控制和动态管理。会同有关</w:t>
      </w:r>
      <w:r>
        <w:rPr>
          <w:rFonts w:hint="eastAsia"/>
          <w:lang w:eastAsia="zh-CN"/>
        </w:rPr>
        <w:t>单位</w:t>
      </w:r>
      <w:r>
        <w:t>负责机构编制实名制工作；负责乡（镇）、区直机关事业单位编制使用核准。建立健全机构编制</w:t>
      </w:r>
      <w:r>
        <w:rPr>
          <w:rFonts w:hint="eastAsia"/>
          <w:lang w:eastAsia="zh-CN"/>
        </w:rPr>
        <w:t>单位</w:t>
      </w:r>
      <w:r>
        <w:t>与有关</w:t>
      </w:r>
      <w:r>
        <w:rPr>
          <w:rFonts w:hint="eastAsia"/>
          <w:lang w:eastAsia="zh-CN"/>
        </w:rPr>
        <w:t>单位</w:t>
      </w:r>
      <w:r>
        <w:t>间的协调配合约束机制。</w:t>
      </w:r>
    </w:p>
    <w:p>
      <w:pPr>
        <w:pStyle w:val="19"/>
      </w:pPr>
      <w:r>
        <w:t>（九）负责监督检查区级和乡（镇）级行政、事业单位管理体制和机构改革及机构编制执行情况的跟踪评估和监督检查。负责受理违反机构编制法规、纪律的检举、控告和投诉，对违反机构编制法规、纪律问题进行调查处理。</w:t>
      </w:r>
    </w:p>
    <w:p>
      <w:pPr>
        <w:pStyle w:val="19"/>
      </w:pPr>
      <w:r>
        <w:t>（十）负责全区机构编制电子政务和信息化工作。负责全区机构编制统计工作；负责机构编制网站的建设管理工作；指导全区党政群机关、事业单位和其他非营利性单位网上名称管理工作。</w:t>
      </w:r>
    </w:p>
    <w:p>
      <w:pPr>
        <w:pStyle w:val="19"/>
      </w:pPr>
      <w:r>
        <w:t>（十一）组织开展行政体制改革及机构编制管理创新基础性和前瞻性研究。</w:t>
      </w:r>
    </w:p>
    <w:p>
      <w:pPr>
        <w:pStyle w:val="19"/>
      </w:pPr>
      <w:r>
        <w:t>（十二）完成区委、区政府和区委机构编制委员会交办的其他任务。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中共保定市徐水区委机构编制委员会办公室本级</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20"/>
      </w:pPr>
      <w:r>
        <w:t>按照预算管理有关规定，目前单位预算的编制实行综合预算管理，即全部收入和支出都反映在预算中。</w:t>
      </w:r>
    </w:p>
    <w:p>
      <w:pPr>
        <w:pStyle w:val="20"/>
      </w:pPr>
      <w:r>
        <w:t>1、收入说明</w:t>
      </w:r>
    </w:p>
    <w:p>
      <w:pPr>
        <w:pStyle w:val="20"/>
      </w:pPr>
      <w:r>
        <w:t>反映本单位当年全部收入。2026年预算收入292.15万元，其中：一般公共预算收入292.15万元，基金预算收入</w:t>
      </w:r>
      <w:r>
        <w:rPr>
          <w:rFonts w:hint="default"/>
          <w:lang w:val="en-US"/>
        </w:rPr>
        <w:t>0</w:t>
      </w:r>
      <w:r>
        <w:t>万元，国有资本经营预算收入</w:t>
      </w:r>
      <w:r>
        <w:rPr>
          <w:rFonts w:hint="default"/>
          <w:lang w:val="en-US"/>
        </w:rPr>
        <w:t>0</w:t>
      </w:r>
      <w:r>
        <w:t>万元，财政专户核拨收入</w:t>
      </w:r>
      <w:r>
        <w:rPr>
          <w:rFonts w:hint="default"/>
          <w:lang w:val="en-US"/>
        </w:rPr>
        <w:t>0</w:t>
      </w:r>
      <w:r>
        <w:t>万元，单位资金收入</w:t>
      </w:r>
      <w:r>
        <w:rPr>
          <w:rFonts w:hint="default"/>
          <w:lang w:val="en-US"/>
        </w:rPr>
        <w:t>0</w:t>
      </w:r>
      <w:r>
        <w:t>万元，上年结转结余</w:t>
      </w:r>
      <w:r>
        <w:rPr>
          <w:rFonts w:hint="default"/>
          <w:lang w:val="en-US"/>
        </w:rPr>
        <w:t>0</w:t>
      </w:r>
      <w:r>
        <w:t>万元。</w:t>
      </w:r>
    </w:p>
    <w:p>
      <w:pPr>
        <w:pStyle w:val="20"/>
      </w:pPr>
      <w:r>
        <w:t>2、支出说明</w:t>
      </w:r>
    </w:p>
    <w:p>
      <w:pPr>
        <w:pStyle w:val="20"/>
      </w:pPr>
      <w:r>
        <w:t>收支预算总表支出栏、基本支出表、项目支出表按经济分类和支出功能分类科目编制，反映中共保定市徐水区委机构编制委员会办公室本级年度单位预算中支出预算的总体情况。2026年支出预算292.15万元，其中基本支出276.20万元，包括人员经费254.79万元和日常公用经费21.41万元；项目支出15.95万元，主要为编办事务管理工作经费4.5万元；电子政务中心工作经费4万元；机构编制管理工作经费3.65万元；行政体制改革工作经费3.5万元；中文域名管理工作经费0.3万元。预计下年使用的单位资金结余</w:t>
      </w:r>
      <w:r>
        <w:rPr>
          <w:rFonts w:hint="default"/>
          <w:lang w:val="en-US"/>
        </w:rPr>
        <w:t>0</w:t>
      </w:r>
      <w:r>
        <w:t>万元。</w:t>
      </w:r>
    </w:p>
    <w:p>
      <w:pPr>
        <w:pStyle w:val="20"/>
      </w:pPr>
      <w:r>
        <w:t>3、比上年增减情况</w:t>
      </w:r>
    </w:p>
    <w:p>
      <w:pPr>
        <w:pStyle w:val="20"/>
      </w:pPr>
      <w:r>
        <w:t>2026年预算收支安排292.15万元，较2025年预算增加24.94万元，增长9.</w:t>
      </w:r>
      <w:r>
        <w:rPr>
          <w:rFonts w:hint="default"/>
          <w:lang w:val="en-US"/>
        </w:rPr>
        <w:t>33</w:t>
      </w:r>
      <w:r>
        <w:t>%</w:t>
      </w:r>
      <w:r>
        <w:rPr>
          <w:rFonts w:hint="eastAsia"/>
          <w:lang w:eastAsia="zh-CN"/>
        </w:rPr>
        <w:t>；</w:t>
      </w:r>
      <w:r>
        <w:t>其中：基本支出增加24.94万元，主要为人员经费254.79万元，较上年增加25.38万元，增长</w:t>
      </w:r>
      <w:r>
        <w:rPr>
          <w:rFonts w:hint="default"/>
          <w:lang w:val="en-US"/>
        </w:rPr>
        <w:t>11</w:t>
      </w:r>
      <w:r>
        <w:t>.</w:t>
      </w:r>
      <w:r>
        <w:rPr>
          <w:rFonts w:hint="default"/>
          <w:lang w:val="en-US"/>
        </w:rPr>
        <w:t>06</w:t>
      </w:r>
      <w:r>
        <w:t>%，主要原因：人员增加及相关经费调增；日常公用经费21.41万元，较上年减少0.44万元，降低2</w:t>
      </w:r>
      <w:r>
        <w:rPr>
          <w:rFonts w:hint="default"/>
          <w:lang w:val="en-US"/>
        </w:rPr>
        <w:t>.01</w:t>
      </w:r>
      <w:r>
        <w:t>%，主要原因：严格落实 八项规定，厉行节约。项目支出增加</w:t>
      </w:r>
      <w:r>
        <w:rPr>
          <w:rFonts w:hint="default"/>
          <w:lang w:val="en-US"/>
        </w:rPr>
        <w:t>0</w:t>
      </w:r>
      <w:r>
        <w:t>万元，主要为编办事务管理工作经费4.5万元；电子政务中心工作经费4万元；机构编制管理工作经费3.65万元；行政体制改革工作经费3.5万元；中文域名管理工作经费0.3万元</w:t>
      </w:r>
      <w:r>
        <w:rPr>
          <w:rFonts w:hint="eastAsia"/>
          <w:lang w:eastAsia="zh-CN"/>
        </w:rPr>
        <w:t>；</w:t>
      </w:r>
      <w:r>
        <w:t>与上年持平。</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21"/>
        <w:rPr>
          <w:rFonts w:hint="default" w:eastAsia="方正仿宋_GBK"/>
          <w:lang w:val="en-US" w:eastAsia="zh-CN"/>
        </w:rPr>
      </w:pPr>
      <w:r>
        <w:t>2026年，我单位机关运行经费共计安排21.41万元，较2025年预算增加</w:t>
      </w:r>
      <w:r>
        <w:rPr>
          <w:rFonts w:hint="default"/>
          <w:lang w:val="en-US"/>
        </w:rPr>
        <w:t>3.09</w:t>
      </w:r>
      <w:r>
        <w:t>万元</w:t>
      </w:r>
      <w:r>
        <w:rPr>
          <w:rFonts w:hint="eastAsia"/>
          <w:lang w:eastAsia="zh-CN"/>
        </w:rPr>
        <w:t>，</w:t>
      </w:r>
      <w:r>
        <w:t>增长</w:t>
      </w:r>
      <w:r>
        <w:rPr>
          <w:rFonts w:hint="default"/>
          <w:lang w:val="en-US"/>
        </w:rPr>
        <w:t>14.14</w:t>
      </w:r>
      <w:r>
        <w:t>%</w:t>
      </w:r>
      <w:r>
        <w:rPr>
          <w:rFonts w:hint="eastAsia"/>
          <w:lang w:eastAsia="zh-CN"/>
        </w:rPr>
        <w:t>；</w:t>
      </w:r>
      <w:r>
        <w:t>主要用于日常维修、办公用房水电费、办公用房取暖费、办公用房物业管理费等日常运行支出。增减变化的主要原因是</w:t>
      </w:r>
      <w:r>
        <w:rPr>
          <w:rFonts w:hint="eastAsia"/>
          <w:lang w:val="en-US" w:eastAsia="zh-CN"/>
        </w:rPr>
        <w:t>人员及相关经费的增加。</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2"/>
      </w:pPr>
      <w:r>
        <w:t>2026年，我单位财政拨款“三公”经费预算安排2.35万元，</w:t>
      </w:r>
      <w:r>
        <w:rPr>
          <w:rFonts w:hint="eastAsia"/>
          <w:lang w:val="en-US" w:eastAsia="zh-CN"/>
        </w:rPr>
        <w:t>较</w:t>
      </w:r>
      <w:r>
        <w:rPr>
          <w:rFonts w:hint="default"/>
          <w:lang w:val="en-US" w:eastAsia="zh-CN"/>
        </w:rPr>
        <w:t>2025</w:t>
      </w:r>
      <w:r>
        <w:rPr>
          <w:rFonts w:hint="eastAsia"/>
          <w:lang w:val="en-US" w:eastAsia="zh-CN"/>
        </w:rPr>
        <w:t>年预算减少</w:t>
      </w:r>
      <w:r>
        <w:rPr>
          <w:rFonts w:hint="default"/>
          <w:lang w:val="en-US" w:eastAsia="zh-CN"/>
        </w:rPr>
        <w:t>0.08</w:t>
      </w:r>
      <w:r>
        <w:rPr>
          <w:rFonts w:hint="eastAsia"/>
          <w:lang w:val="en-US" w:eastAsia="zh-CN"/>
        </w:rPr>
        <w:t>万元，减少</w:t>
      </w:r>
      <w:r>
        <w:rPr>
          <w:rFonts w:hint="default"/>
          <w:lang w:val="en-US" w:eastAsia="zh-CN"/>
        </w:rPr>
        <w:t>3.29%</w:t>
      </w:r>
      <w:r>
        <w:rPr>
          <w:rFonts w:hint="eastAsia"/>
          <w:lang w:val="en-US" w:eastAsia="zh-CN"/>
        </w:rPr>
        <w:t>；</w:t>
      </w:r>
      <w:r>
        <w:t>其中因公出国（境）费0.00万元；公务用车购置及运维费2.35万元（其中：公务用车购置费为0.00万元，公务用车运维费2.35万元</w:t>
      </w:r>
      <w:r>
        <w:rPr>
          <w:rFonts w:hint="eastAsia"/>
          <w:lang w:eastAsia="zh-CN"/>
        </w:rPr>
        <w:t>，</w:t>
      </w:r>
      <w:r>
        <w:rPr>
          <w:rFonts w:hint="eastAsia"/>
          <w:lang w:val="en-US" w:eastAsia="zh-CN"/>
        </w:rPr>
        <w:t>较</w:t>
      </w:r>
      <w:r>
        <w:rPr>
          <w:rFonts w:hint="default"/>
          <w:lang w:val="en-US" w:eastAsia="zh-CN"/>
        </w:rPr>
        <w:t>2025</w:t>
      </w:r>
      <w:r>
        <w:rPr>
          <w:rFonts w:hint="eastAsia"/>
          <w:lang w:val="en-US" w:eastAsia="zh-CN"/>
        </w:rPr>
        <w:t>年预算减少</w:t>
      </w:r>
      <w:r>
        <w:rPr>
          <w:rFonts w:hint="default"/>
          <w:lang w:val="en-US" w:eastAsia="zh-CN"/>
        </w:rPr>
        <w:t>0.08</w:t>
      </w:r>
      <w:r>
        <w:rPr>
          <w:rFonts w:hint="eastAsia"/>
          <w:lang w:val="en-US" w:eastAsia="zh-CN"/>
        </w:rPr>
        <w:t>万元，减少</w:t>
      </w:r>
      <w:r>
        <w:rPr>
          <w:rFonts w:hint="default"/>
          <w:lang w:val="en-US" w:eastAsia="zh-CN"/>
        </w:rPr>
        <w:t>3.29%</w:t>
      </w:r>
      <w:r>
        <w:t>)；公务接待费0.00万元。与2025年相比减少0.08万元，增减变化的主要原因是严格落实八项规定，厉行节约，杜绝铺张浪费。</w:t>
      </w:r>
      <w:bookmarkStart w:id="0" w:name="_GoBack"/>
      <w:bookmarkEnd w:id="0"/>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1、编办事务管理工作经费绩效目标表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13062526P000024104006</w:t>
            </w:r>
          </w:p>
        </w:tc>
        <w:tc>
          <w:tcPr>
            <w:tcW w:w="2835" w:type="dxa"/>
            <w:vAlign w:val="center"/>
          </w:tcPr>
          <w:p>
            <w:pPr>
              <w:pStyle w:val="12"/>
            </w:pPr>
            <w:r>
              <w:t>项目名称</w:t>
            </w:r>
          </w:p>
        </w:tc>
        <w:tc>
          <w:tcPr>
            <w:tcW w:w="6095" w:type="dxa"/>
            <w:gridSpan w:val="3"/>
            <w:vAlign w:val="center"/>
          </w:tcPr>
          <w:p>
            <w:pPr>
              <w:pStyle w:val="14"/>
            </w:pPr>
            <w:r>
              <w:t>编办事务管理工作经费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4.50</w:t>
            </w:r>
          </w:p>
        </w:tc>
        <w:tc>
          <w:tcPr>
            <w:tcW w:w="2835" w:type="dxa"/>
            <w:vAlign w:val="center"/>
          </w:tcPr>
          <w:p>
            <w:pPr>
              <w:pStyle w:val="12"/>
            </w:pPr>
            <w:r>
              <w:t>其中：财政    资金</w:t>
            </w:r>
          </w:p>
        </w:tc>
        <w:tc>
          <w:tcPr>
            <w:tcW w:w="2551" w:type="dxa"/>
            <w:vAlign w:val="center"/>
          </w:tcPr>
          <w:p>
            <w:pPr>
              <w:pStyle w:val="14"/>
            </w:pPr>
            <w:r>
              <w:t>4.50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用于贯彻执行中央关于机构编制工作的方针、政策和指示，发挥高层次议事协调机构的作用，做好机构改革和机构编制管理的日常领导，切实做好职能配置、机构设置、编制和领导职数核定等具体管理工作。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2.50</w:t>
            </w:r>
          </w:p>
        </w:tc>
        <w:tc>
          <w:tcPr>
            <w:tcW w:w="2551" w:type="dxa"/>
            <w:vAlign w:val="center"/>
          </w:tcPr>
          <w:p>
            <w:pPr>
              <w:pStyle w:val="15"/>
            </w:pPr>
            <w:r>
              <w:t>4.00</w:t>
            </w:r>
          </w:p>
        </w:tc>
        <w:tc>
          <w:tcPr>
            <w:tcW w:w="3544" w:type="dxa"/>
            <w:gridSpan w:val="2"/>
            <w:vAlign w:val="center"/>
          </w:tcPr>
          <w:p>
            <w:pPr>
              <w:pStyle w:val="15"/>
            </w:pPr>
            <w:r>
              <w:t>4.50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1.认真贯彻执行中央关于机构编制工作的方针、政策和指示，发挥高层次议事协调机构的作用，做好机构改革和机构编制管理的日常领导，切实做好职能配置、机构设置、编制和领导职数核定等具体管理。</w:t>
            </w:r>
          </w:p>
          <w:p>
            <w:pPr>
              <w:pStyle w:val="14"/>
            </w:pPr>
            <w:r>
              <w:t>2.全年共需资金45000元，办公费45000元，于6月底完成60%，11月底完成计划的100%。</w:t>
            </w:r>
          </w:p>
          <w:p>
            <w:pPr>
              <w:pStyle w:val="14"/>
            </w:pPr>
            <w:r>
              <w:t>3.加强事业单位法人登记、年检、变更，区直机关、群团和省、市事业单位登记管理机关授权的机构统一社会信用代码赋码证书发放和管理工作；对全区机构编制信息管理系统、机关人事、劳资、行政后勤、财务和资产进行管理达95%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报送事业单位法人年度报告数量</w:t>
            </w:r>
          </w:p>
        </w:tc>
        <w:tc>
          <w:tcPr>
            <w:tcW w:w="5386" w:type="dxa"/>
            <w:vAlign w:val="center"/>
          </w:tcPr>
          <w:p>
            <w:pPr>
              <w:pStyle w:val="14"/>
            </w:pPr>
            <w:r>
              <w:t>年度内报送事业单位法人登记、年检、变更、赋码工作、年度报告单位数量</w:t>
            </w:r>
          </w:p>
        </w:tc>
        <w:tc>
          <w:tcPr>
            <w:tcW w:w="2268" w:type="dxa"/>
            <w:vAlign w:val="center"/>
          </w:tcPr>
          <w:p>
            <w:pPr>
              <w:pStyle w:val="14"/>
            </w:pPr>
            <w:r>
              <w:t>150个</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事业单位法人年度报告年检合格率</w:t>
            </w:r>
          </w:p>
        </w:tc>
        <w:tc>
          <w:tcPr>
            <w:tcW w:w="5386" w:type="dxa"/>
            <w:vAlign w:val="center"/>
          </w:tcPr>
          <w:p>
            <w:pPr>
              <w:pStyle w:val="14"/>
            </w:pPr>
            <w:r>
              <w:t>反映年度内事业单位法人变更、年度报告、年检合格与上一年度相比程度</w:t>
            </w:r>
          </w:p>
        </w:tc>
        <w:tc>
          <w:tcPr>
            <w:tcW w:w="2268" w:type="dxa"/>
            <w:vAlign w:val="center"/>
          </w:tcPr>
          <w:p>
            <w:pPr>
              <w:pStyle w:val="14"/>
            </w:pPr>
            <w:r>
              <w:t>≥95%</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年度报告及时性</w:t>
            </w:r>
          </w:p>
        </w:tc>
        <w:tc>
          <w:tcPr>
            <w:tcW w:w="5386" w:type="dxa"/>
            <w:vAlign w:val="center"/>
          </w:tcPr>
          <w:p>
            <w:pPr>
              <w:pStyle w:val="14"/>
            </w:pPr>
            <w:r>
              <w:t>年度内事业单位年检、年度报告报送的准确、及时性</w:t>
            </w:r>
          </w:p>
        </w:tc>
        <w:tc>
          <w:tcPr>
            <w:tcW w:w="2268" w:type="dxa"/>
            <w:vAlign w:val="center"/>
          </w:tcPr>
          <w:p>
            <w:pPr>
              <w:pStyle w:val="14"/>
            </w:pPr>
            <w:r>
              <w:t>≥95%</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反映年度内编办事务管理工作运转维护所需资金控制情况</w:t>
            </w:r>
          </w:p>
        </w:tc>
        <w:tc>
          <w:tcPr>
            <w:tcW w:w="2268" w:type="dxa"/>
            <w:vAlign w:val="center"/>
          </w:tcPr>
          <w:p>
            <w:pPr>
              <w:pStyle w:val="14"/>
            </w:pPr>
            <w:r>
              <w:t>≤45000元</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事业单位履职提升率</w:t>
            </w:r>
          </w:p>
        </w:tc>
        <w:tc>
          <w:tcPr>
            <w:tcW w:w="5386" w:type="dxa"/>
            <w:vAlign w:val="center"/>
          </w:tcPr>
          <w:p>
            <w:pPr>
              <w:pStyle w:val="14"/>
            </w:pPr>
            <w:r>
              <w:t>反映年度内事业单位履行职责情况与上一年度履职情况程度的提升率</w:t>
            </w:r>
          </w:p>
        </w:tc>
        <w:tc>
          <w:tcPr>
            <w:tcW w:w="2268" w:type="dxa"/>
            <w:vAlign w:val="center"/>
          </w:tcPr>
          <w:p>
            <w:pPr>
              <w:pStyle w:val="14"/>
            </w:pPr>
            <w:r>
              <w:t>≥5%</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反映年度内接受事务管理服务对象满意度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2、电子政务中心经费绩效目标表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13062526P00002410402D</w:t>
            </w:r>
          </w:p>
        </w:tc>
        <w:tc>
          <w:tcPr>
            <w:tcW w:w="2835" w:type="dxa"/>
            <w:vAlign w:val="center"/>
          </w:tcPr>
          <w:p>
            <w:pPr>
              <w:pStyle w:val="12"/>
            </w:pPr>
            <w:r>
              <w:t>项目名称</w:t>
            </w:r>
          </w:p>
        </w:tc>
        <w:tc>
          <w:tcPr>
            <w:tcW w:w="6095" w:type="dxa"/>
            <w:gridSpan w:val="3"/>
            <w:vAlign w:val="center"/>
          </w:tcPr>
          <w:p>
            <w:pPr>
              <w:pStyle w:val="14"/>
            </w:pPr>
            <w:r>
              <w:t>电子政务中心经费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4.00</w:t>
            </w:r>
          </w:p>
        </w:tc>
        <w:tc>
          <w:tcPr>
            <w:tcW w:w="2835" w:type="dxa"/>
            <w:vAlign w:val="center"/>
          </w:tcPr>
          <w:p>
            <w:pPr>
              <w:pStyle w:val="12"/>
            </w:pPr>
            <w:r>
              <w:t>其中：财政    资金</w:t>
            </w:r>
          </w:p>
        </w:tc>
        <w:tc>
          <w:tcPr>
            <w:tcW w:w="2551" w:type="dxa"/>
            <w:vAlign w:val="center"/>
          </w:tcPr>
          <w:p>
            <w:pPr>
              <w:pStyle w:val="14"/>
            </w:pPr>
            <w:r>
              <w:t>4.00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用于强机构编制管理工作，完善机构编制系统电子政务和信息化建设；网上实名管理；加强机构编制电子政务和信息化建设等工作。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3.50</w:t>
            </w:r>
          </w:p>
        </w:tc>
        <w:tc>
          <w:tcPr>
            <w:tcW w:w="3544" w:type="dxa"/>
            <w:gridSpan w:val="2"/>
            <w:vAlign w:val="center"/>
          </w:tcPr>
          <w:p>
            <w:pPr>
              <w:pStyle w:val="15"/>
            </w:pPr>
            <w:r>
              <w:t>4.00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1.计划年度内加强机构编制管理工作，完善机构编制系统电子政务和信息化建设工作达到90%以上；网上实名管理达到95%及以上；机构编制和统计实名制工作、加强机构编制</w:t>
            </w:r>
            <w:r>
              <w:rPr>
                <w:rFonts w:hint="eastAsia"/>
                <w:lang w:eastAsia="zh-CN"/>
              </w:rPr>
              <w:t>单位</w:t>
            </w:r>
            <w:r>
              <w:t>电子政务和信息化建设达到95%及以上。</w:t>
            </w:r>
          </w:p>
          <w:p>
            <w:pPr>
              <w:pStyle w:val="14"/>
            </w:pPr>
            <w:r>
              <w:t>2.全年资金需求40000元，办公费20000元，办公设备购置20000元。资金按计划进度及时支付到位，6月底完成50%，11月份完成全年工作任务100%。</w:t>
            </w:r>
          </w:p>
          <w:p>
            <w:pPr>
              <w:pStyle w:val="14"/>
            </w:pPr>
            <w:r>
              <w:t>3.加强机构编制电子政务和信息化建设工作。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网上实名制数量</w:t>
            </w:r>
          </w:p>
        </w:tc>
        <w:tc>
          <w:tcPr>
            <w:tcW w:w="5386" w:type="dxa"/>
            <w:vAlign w:val="center"/>
          </w:tcPr>
          <w:p>
            <w:pPr>
              <w:pStyle w:val="14"/>
            </w:pPr>
            <w:r>
              <w:t>年度内反映电子政务和信息化管理网上实名的数量</w:t>
            </w:r>
          </w:p>
        </w:tc>
        <w:tc>
          <w:tcPr>
            <w:tcW w:w="2268" w:type="dxa"/>
            <w:vAlign w:val="center"/>
          </w:tcPr>
          <w:p>
            <w:pPr>
              <w:pStyle w:val="14"/>
            </w:pPr>
            <w:r>
              <w:t>≥150个</w:t>
            </w:r>
          </w:p>
        </w:tc>
        <w:tc>
          <w:tcPr>
            <w:tcW w:w="1276" w:type="dxa"/>
            <w:vAlign w:val="center"/>
          </w:tcPr>
          <w:p>
            <w:pPr>
              <w:pStyle w:val="14"/>
            </w:pPr>
            <w:r>
              <w:t>电子政务中心经费工作实施计划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完善信息化率</w:t>
            </w:r>
          </w:p>
        </w:tc>
        <w:tc>
          <w:tcPr>
            <w:tcW w:w="5386" w:type="dxa"/>
            <w:vAlign w:val="center"/>
          </w:tcPr>
          <w:p>
            <w:pPr>
              <w:pStyle w:val="14"/>
            </w:pPr>
            <w:r>
              <w:t>年度内反映机关事业单位信息化网络覆盖达标程度</w:t>
            </w:r>
          </w:p>
        </w:tc>
        <w:tc>
          <w:tcPr>
            <w:tcW w:w="2268" w:type="dxa"/>
            <w:vAlign w:val="center"/>
          </w:tcPr>
          <w:p>
            <w:pPr>
              <w:pStyle w:val="14"/>
            </w:pPr>
            <w:r>
              <w:t>≥95%</w:t>
            </w:r>
          </w:p>
        </w:tc>
        <w:tc>
          <w:tcPr>
            <w:tcW w:w="1276" w:type="dxa"/>
            <w:vAlign w:val="center"/>
          </w:tcPr>
          <w:p>
            <w:pPr>
              <w:pStyle w:val="14"/>
            </w:pPr>
            <w:r>
              <w:t>电子政务中心经费工作实施计划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信息化建设完成及时率</w:t>
            </w:r>
          </w:p>
        </w:tc>
        <w:tc>
          <w:tcPr>
            <w:tcW w:w="5386" w:type="dxa"/>
            <w:vAlign w:val="center"/>
          </w:tcPr>
          <w:p>
            <w:pPr>
              <w:pStyle w:val="14"/>
            </w:pPr>
            <w:r>
              <w:t>年度内信息化网络建设实际完成时间与计划建设完成时间相符程度</w:t>
            </w:r>
          </w:p>
        </w:tc>
        <w:tc>
          <w:tcPr>
            <w:tcW w:w="2268" w:type="dxa"/>
            <w:vAlign w:val="center"/>
          </w:tcPr>
          <w:p>
            <w:pPr>
              <w:pStyle w:val="14"/>
            </w:pPr>
            <w:r>
              <w:t>≥95%</w:t>
            </w:r>
          </w:p>
        </w:tc>
        <w:tc>
          <w:tcPr>
            <w:tcW w:w="1276" w:type="dxa"/>
            <w:vAlign w:val="center"/>
          </w:tcPr>
          <w:p>
            <w:pPr>
              <w:pStyle w:val="14"/>
            </w:pPr>
            <w:r>
              <w:t>中共保定市徐水区委办公室关于印发《中共保定市徐水区委机构编制委员会办公室职能配置、内设机构和人员编制规定》的通知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资金预算成本</w:t>
            </w:r>
          </w:p>
        </w:tc>
        <w:tc>
          <w:tcPr>
            <w:tcW w:w="5386" w:type="dxa"/>
            <w:vAlign w:val="center"/>
          </w:tcPr>
          <w:p>
            <w:pPr>
              <w:pStyle w:val="14"/>
            </w:pPr>
            <w:r>
              <w:t>反映电子政务中心工作运转和日常维护预算年度内所需资金成本</w:t>
            </w:r>
          </w:p>
        </w:tc>
        <w:tc>
          <w:tcPr>
            <w:tcW w:w="2268" w:type="dxa"/>
            <w:vAlign w:val="center"/>
          </w:tcPr>
          <w:p>
            <w:pPr>
              <w:pStyle w:val="14"/>
            </w:pPr>
            <w:r>
              <w:t>≤40000元</w:t>
            </w:r>
          </w:p>
        </w:tc>
        <w:tc>
          <w:tcPr>
            <w:tcW w:w="1276" w:type="dxa"/>
            <w:vAlign w:val="center"/>
          </w:tcPr>
          <w:p>
            <w:pPr>
              <w:pStyle w:val="14"/>
            </w:pPr>
            <w:r>
              <w:t>电子政务中心经费工作实施计划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工作效率提高</w:t>
            </w:r>
          </w:p>
        </w:tc>
        <w:tc>
          <w:tcPr>
            <w:tcW w:w="5386" w:type="dxa"/>
            <w:vAlign w:val="center"/>
          </w:tcPr>
          <w:p>
            <w:pPr>
              <w:pStyle w:val="14"/>
            </w:pPr>
            <w:r>
              <w:t>反映电子政务工作效率提高程度</w:t>
            </w:r>
          </w:p>
        </w:tc>
        <w:tc>
          <w:tcPr>
            <w:tcW w:w="2268" w:type="dxa"/>
            <w:vAlign w:val="center"/>
          </w:tcPr>
          <w:p>
            <w:pPr>
              <w:pStyle w:val="14"/>
            </w:pPr>
            <w:r>
              <w:t>≥5%</w:t>
            </w:r>
          </w:p>
        </w:tc>
        <w:tc>
          <w:tcPr>
            <w:tcW w:w="1276" w:type="dxa"/>
            <w:vAlign w:val="center"/>
          </w:tcPr>
          <w:p>
            <w:pPr>
              <w:pStyle w:val="14"/>
            </w:pPr>
            <w:r>
              <w:t>电子政务中心经费工作实施计划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接受电子政务管理服务对象满意程度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3、机构编制管理工作绩效目标表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13062526P000024103998</w:t>
            </w:r>
          </w:p>
        </w:tc>
        <w:tc>
          <w:tcPr>
            <w:tcW w:w="2835" w:type="dxa"/>
            <w:vAlign w:val="center"/>
          </w:tcPr>
          <w:p>
            <w:pPr>
              <w:pStyle w:val="12"/>
            </w:pPr>
            <w:r>
              <w:t>项目名称</w:t>
            </w:r>
          </w:p>
        </w:tc>
        <w:tc>
          <w:tcPr>
            <w:tcW w:w="6095" w:type="dxa"/>
            <w:gridSpan w:val="3"/>
            <w:vAlign w:val="center"/>
          </w:tcPr>
          <w:p>
            <w:pPr>
              <w:pStyle w:val="14"/>
            </w:pPr>
            <w:r>
              <w:t>机构编制管理工作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3.65</w:t>
            </w:r>
          </w:p>
        </w:tc>
        <w:tc>
          <w:tcPr>
            <w:tcW w:w="2835" w:type="dxa"/>
            <w:vAlign w:val="center"/>
          </w:tcPr>
          <w:p>
            <w:pPr>
              <w:pStyle w:val="12"/>
            </w:pPr>
            <w:r>
              <w:t>其中：财政    资金</w:t>
            </w:r>
          </w:p>
        </w:tc>
        <w:tc>
          <w:tcPr>
            <w:tcW w:w="2551" w:type="dxa"/>
            <w:vAlign w:val="center"/>
          </w:tcPr>
          <w:p>
            <w:pPr>
              <w:pStyle w:val="14"/>
            </w:pPr>
            <w:r>
              <w:t>3.65</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用于完善全区机构编制电子政务和信息化工作；区企事业单位法人登记、年检、变更和区直机关和群团赋码证书发放和管理工作。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3.65</w:t>
            </w:r>
          </w:p>
        </w:tc>
        <w:tc>
          <w:tcPr>
            <w:tcW w:w="3544" w:type="dxa"/>
            <w:gridSpan w:val="2"/>
            <w:vAlign w:val="center"/>
          </w:tcPr>
          <w:p>
            <w:pPr>
              <w:pStyle w:val="15"/>
            </w:pPr>
            <w:r>
              <w:t>3.65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1.完善全区机构编制电子政务和信息化工作达到年初设定目标的95%及以上；完成全区企事业单位法人登记、年检、变更和区直机关和群团赋码证书发放和管理工作达95%以上。</w:t>
            </w:r>
          </w:p>
          <w:p>
            <w:pPr>
              <w:pStyle w:val="14"/>
            </w:pPr>
            <w:r>
              <w:t>2.全年共需资金36500元；其中办公费31500元，差旅费5000元。</w:t>
            </w:r>
          </w:p>
          <w:p>
            <w:pPr>
              <w:pStyle w:val="14"/>
            </w:pPr>
            <w:r>
              <w:t>3.强化机构编制实名制及人员编制使用情况；用于开展机关、事业单位的机构编制管理工作。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办理实名制入编手续人数</w:t>
            </w:r>
          </w:p>
        </w:tc>
        <w:tc>
          <w:tcPr>
            <w:tcW w:w="5386" w:type="dxa"/>
            <w:vAlign w:val="center"/>
          </w:tcPr>
          <w:p>
            <w:pPr>
              <w:pStyle w:val="14"/>
            </w:pPr>
            <w:r>
              <w:t>年度内反映办理机关事业单位入编手续的人数</w:t>
            </w:r>
          </w:p>
        </w:tc>
        <w:tc>
          <w:tcPr>
            <w:tcW w:w="2268" w:type="dxa"/>
            <w:vAlign w:val="center"/>
          </w:tcPr>
          <w:p>
            <w:pPr>
              <w:pStyle w:val="14"/>
            </w:pPr>
            <w:r>
              <w:t>≥150人</w:t>
            </w:r>
          </w:p>
        </w:tc>
        <w:tc>
          <w:tcPr>
            <w:tcW w:w="1276" w:type="dxa"/>
            <w:vAlign w:val="center"/>
          </w:tcPr>
          <w:p>
            <w:pPr>
              <w:pStyle w:val="14"/>
            </w:pPr>
            <w:r>
              <w:t>机构编制管理项目工作实施计划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实名制管理执行率</w:t>
            </w:r>
          </w:p>
        </w:tc>
        <w:tc>
          <w:tcPr>
            <w:tcW w:w="5386" w:type="dxa"/>
            <w:vAlign w:val="center"/>
          </w:tcPr>
          <w:p>
            <w:pPr>
              <w:pStyle w:val="14"/>
            </w:pPr>
            <w:r>
              <w:t>年度内机关事业单位实名制管理数与年度内计划实名制管理机关事业单位数之间的比率</w:t>
            </w:r>
          </w:p>
        </w:tc>
        <w:tc>
          <w:tcPr>
            <w:tcW w:w="2268" w:type="dxa"/>
            <w:vAlign w:val="center"/>
          </w:tcPr>
          <w:p>
            <w:pPr>
              <w:pStyle w:val="14"/>
            </w:pPr>
            <w:r>
              <w:t>≥95%</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办理实名制入编手续及时性</w:t>
            </w:r>
          </w:p>
        </w:tc>
        <w:tc>
          <w:tcPr>
            <w:tcW w:w="5386" w:type="dxa"/>
            <w:vAlign w:val="center"/>
          </w:tcPr>
          <w:p>
            <w:pPr>
              <w:pStyle w:val="14"/>
            </w:pPr>
            <w:r>
              <w:t>年度内办理机关事业单位实名制入编手续准确及时性</w:t>
            </w:r>
          </w:p>
        </w:tc>
        <w:tc>
          <w:tcPr>
            <w:tcW w:w="2268" w:type="dxa"/>
            <w:vAlign w:val="center"/>
          </w:tcPr>
          <w:p>
            <w:pPr>
              <w:pStyle w:val="14"/>
            </w:pPr>
            <w:r>
              <w:t>≥95%</w:t>
            </w:r>
          </w:p>
        </w:tc>
        <w:tc>
          <w:tcPr>
            <w:tcW w:w="1276" w:type="dxa"/>
            <w:vAlign w:val="center"/>
          </w:tcPr>
          <w:p>
            <w:pPr>
              <w:pStyle w:val="14"/>
            </w:pPr>
            <w:r>
              <w:t>机构编制管理项目工作实施计划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年度内反映机构编制管理运转及日常维护预算成本情况</w:t>
            </w:r>
          </w:p>
        </w:tc>
        <w:tc>
          <w:tcPr>
            <w:tcW w:w="2268" w:type="dxa"/>
            <w:vAlign w:val="center"/>
          </w:tcPr>
          <w:p>
            <w:pPr>
              <w:pStyle w:val="14"/>
            </w:pPr>
            <w:r>
              <w:t>≤36500元</w:t>
            </w:r>
          </w:p>
        </w:tc>
        <w:tc>
          <w:tcPr>
            <w:tcW w:w="1276" w:type="dxa"/>
            <w:vAlign w:val="center"/>
          </w:tcPr>
          <w:p>
            <w:pPr>
              <w:pStyle w:val="14"/>
            </w:pPr>
            <w:r>
              <w:t>机构编制管理项目工作实施计划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机构编制管理水平提升度</w:t>
            </w:r>
          </w:p>
        </w:tc>
        <w:tc>
          <w:tcPr>
            <w:tcW w:w="5386" w:type="dxa"/>
            <w:vAlign w:val="center"/>
          </w:tcPr>
          <w:p>
            <w:pPr>
              <w:pStyle w:val="14"/>
            </w:pPr>
            <w:r>
              <w:t>反映年度内机构编制管理水平与上一年度相比提升程度</w:t>
            </w:r>
          </w:p>
        </w:tc>
        <w:tc>
          <w:tcPr>
            <w:tcW w:w="2268" w:type="dxa"/>
            <w:vAlign w:val="center"/>
          </w:tcPr>
          <w:p>
            <w:pPr>
              <w:pStyle w:val="14"/>
            </w:pPr>
            <w:r>
              <w:t>≥5%</w:t>
            </w:r>
          </w:p>
        </w:tc>
        <w:tc>
          <w:tcPr>
            <w:tcW w:w="1276" w:type="dxa"/>
            <w:vAlign w:val="center"/>
          </w:tcPr>
          <w:p>
            <w:pPr>
              <w:pStyle w:val="14"/>
            </w:pPr>
            <w:r>
              <w:t>机构编制管理项目工作实施计划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反映服务对象对机构编制管理工作的满意程度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4、行政体制改革工作经费绩效目标表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13062526P00002410401R</w:t>
            </w:r>
          </w:p>
        </w:tc>
        <w:tc>
          <w:tcPr>
            <w:tcW w:w="2835" w:type="dxa"/>
            <w:vAlign w:val="center"/>
          </w:tcPr>
          <w:p>
            <w:pPr>
              <w:pStyle w:val="12"/>
            </w:pPr>
            <w:r>
              <w:t>项目名称</w:t>
            </w:r>
          </w:p>
        </w:tc>
        <w:tc>
          <w:tcPr>
            <w:tcW w:w="6095" w:type="dxa"/>
            <w:gridSpan w:val="3"/>
            <w:vAlign w:val="center"/>
          </w:tcPr>
          <w:p>
            <w:pPr>
              <w:pStyle w:val="14"/>
            </w:pPr>
            <w:r>
              <w:t>行政体制改革工作经费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3.50</w:t>
            </w:r>
          </w:p>
        </w:tc>
        <w:tc>
          <w:tcPr>
            <w:tcW w:w="2835" w:type="dxa"/>
            <w:vAlign w:val="center"/>
          </w:tcPr>
          <w:p>
            <w:pPr>
              <w:pStyle w:val="12"/>
            </w:pPr>
            <w:r>
              <w:t>其中：财政    资金</w:t>
            </w:r>
          </w:p>
        </w:tc>
        <w:tc>
          <w:tcPr>
            <w:tcW w:w="2551" w:type="dxa"/>
            <w:vAlign w:val="center"/>
          </w:tcPr>
          <w:p>
            <w:pPr>
              <w:pStyle w:val="14"/>
            </w:pPr>
            <w:r>
              <w:t>3.50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用于三定”的审核和各机关、事业单位的机构编制管理工作；审核、指导、监督检查落实贯彻相关法律和机构编制政策落实；以及协调区直各</w:t>
            </w:r>
            <w:r>
              <w:rPr>
                <w:rFonts w:hint="eastAsia"/>
                <w:lang w:eastAsia="zh-CN"/>
              </w:rPr>
              <w:t>单位</w:t>
            </w:r>
            <w:r>
              <w:t>之间，各</w:t>
            </w:r>
            <w:r>
              <w:rPr>
                <w:rFonts w:hint="eastAsia"/>
                <w:lang w:eastAsia="zh-CN"/>
              </w:rPr>
              <w:t>单位</w:t>
            </w:r>
            <w:r>
              <w:t>与乡镇之间职责分工与职能调整等工作。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1.00</w:t>
            </w:r>
          </w:p>
        </w:tc>
        <w:tc>
          <w:tcPr>
            <w:tcW w:w="2835" w:type="dxa"/>
            <w:vAlign w:val="center"/>
          </w:tcPr>
          <w:p>
            <w:pPr>
              <w:pStyle w:val="15"/>
            </w:pPr>
            <w:r>
              <w:t>2.00</w:t>
            </w:r>
          </w:p>
        </w:tc>
        <w:tc>
          <w:tcPr>
            <w:tcW w:w="2551" w:type="dxa"/>
            <w:vAlign w:val="center"/>
          </w:tcPr>
          <w:p>
            <w:pPr>
              <w:pStyle w:val="15"/>
            </w:pPr>
            <w:r>
              <w:t>3.00</w:t>
            </w:r>
          </w:p>
        </w:tc>
        <w:tc>
          <w:tcPr>
            <w:tcW w:w="3544" w:type="dxa"/>
            <w:gridSpan w:val="2"/>
            <w:vAlign w:val="center"/>
          </w:tcPr>
          <w:p>
            <w:pPr>
              <w:pStyle w:val="15"/>
            </w:pPr>
            <w:r>
              <w:t>3.50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1.负责“三定”的审核和各机关、事业单位的机构编制管理工作；审核、指导、监督检查落实贯彻相关法律和机构编制政策落实情况均达到95%以上。</w:t>
            </w:r>
          </w:p>
          <w:p>
            <w:pPr>
              <w:pStyle w:val="14"/>
            </w:pPr>
            <w:r>
              <w:t>2.全年资金需求35000元；其中办公费用25000元，维修维护费10000元；6月底前完成60%，12月初完成100%。</w:t>
            </w:r>
          </w:p>
          <w:p>
            <w:pPr>
              <w:pStyle w:val="14"/>
            </w:pPr>
            <w:r>
              <w:t>3.协调区直各</w:t>
            </w:r>
            <w:r>
              <w:rPr>
                <w:rFonts w:hint="eastAsia"/>
                <w:lang w:eastAsia="zh-CN"/>
              </w:rPr>
              <w:t>单位</w:t>
            </w:r>
            <w:r>
              <w:t>之间，各</w:t>
            </w:r>
            <w:r>
              <w:rPr>
                <w:rFonts w:hint="eastAsia"/>
                <w:lang w:eastAsia="zh-CN"/>
              </w:rPr>
              <w:t>单位</w:t>
            </w:r>
            <w:r>
              <w:t>与乡镇之间职责分工与职能调整。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行政体制改革单位数量</w:t>
            </w:r>
          </w:p>
        </w:tc>
        <w:tc>
          <w:tcPr>
            <w:tcW w:w="5386" w:type="dxa"/>
            <w:vAlign w:val="center"/>
          </w:tcPr>
          <w:p>
            <w:pPr>
              <w:pStyle w:val="14"/>
            </w:pPr>
            <w:r>
              <w:t>反映年度内区直各</w:t>
            </w:r>
            <w:r>
              <w:rPr>
                <w:rFonts w:hint="eastAsia"/>
                <w:lang w:eastAsia="zh-CN"/>
              </w:rPr>
              <w:t>单位</w:t>
            </w:r>
            <w:r>
              <w:t>、各乡镇等单位行政体制改革数量</w:t>
            </w:r>
          </w:p>
        </w:tc>
        <w:tc>
          <w:tcPr>
            <w:tcW w:w="2268" w:type="dxa"/>
            <w:vAlign w:val="center"/>
          </w:tcPr>
          <w:p>
            <w:pPr>
              <w:pStyle w:val="14"/>
            </w:pPr>
            <w:r>
              <w:t>≥5个</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行政体制改革合格率</w:t>
            </w:r>
          </w:p>
        </w:tc>
        <w:tc>
          <w:tcPr>
            <w:tcW w:w="5386" w:type="dxa"/>
            <w:vAlign w:val="center"/>
          </w:tcPr>
          <w:p>
            <w:pPr>
              <w:pStyle w:val="14"/>
            </w:pPr>
            <w:r>
              <w:t>反映年度内区实际直各</w:t>
            </w:r>
            <w:r>
              <w:rPr>
                <w:rFonts w:hint="eastAsia"/>
                <w:lang w:eastAsia="zh-CN"/>
              </w:rPr>
              <w:t>单位</w:t>
            </w:r>
            <w:r>
              <w:t>、各乡镇行政体制改革检验合格数与区直各</w:t>
            </w:r>
            <w:r>
              <w:rPr>
                <w:rFonts w:hint="eastAsia"/>
                <w:lang w:eastAsia="zh-CN"/>
              </w:rPr>
              <w:t>单位</w:t>
            </w:r>
            <w:r>
              <w:t>、各乡镇单位总数完成程度</w:t>
            </w:r>
          </w:p>
        </w:tc>
        <w:tc>
          <w:tcPr>
            <w:tcW w:w="2268" w:type="dxa"/>
            <w:vAlign w:val="center"/>
          </w:tcPr>
          <w:p>
            <w:pPr>
              <w:pStyle w:val="14"/>
            </w:pPr>
            <w:r>
              <w:t>≥95%</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改革及时性</w:t>
            </w:r>
          </w:p>
        </w:tc>
        <w:tc>
          <w:tcPr>
            <w:tcW w:w="5386" w:type="dxa"/>
            <w:vAlign w:val="center"/>
          </w:tcPr>
          <w:p>
            <w:pPr>
              <w:pStyle w:val="14"/>
            </w:pPr>
            <w:r>
              <w:t>反映年度内区实际直各</w:t>
            </w:r>
            <w:r>
              <w:rPr>
                <w:rFonts w:hint="eastAsia"/>
                <w:lang w:eastAsia="zh-CN"/>
              </w:rPr>
              <w:t>单位</w:t>
            </w:r>
            <w:r>
              <w:t>、各乡镇行政体制改革进度效率及政策响应速度</w:t>
            </w:r>
          </w:p>
        </w:tc>
        <w:tc>
          <w:tcPr>
            <w:tcW w:w="2268" w:type="dxa"/>
            <w:vAlign w:val="center"/>
          </w:tcPr>
          <w:p>
            <w:pPr>
              <w:pStyle w:val="14"/>
            </w:pPr>
            <w:r>
              <w:t>≥90%</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预算成本控制数</w:t>
            </w:r>
          </w:p>
        </w:tc>
        <w:tc>
          <w:tcPr>
            <w:tcW w:w="5386" w:type="dxa"/>
            <w:vAlign w:val="center"/>
          </w:tcPr>
          <w:p>
            <w:pPr>
              <w:pStyle w:val="14"/>
            </w:pPr>
            <w:r>
              <w:t>反映年度内行政体制改革工作运行与维护所需资金成本与预算成本控制情况</w:t>
            </w:r>
          </w:p>
        </w:tc>
        <w:tc>
          <w:tcPr>
            <w:tcW w:w="2268" w:type="dxa"/>
            <w:vAlign w:val="center"/>
          </w:tcPr>
          <w:p>
            <w:pPr>
              <w:pStyle w:val="14"/>
            </w:pPr>
            <w:r>
              <w:t>≤35000元</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行政机关、园区、事业单位职能配置提升度</w:t>
            </w:r>
          </w:p>
        </w:tc>
        <w:tc>
          <w:tcPr>
            <w:tcW w:w="5386" w:type="dxa"/>
            <w:vAlign w:val="center"/>
          </w:tcPr>
          <w:p>
            <w:pPr>
              <w:pStyle w:val="14"/>
            </w:pPr>
            <w:r>
              <w:t>反映年度内行政机关、园区、事业单位职能履行、政策执行、服务效果改进与创新的提升程度</w:t>
            </w:r>
          </w:p>
        </w:tc>
        <w:tc>
          <w:tcPr>
            <w:tcW w:w="2268" w:type="dxa"/>
            <w:vAlign w:val="center"/>
          </w:tcPr>
          <w:p>
            <w:pPr>
              <w:pStyle w:val="14"/>
            </w:pPr>
            <w:r>
              <w:t>≥5%</w:t>
            </w:r>
          </w:p>
        </w:tc>
        <w:tc>
          <w:tcPr>
            <w:tcW w:w="1276" w:type="dxa"/>
            <w:vAlign w:val="center"/>
          </w:tcPr>
          <w:p>
            <w:pPr>
              <w:pStyle w:val="14"/>
            </w:pPr>
            <w:r>
              <w:t>中共保定市徐水区委办公室关于印发《中共保定市徐水区委机构编制委员会办公室职能配置、内设机构和人员编制规定》的通知（徐办字【2019】29号）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5386" w:type="dxa"/>
            <w:vAlign w:val="center"/>
          </w:tcPr>
          <w:p>
            <w:pPr>
              <w:pStyle w:val="14"/>
            </w:pPr>
            <w:r>
              <w:t>反映年内行政体制改革管理服务对象满意度</w:t>
            </w:r>
          </w:p>
        </w:tc>
        <w:tc>
          <w:tcPr>
            <w:tcW w:w="2268" w:type="dxa"/>
            <w:vAlign w:val="center"/>
          </w:tcPr>
          <w:p>
            <w:pPr>
              <w:pStyle w:val="14"/>
            </w:pPr>
            <w:r>
              <w:t>≥95%</w:t>
            </w:r>
          </w:p>
        </w:tc>
        <w:tc>
          <w:tcPr>
            <w:tcW w:w="1276" w:type="dxa"/>
            <w:vAlign w:val="center"/>
          </w:tcPr>
          <w:p>
            <w:pPr>
              <w:pStyle w:val="14"/>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5、中文域名工作经费绩效目标表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3" w:type="dxa"/>
            <w:gridSpan w:val="2"/>
            <w:vAlign w:val="center"/>
          </w:tcPr>
          <w:p>
            <w:pPr>
              <w:pStyle w:val="14"/>
            </w:pPr>
            <w:r>
              <w:t>13062526P00002410398L</w:t>
            </w:r>
          </w:p>
        </w:tc>
        <w:tc>
          <w:tcPr>
            <w:tcW w:w="2835" w:type="dxa"/>
            <w:vAlign w:val="center"/>
          </w:tcPr>
          <w:p>
            <w:pPr>
              <w:pStyle w:val="12"/>
            </w:pPr>
            <w:r>
              <w:t>项目名称</w:t>
            </w:r>
          </w:p>
        </w:tc>
        <w:tc>
          <w:tcPr>
            <w:tcW w:w="6095" w:type="dxa"/>
            <w:gridSpan w:val="3"/>
            <w:vAlign w:val="center"/>
          </w:tcPr>
          <w:p>
            <w:pPr>
              <w:pStyle w:val="14"/>
            </w:pPr>
            <w:r>
              <w:t>中文域名工作经费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0.30</w:t>
            </w:r>
          </w:p>
        </w:tc>
        <w:tc>
          <w:tcPr>
            <w:tcW w:w="2835" w:type="dxa"/>
            <w:vAlign w:val="center"/>
          </w:tcPr>
          <w:p>
            <w:pPr>
              <w:pStyle w:val="12"/>
            </w:pPr>
            <w:r>
              <w:t>其中：财政    资金</w:t>
            </w:r>
          </w:p>
        </w:tc>
        <w:tc>
          <w:tcPr>
            <w:tcW w:w="2551" w:type="dxa"/>
            <w:vAlign w:val="center"/>
          </w:tcPr>
          <w:p>
            <w:pPr>
              <w:pStyle w:val="14"/>
            </w:pPr>
            <w:r>
              <w:t>0.30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4"/>
            </w:pPr>
            <w:r>
              <w:t>用于建立一条快速、准确访问政务</w:t>
            </w:r>
            <w:r>
              <w:rPr>
                <w:rFonts w:hint="eastAsia"/>
                <w:lang w:eastAsia="zh-CN"/>
              </w:rPr>
              <w:t>单位</w:t>
            </w:r>
            <w:r>
              <w:t>和公益机构网站的绿色通道，推动政务公开，缴纳15个党政群机关和事业单位中文域名相关费用。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3"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4"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5"/>
            </w:pPr>
            <w:r>
              <w:t>0.30</w:t>
            </w:r>
          </w:p>
        </w:tc>
        <w:tc>
          <w:tcPr>
            <w:tcW w:w="2835" w:type="dxa"/>
            <w:vAlign w:val="center"/>
          </w:tcPr>
          <w:p>
            <w:pPr>
              <w:pStyle w:val="15"/>
            </w:pPr>
            <w:r>
              <w:t>0.30</w:t>
            </w:r>
          </w:p>
        </w:tc>
        <w:tc>
          <w:tcPr>
            <w:tcW w:w="2551" w:type="dxa"/>
            <w:vAlign w:val="center"/>
          </w:tcPr>
          <w:p>
            <w:pPr>
              <w:pStyle w:val="15"/>
            </w:pPr>
            <w:r>
              <w:t>0.30</w:t>
            </w:r>
          </w:p>
        </w:tc>
        <w:tc>
          <w:tcPr>
            <w:tcW w:w="3544" w:type="dxa"/>
            <w:gridSpan w:val="2"/>
            <w:vAlign w:val="center"/>
          </w:tcPr>
          <w:p>
            <w:pPr>
              <w:pStyle w:val="15"/>
            </w:pPr>
            <w:r>
              <w:t>0.30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3" w:type="dxa"/>
            <w:gridSpan w:val="6"/>
            <w:vAlign w:val="center"/>
          </w:tcPr>
          <w:p>
            <w:pPr>
              <w:pStyle w:val="14"/>
            </w:pPr>
            <w:r>
              <w:t>1.建立一条快速、准确访问政务</w:t>
            </w:r>
            <w:r>
              <w:rPr>
                <w:rFonts w:hint="eastAsia"/>
                <w:lang w:eastAsia="zh-CN"/>
              </w:rPr>
              <w:t>单位</w:t>
            </w:r>
            <w:r>
              <w:t>和公益机构网站的绿色通道，推动政务公开，完成缴纳15个党政群机关和事业单位中文域名相关费用。</w:t>
            </w:r>
          </w:p>
          <w:p>
            <w:pPr>
              <w:pStyle w:val="14"/>
            </w:pPr>
            <w:r>
              <w:t>2.建立一条快速、准确访问政务</w:t>
            </w:r>
            <w:r>
              <w:rPr>
                <w:rFonts w:hint="eastAsia"/>
                <w:lang w:eastAsia="zh-CN"/>
              </w:rPr>
              <w:t>单位</w:t>
            </w:r>
            <w:r>
              <w:t>和公益机构网站的绿色通道，推动政务公开和电子政务的发展。</w:t>
            </w:r>
          </w:p>
          <w:p>
            <w:pPr>
              <w:pStyle w:val="14"/>
            </w:pPr>
            <w:r>
              <w:t>3.全年资金需求共计3000元，其他商品和服务支出3000元，于6月份之前完成工作计划100%。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维护中文域名单位数量</w:t>
            </w:r>
          </w:p>
        </w:tc>
        <w:tc>
          <w:tcPr>
            <w:tcW w:w="5386" w:type="dxa"/>
            <w:vAlign w:val="center"/>
          </w:tcPr>
          <w:p>
            <w:pPr>
              <w:pStyle w:val="14"/>
            </w:pPr>
            <w:r>
              <w:t>年度内政务</w:t>
            </w:r>
            <w:r>
              <w:rPr>
                <w:rFonts w:hint="eastAsia"/>
                <w:lang w:eastAsia="zh-CN"/>
              </w:rPr>
              <w:t>单位</w:t>
            </w:r>
            <w:r>
              <w:t>和公益机构网站维护中文域名单位数量</w:t>
            </w:r>
          </w:p>
        </w:tc>
        <w:tc>
          <w:tcPr>
            <w:tcW w:w="2268" w:type="dxa"/>
            <w:vAlign w:val="center"/>
          </w:tcPr>
          <w:p>
            <w:pPr>
              <w:pStyle w:val="14"/>
            </w:pPr>
            <w:r>
              <w:t>15个</w:t>
            </w:r>
          </w:p>
        </w:tc>
        <w:tc>
          <w:tcPr>
            <w:tcW w:w="1276" w:type="dxa"/>
            <w:vAlign w:val="center"/>
          </w:tcPr>
          <w:p>
            <w:pPr>
              <w:pStyle w:val="14"/>
            </w:pPr>
            <w:r>
              <w:t>《关于申请中文域名管理工作经费的请示》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平台有效运行率</w:t>
            </w:r>
          </w:p>
        </w:tc>
        <w:tc>
          <w:tcPr>
            <w:tcW w:w="5386" w:type="dxa"/>
            <w:vAlign w:val="center"/>
          </w:tcPr>
          <w:p>
            <w:pPr>
              <w:pStyle w:val="14"/>
            </w:pPr>
            <w:r>
              <w:t>年度内政务</w:t>
            </w:r>
            <w:r>
              <w:rPr>
                <w:rFonts w:hint="eastAsia"/>
                <w:lang w:eastAsia="zh-CN"/>
              </w:rPr>
              <w:t>单位</w:t>
            </w:r>
            <w:r>
              <w:t>和公益机构网站平台有效运行和上一年度有效运行比率</w:t>
            </w:r>
          </w:p>
        </w:tc>
        <w:tc>
          <w:tcPr>
            <w:tcW w:w="2268" w:type="dxa"/>
            <w:vAlign w:val="center"/>
          </w:tcPr>
          <w:p>
            <w:pPr>
              <w:pStyle w:val="14"/>
            </w:pPr>
            <w:r>
              <w:t>≥90%</w:t>
            </w:r>
          </w:p>
        </w:tc>
        <w:tc>
          <w:tcPr>
            <w:tcW w:w="1276" w:type="dxa"/>
            <w:vAlign w:val="center"/>
          </w:tcPr>
          <w:p>
            <w:pPr>
              <w:pStyle w:val="14"/>
            </w:pPr>
            <w:r>
              <w:t>《河北省机构编制委员会办公室关于调整”政务“和”公益“中文域名收费标准的通知》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时效指标</w:t>
            </w:r>
          </w:p>
        </w:tc>
        <w:tc>
          <w:tcPr>
            <w:tcW w:w="2835" w:type="dxa"/>
            <w:vAlign w:val="center"/>
          </w:tcPr>
          <w:p>
            <w:pPr>
              <w:pStyle w:val="14"/>
            </w:pPr>
            <w:r>
              <w:t>维护及时性</w:t>
            </w:r>
          </w:p>
        </w:tc>
        <w:tc>
          <w:tcPr>
            <w:tcW w:w="5386" w:type="dxa"/>
            <w:vAlign w:val="center"/>
          </w:tcPr>
          <w:p>
            <w:pPr>
              <w:pStyle w:val="14"/>
            </w:pPr>
            <w:r>
              <w:t>年度内政务</w:t>
            </w:r>
            <w:r>
              <w:rPr>
                <w:rFonts w:hint="eastAsia"/>
                <w:lang w:eastAsia="zh-CN"/>
              </w:rPr>
              <w:t>单位</w:t>
            </w:r>
            <w:r>
              <w:t>和公益机构网站运转维护及时性</w:t>
            </w:r>
          </w:p>
        </w:tc>
        <w:tc>
          <w:tcPr>
            <w:tcW w:w="2268" w:type="dxa"/>
            <w:vAlign w:val="center"/>
          </w:tcPr>
          <w:p>
            <w:pPr>
              <w:pStyle w:val="14"/>
            </w:pPr>
            <w:r>
              <w:t>≥90%</w:t>
            </w:r>
          </w:p>
        </w:tc>
        <w:tc>
          <w:tcPr>
            <w:tcW w:w="1276" w:type="dxa"/>
            <w:vAlign w:val="center"/>
          </w:tcPr>
          <w:p>
            <w:pPr>
              <w:pStyle w:val="14"/>
            </w:pPr>
            <w:r>
              <w:t>徐办字[2019]29号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每个单位中文域名维护预算成本</w:t>
            </w:r>
          </w:p>
        </w:tc>
        <w:tc>
          <w:tcPr>
            <w:tcW w:w="5386" w:type="dxa"/>
            <w:vAlign w:val="center"/>
          </w:tcPr>
          <w:p>
            <w:pPr>
              <w:pStyle w:val="14"/>
            </w:pPr>
            <w:r>
              <w:t>年度内政务</w:t>
            </w:r>
            <w:r>
              <w:rPr>
                <w:rFonts w:hint="eastAsia"/>
                <w:lang w:eastAsia="zh-CN"/>
              </w:rPr>
              <w:t>单位</w:t>
            </w:r>
            <w:r>
              <w:t>和公益机构网站每个单位中文域名维护预算成本</w:t>
            </w:r>
          </w:p>
        </w:tc>
        <w:tc>
          <w:tcPr>
            <w:tcW w:w="2268" w:type="dxa"/>
            <w:vAlign w:val="center"/>
          </w:tcPr>
          <w:p>
            <w:pPr>
              <w:pStyle w:val="14"/>
            </w:pPr>
            <w:r>
              <w:t>200元</w:t>
            </w:r>
          </w:p>
        </w:tc>
        <w:tc>
          <w:tcPr>
            <w:tcW w:w="1276" w:type="dxa"/>
            <w:vAlign w:val="center"/>
          </w:tcPr>
          <w:p>
            <w:pPr>
              <w:pStyle w:val="14"/>
            </w:pPr>
            <w:r>
              <w:t>《河北省机构编制委员会办公室关于调整”政务“和”公益“中文域名收费标准的通知》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提供政务信息率</w:t>
            </w:r>
          </w:p>
        </w:tc>
        <w:tc>
          <w:tcPr>
            <w:tcW w:w="5386" w:type="dxa"/>
            <w:vAlign w:val="center"/>
          </w:tcPr>
          <w:p>
            <w:pPr>
              <w:pStyle w:val="14"/>
            </w:pPr>
            <w:r>
              <w:t>年度内政务</w:t>
            </w:r>
            <w:r>
              <w:rPr>
                <w:rFonts w:hint="eastAsia"/>
                <w:lang w:eastAsia="zh-CN"/>
              </w:rPr>
              <w:t>单位</w:t>
            </w:r>
            <w:r>
              <w:t>和公益机构网站提供政务信息数量与上一年度提供信息量比率</w:t>
            </w:r>
          </w:p>
        </w:tc>
        <w:tc>
          <w:tcPr>
            <w:tcW w:w="2268" w:type="dxa"/>
            <w:vAlign w:val="center"/>
          </w:tcPr>
          <w:p>
            <w:pPr>
              <w:pStyle w:val="14"/>
            </w:pPr>
            <w:r>
              <w:t>≥5%</w:t>
            </w:r>
          </w:p>
        </w:tc>
        <w:tc>
          <w:tcPr>
            <w:tcW w:w="1276" w:type="dxa"/>
            <w:vAlign w:val="center"/>
          </w:tcPr>
          <w:p>
            <w:pPr>
              <w:pStyle w:val="14"/>
            </w:pPr>
            <w:r>
              <w:t>《河北省机构编制委员会办公室关于调整”政务“和”公益“中文域名收费标准的通知》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服务群众满意度</w:t>
            </w:r>
          </w:p>
        </w:tc>
        <w:tc>
          <w:tcPr>
            <w:tcW w:w="5386" w:type="dxa"/>
            <w:vAlign w:val="center"/>
          </w:tcPr>
          <w:p>
            <w:pPr>
              <w:pStyle w:val="14"/>
            </w:pPr>
            <w:r>
              <w:t>反映年度内中文域名管理服务群众满意度</w:t>
            </w:r>
          </w:p>
        </w:tc>
        <w:tc>
          <w:tcPr>
            <w:tcW w:w="2268" w:type="dxa"/>
            <w:vAlign w:val="center"/>
          </w:tcPr>
          <w:p>
            <w:pPr>
              <w:pStyle w:val="14"/>
            </w:pPr>
            <w:r>
              <w:t>≥95%</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8676" w:type="dxa"/>
            <w:gridSpan w:val="9"/>
            <w:tcBorders>
              <w:top w:val="single" w:color="FFFFFF" w:sz="6" w:space="0"/>
              <w:left w:val="single" w:color="FFFFFF" w:sz="6" w:space="0"/>
              <w:right w:val="single" w:color="FFFFFF" w:sz="6" w:space="0"/>
            </w:tcBorders>
            <w:vAlign w:val="center"/>
          </w:tcPr>
          <w:p>
            <w:pPr>
              <w:pStyle w:val="23"/>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2" w:type="dxa"/>
            <w:gridSpan w:val="8"/>
            <w:vAlign w:val="center"/>
          </w:tcPr>
          <w:p>
            <w:pPr>
              <w:pStyle w:val="12"/>
            </w:pPr>
            <w:r>
              <w:t>政府采购金额（当年</w:t>
            </w:r>
            <w:r>
              <w:rPr>
                <w:rFonts w:hint="eastAsia"/>
                <w:lang w:eastAsia="zh-CN"/>
              </w:rPr>
              <w:t>单位</w:t>
            </w:r>
            <w:r>
              <w:t>预算安排资金）</w:t>
            </w:r>
          </w:p>
        </w:tc>
        <w:tc>
          <w:tcPr>
            <w:tcW w:w="964" w:type="dxa"/>
            <w:vMerge w:val="restart"/>
            <w:vAlign w:val="center"/>
          </w:tcPr>
          <w:p>
            <w:pPr>
              <w:pStyle w:val="12"/>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财政拨款结转</w:t>
            </w:r>
          </w:p>
        </w:tc>
        <w:tc>
          <w:tcPr>
            <w:tcW w:w="964" w:type="dxa"/>
            <w:vAlign w:val="center"/>
          </w:tcPr>
          <w:p>
            <w:pPr>
              <w:pStyle w:val="12"/>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合  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7.20</w:t>
            </w:r>
          </w:p>
        </w:tc>
        <w:tc>
          <w:tcPr>
            <w:tcW w:w="964" w:type="dxa"/>
            <w:vAlign w:val="center"/>
          </w:tcPr>
          <w:p>
            <w:pPr>
              <w:pStyle w:val="17"/>
            </w:pPr>
            <w:r>
              <w:t>7.20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6"/>
            </w:pPr>
            <w:r>
              <w:t>中共保定市徐水区委机构编制委员会办公室本级小计</w:t>
            </w:r>
          </w:p>
        </w:tc>
        <w:tc>
          <w:tcPr>
            <w:tcW w:w="964" w:type="dxa"/>
            <w:vAlign w:val="center"/>
          </w:tcPr>
          <w:p>
            <w:pPr>
              <w:pStyle w:val="17"/>
            </w:pPr>
          </w:p>
        </w:tc>
        <w:tc>
          <w:tcPr>
            <w:tcW w:w="1134" w:type="dxa"/>
            <w:vAlign w:val="center"/>
          </w:tcPr>
          <w:p>
            <w:pPr>
              <w:pStyle w:val="18"/>
            </w:pPr>
          </w:p>
        </w:tc>
        <w:tc>
          <w:tcPr>
            <w:tcW w:w="1134" w:type="dxa"/>
            <w:vAlign w:val="center"/>
          </w:tcPr>
          <w:p>
            <w:pPr>
              <w:pStyle w:val="18"/>
            </w:pPr>
          </w:p>
        </w:tc>
        <w:tc>
          <w:tcPr>
            <w:tcW w:w="709" w:type="dxa"/>
            <w:vAlign w:val="center"/>
          </w:tcPr>
          <w:p>
            <w:pPr>
              <w:pStyle w:val="16"/>
            </w:pPr>
          </w:p>
        </w:tc>
        <w:tc>
          <w:tcPr>
            <w:tcW w:w="850" w:type="dxa"/>
            <w:vAlign w:val="center"/>
          </w:tcPr>
          <w:p>
            <w:pPr>
              <w:pStyle w:val="17"/>
            </w:pPr>
          </w:p>
        </w:tc>
        <w:tc>
          <w:tcPr>
            <w:tcW w:w="850" w:type="dxa"/>
            <w:vAlign w:val="center"/>
          </w:tcPr>
          <w:p>
            <w:pPr>
              <w:pStyle w:val="17"/>
            </w:pPr>
          </w:p>
        </w:tc>
        <w:tc>
          <w:tcPr>
            <w:tcW w:w="964" w:type="dxa"/>
            <w:vAlign w:val="center"/>
          </w:tcPr>
          <w:p>
            <w:pPr>
              <w:pStyle w:val="17"/>
            </w:pPr>
            <w:r>
              <w:t>7.20</w:t>
            </w:r>
          </w:p>
        </w:tc>
        <w:tc>
          <w:tcPr>
            <w:tcW w:w="964" w:type="dxa"/>
            <w:vAlign w:val="center"/>
          </w:tcPr>
          <w:p>
            <w:pPr>
              <w:pStyle w:val="17"/>
            </w:pPr>
            <w:r>
              <w:t>7.20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7.20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7.26</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7.26</w:t>
            </w:r>
          </w:p>
        </w:tc>
        <w:tc>
          <w:tcPr>
            <w:tcW w:w="1134" w:type="dxa"/>
            <w:vAlign w:val="center"/>
          </w:tcPr>
          <w:p>
            <w:pPr>
              <w:pStyle w:val="14"/>
            </w:pPr>
            <w:r>
              <w:t>财产保险服务</w:t>
            </w:r>
          </w:p>
        </w:tc>
        <w:tc>
          <w:tcPr>
            <w:tcW w:w="1134" w:type="dxa"/>
            <w:vAlign w:val="center"/>
          </w:tcPr>
          <w:p>
            <w:pPr>
              <w:pStyle w:val="14"/>
            </w:pPr>
            <w:r>
              <w:t>C18040102</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0.40</w:t>
            </w:r>
          </w:p>
        </w:tc>
        <w:tc>
          <w:tcPr>
            <w:tcW w:w="964" w:type="dxa"/>
            <w:vAlign w:val="center"/>
          </w:tcPr>
          <w:p>
            <w:pPr>
              <w:pStyle w:val="13"/>
            </w:pPr>
            <w:r>
              <w:t>0.40</w:t>
            </w:r>
          </w:p>
        </w:tc>
        <w:tc>
          <w:tcPr>
            <w:tcW w:w="964" w:type="dxa"/>
            <w:vAlign w:val="center"/>
          </w:tcPr>
          <w:p>
            <w:pPr>
              <w:pStyle w:val="13"/>
            </w:pPr>
            <w:r>
              <w:t>0.40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7.26</w:t>
            </w:r>
          </w:p>
        </w:tc>
        <w:tc>
          <w:tcPr>
            <w:tcW w:w="1134" w:type="dxa"/>
            <w:vAlign w:val="center"/>
          </w:tcPr>
          <w:p>
            <w:pPr>
              <w:pStyle w:val="14"/>
            </w:pPr>
            <w:r>
              <w:t>计算机设备维修和保养服务</w:t>
            </w:r>
          </w:p>
        </w:tc>
        <w:tc>
          <w:tcPr>
            <w:tcW w:w="1134" w:type="dxa"/>
            <w:vAlign w:val="center"/>
          </w:tcPr>
          <w:p>
            <w:pPr>
              <w:pStyle w:val="14"/>
            </w:pPr>
            <w:r>
              <w:t>C23120100</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0.50</w:t>
            </w:r>
          </w:p>
        </w:tc>
        <w:tc>
          <w:tcPr>
            <w:tcW w:w="964" w:type="dxa"/>
            <w:vAlign w:val="center"/>
          </w:tcPr>
          <w:p>
            <w:pPr>
              <w:pStyle w:val="13"/>
            </w:pPr>
            <w:r>
              <w:t>0.50</w:t>
            </w:r>
          </w:p>
        </w:tc>
        <w:tc>
          <w:tcPr>
            <w:tcW w:w="964" w:type="dxa"/>
            <w:vAlign w:val="center"/>
          </w:tcPr>
          <w:p>
            <w:pPr>
              <w:pStyle w:val="13"/>
            </w:pPr>
            <w:r>
              <w:t>0.50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7.26</w:t>
            </w:r>
          </w:p>
        </w:tc>
        <w:tc>
          <w:tcPr>
            <w:tcW w:w="1134" w:type="dxa"/>
            <w:vAlign w:val="center"/>
          </w:tcPr>
          <w:p>
            <w:pPr>
              <w:pStyle w:val="14"/>
            </w:pPr>
            <w:r>
              <w:t>车辆维修和保养服务</w:t>
            </w:r>
          </w:p>
        </w:tc>
        <w:tc>
          <w:tcPr>
            <w:tcW w:w="1134" w:type="dxa"/>
            <w:vAlign w:val="center"/>
          </w:tcPr>
          <w:p>
            <w:pPr>
              <w:pStyle w:val="14"/>
            </w:pPr>
            <w:r>
              <w:t>C23120301</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1.50</w:t>
            </w:r>
          </w:p>
        </w:tc>
        <w:tc>
          <w:tcPr>
            <w:tcW w:w="964" w:type="dxa"/>
            <w:vAlign w:val="center"/>
          </w:tcPr>
          <w:p>
            <w:pPr>
              <w:pStyle w:val="13"/>
            </w:pPr>
            <w:r>
              <w:t>1.50</w:t>
            </w:r>
          </w:p>
        </w:tc>
        <w:tc>
          <w:tcPr>
            <w:tcW w:w="964" w:type="dxa"/>
            <w:vAlign w:val="center"/>
          </w:tcPr>
          <w:p>
            <w:pPr>
              <w:pStyle w:val="13"/>
            </w:pPr>
            <w:r>
              <w:t>1.50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公用经费一</w:t>
            </w:r>
          </w:p>
        </w:tc>
        <w:tc>
          <w:tcPr>
            <w:tcW w:w="964" w:type="dxa"/>
            <w:vAlign w:val="center"/>
          </w:tcPr>
          <w:p>
            <w:pPr>
              <w:pStyle w:val="13"/>
            </w:pPr>
            <w:r>
              <w:t>7.26</w:t>
            </w:r>
          </w:p>
        </w:tc>
        <w:tc>
          <w:tcPr>
            <w:tcW w:w="1134" w:type="dxa"/>
            <w:vAlign w:val="center"/>
          </w:tcPr>
          <w:p>
            <w:pPr>
              <w:pStyle w:val="14"/>
            </w:pPr>
            <w:r>
              <w:t>车辆加油、添加燃料服务</w:t>
            </w:r>
          </w:p>
        </w:tc>
        <w:tc>
          <w:tcPr>
            <w:tcW w:w="1134" w:type="dxa"/>
            <w:vAlign w:val="center"/>
          </w:tcPr>
          <w:p>
            <w:pPr>
              <w:pStyle w:val="14"/>
            </w:pPr>
            <w:r>
              <w:t>C23120302</w:t>
            </w:r>
          </w:p>
        </w:tc>
        <w:tc>
          <w:tcPr>
            <w:tcW w:w="709" w:type="dxa"/>
            <w:vAlign w:val="center"/>
          </w:tcPr>
          <w:p>
            <w:pPr>
              <w:pStyle w:val="15"/>
            </w:pPr>
            <w:r>
              <w:t>项</w:t>
            </w:r>
          </w:p>
        </w:tc>
        <w:tc>
          <w:tcPr>
            <w:tcW w:w="850" w:type="dxa"/>
            <w:vAlign w:val="center"/>
          </w:tcPr>
          <w:p>
            <w:pPr>
              <w:pStyle w:val="13"/>
            </w:pPr>
            <w:r>
              <w:t>1</w:t>
            </w:r>
          </w:p>
        </w:tc>
        <w:tc>
          <w:tcPr>
            <w:tcW w:w="850" w:type="dxa"/>
            <w:vAlign w:val="center"/>
          </w:tcPr>
          <w:p>
            <w:pPr>
              <w:pStyle w:val="13"/>
            </w:pPr>
            <w:r>
              <w:t>0.30</w:t>
            </w:r>
          </w:p>
        </w:tc>
        <w:tc>
          <w:tcPr>
            <w:tcW w:w="964" w:type="dxa"/>
            <w:vAlign w:val="center"/>
          </w:tcPr>
          <w:p>
            <w:pPr>
              <w:pStyle w:val="13"/>
            </w:pPr>
            <w:r>
              <w:t>0.30</w:t>
            </w:r>
          </w:p>
        </w:tc>
        <w:tc>
          <w:tcPr>
            <w:tcW w:w="964" w:type="dxa"/>
            <w:vAlign w:val="center"/>
          </w:tcPr>
          <w:p>
            <w:pPr>
              <w:pStyle w:val="13"/>
            </w:pPr>
            <w:r>
              <w:t>0.30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编办事务管理工作经费</w:t>
            </w:r>
          </w:p>
        </w:tc>
        <w:tc>
          <w:tcPr>
            <w:tcW w:w="964" w:type="dxa"/>
            <w:vAlign w:val="center"/>
          </w:tcPr>
          <w:p>
            <w:pPr>
              <w:pStyle w:val="13"/>
            </w:pPr>
            <w:r>
              <w:t>4.50</w:t>
            </w:r>
          </w:p>
        </w:tc>
        <w:tc>
          <w:tcPr>
            <w:tcW w:w="1134" w:type="dxa"/>
            <w:vAlign w:val="center"/>
          </w:tcPr>
          <w:p>
            <w:pPr>
              <w:pStyle w:val="14"/>
            </w:pPr>
            <w:r>
              <w:t>墨粉盒</w:t>
            </w:r>
          </w:p>
        </w:tc>
        <w:tc>
          <w:tcPr>
            <w:tcW w:w="1134" w:type="dxa"/>
            <w:vAlign w:val="center"/>
          </w:tcPr>
          <w:p>
            <w:pPr>
              <w:pStyle w:val="14"/>
            </w:pPr>
            <w:r>
              <w:t>A05040202</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2.00</w:t>
            </w:r>
          </w:p>
        </w:tc>
        <w:tc>
          <w:tcPr>
            <w:tcW w:w="964" w:type="dxa"/>
            <w:vAlign w:val="center"/>
          </w:tcPr>
          <w:p>
            <w:pPr>
              <w:pStyle w:val="13"/>
            </w:pPr>
            <w:r>
              <w:t>2.00</w:t>
            </w:r>
          </w:p>
        </w:tc>
        <w:tc>
          <w:tcPr>
            <w:tcW w:w="964" w:type="dxa"/>
            <w:vAlign w:val="center"/>
          </w:tcPr>
          <w:p>
            <w:pPr>
              <w:pStyle w:val="13"/>
            </w:pPr>
            <w:r>
              <w:t>2.00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电子政务中心经费</w:t>
            </w:r>
          </w:p>
        </w:tc>
        <w:tc>
          <w:tcPr>
            <w:tcW w:w="964" w:type="dxa"/>
            <w:vAlign w:val="center"/>
          </w:tcPr>
          <w:p>
            <w:pPr>
              <w:pStyle w:val="13"/>
            </w:pPr>
            <w:r>
              <w:t>4.00</w:t>
            </w:r>
          </w:p>
        </w:tc>
        <w:tc>
          <w:tcPr>
            <w:tcW w:w="1134" w:type="dxa"/>
            <w:vAlign w:val="center"/>
          </w:tcPr>
          <w:p>
            <w:pPr>
              <w:pStyle w:val="14"/>
            </w:pPr>
            <w:r>
              <w:t>复印纸</w:t>
            </w:r>
          </w:p>
        </w:tc>
        <w:tc>
          <w:tcPr>
            <w:tcW w:w="1134" w:type="dxa"/>
            <w:vAlign w:val="center"/>
          </w:tcPr>
          <w:p>
            <w:pPr>
              <w:pStyle w:val="14"/>
            </w:pPr>
            <w:r>
              <w:t>A05040101</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1.00</w:t>
            </w:r>
          </w:p>
        </w:tc>
        <w:tc>
          <w:tcPr>
            <w:tcW w:w="964" w:type="dxa"/>
            <w:vAlign w:val="center"/>
          </w:tcPr>
          <w:p>
            <w:pPr>
              <w:pStyle w:val="13"/>
            </w:pPr>
            <w:r>
              <w:t>1.00</w:t>
            </w:r>
          </w:p>
        </w:tc>
        <w:tc>
          <w:tcPr>
            <w:tcW w:w="964" w:type="dxa"/>
            <w:vAlign w:val="center"/>
          </w:tcPr>
          <w:p>
            <w:pPr>
              <w:pStyle w:val="13"/>
            </w:pPr>
            <w:r>
              <w:t>1.00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机构编制管理工作</w:t>
            </w:r>
          </w:p>
        </w:tc>
        <w:tc>
          <w:tcPr>
            <w:tcW w:w="964" w:type="dxa"/>
            <w:vAlign w:val="center"/>
          </w:tcPr>
          <w:p>
            <w:pPr>
              <w:pStyle w:val="13"/>
            </w:pPr>
            <w:r>
              <w:t>3.65</w:t>
            </w:r>
          </w:p>
        </w:tc>
        <w:tc>
          <w:tcPr>
            <w:tcW w:w="1134" w:type="dxa"/>
            <w:vAlign w:val="center"/>
          </w:tcPr>
          <w:p>
            <w:pPr>
              <w:pStyle w:val="14"/>
            </w:pPr>
            <w:r>
              <w:t>笔</w:t>
            </w:r>
          </w:p>
        </w:tc>
        <w:tc>
          <w:tcPr>
            <w:tcW w:w="1134" w:type="dxa"/>
            <w:vAlign w:val="center"/>
          </w:tcPr>
          <w:p>
            <w:pPr>
              <w:pStyle w:val="14"/>
            </w:pPr>
            <w:r>
              <w:t>A05040402</w:t>
            </w:r>
          </w:p>
        </w:tc>
        <w:tc>
          <w:tcPr>
            <w:tcW w:w="709" w:type="dxa"/>
            <w:vAlign w:val="center"/>
          </w:tcPr>
          <w:p>
            <w:pPr>
              <w:pStyle w:val="15"/>
            </w:pPr>
            <w:r>
              <w:t>批</w:t>
            </w:r>
          </w:p>
        </w:tc>
        <w:tc>
          <w:tcPr>
            <w:tcW w:w="850" w:type="dxa"/>
            <w:vAlign w:val="center"/>
          </w:tcPr>
          <w:p>
            <w:pPr>
              <w:pStyle w:val="13"/>
            </w:pPr>
            <w:r>
              <w:t>1</w:t>
            </w:r>
          </w:p>
        </w:tc>
        <w:tc>
          <w:tcPr>
            <w:tcW w:w="850" w:type="dxa"/>
            <w:vAlign w:val="center"/>
          </w:tcPr>
          <w:p>
            <w:pPr>
              <w:pStyle w:val="13"/>
            </w:pPr>
            <w:r>
              <w:t>0.50</w:t>
            </w:r>
          </w:p>
        </w:tc>
        <w:tc>
          <w:tcPr>
            <w:tcW w:w="964" w:type="dxa"/>
            <w:vAlign w:val="center"/>
          </w:tcPr>
          <w:p>
            <w:pPr>
              <w:pStyle w:val="13"/>
            </w:pPr>
            <w:r>
              <w:t>0.50</w:t>
            </w:r>
          </w:p>
        </w:tc>
        <w:tc>
          <w:tcPr>
            <w:tcW w:w="964" w:type="dxa"/>
            <w:vAlign w:val="center"/>
          </w:tcPr>
          <w:p>
            <w:pPr>
              <w:pStyle w:val="13"/>
            </w:pPr>
            <w:r>
              <w:t>0.50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0.50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中共保定市徐水区委机构编制委员会办公室本级上年末固定资产金额为50.60万元（详见下表）。本年度拟购置固定资产总额为2.00万元，已按要求列入政府采购预算，详见政府采购预算表。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225001中共保定市徐水区委机构编制委员会办公室本级</w:t>
            </w:r>
          </w:p>
        </w:tc>
        <w:tc>
          <w:tcPr>
            <w:tcW w:w="5670" w:type="dxa"/>
            <w:gridSpan w:val="2"/>
            <w:tcBorders>
              <w:top w:val="single" w:color="FFFFFF" w:sz="6" w:space="0"/>
              <w:left w:val="single" w:color="FFFFFF" w:sz="6" w:space="0"/>
              <w:right w:val="single" w:color="FFFFFF" w:sz="6" w:space="0"/>
            </w:tcBorders>
            <w:vAlign w:val="center"/>
          </w:tcPr>
          <w:p>
            <w:pPr>
              <w:pStyle w:val="9"/>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50.60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1</w:t>
            </w:r>
          </w:p>
        </w:tc>
        <w:tc>
          <w:tcPr>
            <w:tcW w:w="2835" w:type="dxa"/>
            <w:vAlign w:val="center"/>
          </w:tcPr>
          <w:p>
            <w:pPr>
              <w:pStyle w:val="13"/>
            </w:pPr>
            <w:r>
              <w:t>19.98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135</w:t>
            </w:r>
          </w:p>
        </w:tc>
        <w:tc>
          <w:tcPr>
            <w:tcW w:w="2835" w:type="dxa"/>
            <w:vAlign w:val="center"/>
          </w:tcPr>
          <w:p>
            <w:pPr>
              <w:pStyle w:val="13"/>
            </w:pPr>
            <w:r>
              <w:t>30.62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displayHorizontalDrawingGridEvery w:val="0"/>
  <w:displayVerticalDrawingGridEvery w:val="2"/>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rsids>
    <w:rsidRoot w:val="00172A27"/>
    <w:rsid w:val="0B460CB3"/>
    <w:rsid w:val="14A04CFF"/>
    <w:rsid w:val="23E75518"/>
    <w:rsid w:val="30481C56"/>
    <w:rsid w:val="58CC1088"/>
    <w:rsid w:val="6DE4333F"/>
    <w:rsid w:val="77891ECA"/>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Normal (Web)"/>
    <w:basedOn w:val="1"/>
    <w:semiHidden/>
    <w:unhideWhenUsed/>
    <w:uiPriority w:val="99"/>
    <w:rPr>
      <w:sz w:val="24"/>
    </w:r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semiHidden/>
    <w:unhideWhenUsed/>
    <w:uiPriority w:val="99"/>
    <w:rPr>
      <w:color w:val="0000FF"/>
      <w:u w:val="single"/>
    </w:rPr>
  </w:style>
  <w:style w:type="paragraph" w:customStyle="1" w:styleId="9">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10">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11">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2">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3">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6">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7">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8">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9">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2">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3">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10828</Words>
  <Characters>12830</Characters>
  <Lines>1</Lines>
  <Paragraphs>1</Paragraphs>
  <TotalTime>1</TotalTime>
  <ScaleCrop>false</ScaleCrop>
  <LinksUpToDate>false</LinksUpToDate>
  <CharactersWithSpaces>13111</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2026-03-04T09:39:00Z</dcterms:created>
  <dc:creator>Administrator</dc:creator>
  <cp:lastModifiedBy>user</cp:lastModifiedBy>
  <cp:lastPrinted>2026-03-09T08:48:57Z</cp:lastPrinted>
  <dcterms:modified xsi:type="dcterms:W3CDTF">2026-03-09T08:56:34Z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B798ED157790431F8AF7809B25712144</vt:lpwstr>
  </property>
</Properties>
</file>