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48</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48</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49</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216中共保定市徐水区委政法委员会</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776.16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662.92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84.92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776.16</w:t>
            </w:r>
          </w:p>
        </w:tc>
        <w:tc>
          <w:tcPr>
            <w:tcW w:w="4535" w:type="dxa"/>
            <w:vAlign w:val="center"/>
          </w:tcPr>
          <w:p>
            <w:pPr>
              <w:pStyle w:val="15"/>
            </w:pPr>
            <w:r>
              <w:t>本年支出合计</w:t>
            </w:r>
          </w:p>
        </w:tc>
        <w:tc>
          <w:tcPr>
            <w:tcW w:w="2126" w:type="dxa"/>
            <w:vAlign w:val="center"/>
          </w:tcPr>
          <w:p>
            <w:pPr>
              <w:pStyle w:val="16"/>
            </w:pPr>
            <w:r>
              <w:t>776.16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776.16</w:t>
            </w:r>
          </w:p>
        </w:tc>
        <w:tc>
          <w:tcPr>
            <w:tcW w:w="4535" w:type="dxa"/>
            <w:vAlign w:val="center"/>
          </w:tcPr>
          <w:p>
            <w:pPr>
              <w:pStyle w:val="15"/>
            </w:pPr>
            <w:r>
              <w:t>支出总计</w:t>
            </w:r>
          </w:p>
        </w:tc>
        <w:tc>
          <w:tcPr>
            <w:tcW w:w="2126" w:type="dxa"/>
            <w:vAlign w:val="center"/>
          </w:tcPr>
          <w:p>
            <w:pPr>
              <w:pStyle w:val="16"/>
            </w:pPr>
            <w:r>
              <w:t>776.16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216中共保定市徐水区委政法委员会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776.16</w:t>
            </w:r>
          </w:p>
        </w:tc>
        <w:tc>
          <w:tcPr>
            <w:tcW w:w="1134" w:type="dxa"/>
            <w:vAlign w:val="center"/>
          </w:tcPr>
          <w:p>
            <w:pPr>
              <w:pStyle w:val="16"/>
            </w:pPr>
            <w:r>
              <w:t>776.16</w:t>
            </w:r>
          </w:p>
        </w:tc>
        <w:tc>
          <w:tcPr>
            <w:tcW w:w="1134" w:type="dxa"/>
            <w:vAlign w:val="center"/>
          </w:tcPr>
          <w:p>
            <w:pPr>
              <w:pStyle w:val="16"/>
            </w:pPr>
            <w:r>
              <w:t>776.16</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662.92</w:t>
            </w:r>
          </w:p>
        </w:tc>
        <w:tc>
          <w:tcPr>
            <w:tcW w:w="1134" w:type="dxa"/>
            <w:vAlign w:val="center"/>
          </w:tcPr>
          <w:p>
            <w:pPr>
              <w:pStyle w:val="12"/>
            </w:pPr>
            <w:r>
              <w:t>662.92</w:t>
            </w:r>
          </w:p>
        </w:tc>
        <w:tc>
          <w:tcPr>
            <w:tcW w:w="1134" w:type="dxa"/>
            <w:vAlign w:val="center"/>
          </w:tcPr>
          <w:p>
            <w:pPr>
              <w:pStyle w:val="12"/>
            </w:pPr>
            <w:r>
              <w:t>662.92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20402</w:t>
            </w:r>
          </w:p>
        </w:tc>
        <w:tc>
          <w:tcPr>
            <w:tcW w:w="1559" w:type="dxa"/>
            <w:vAlign w:val="center"/>
          </w:tcPr>
          <w:p>
            <w:pPr>
              <w:pStyle w:val="13"/>
            </w:pPr>
            <w:r>
              <w:t>公安</w:t>
            </w:r>
          </w:p>
        </w:tc>
        <w:tc>
          <w:tcPr>
            <w:tcW w:w="1134" w:type="dxa"/>
            <w:vAlign w:val="center"/>
          </w:tcPr>
          <w:p>
            <w:pPr>
              <w:pStyle w:val="12"/>
            </w:pPr>
            <w:r>
              <w:t>662.92</w:t>
            </w:r>
          </w:p>
        </w:tc>
        <w:tc>
          <w:tcPr>
            <w:tcW w:w="1134" w:type="dxa"/>
            <w:vAlign w:val="center"/>
          </w:tcPr>
          <w:p>
            <w:pPr>
              <w:pStyle w:val="12"/>
            </w:pPr>
            <w:r>
              <w:t>662.92</w:t>
            </w:r>
          </w:p>
        </w:tc>
        <w:tc>
          <w:tcPr>
            <w:tcW w:w="1134" w:type="dxa"/>
            <w:vAlign w:val="center"/>
          </w:tcPr>
          <w:p>
            <w:pPr>
              <w:pStyle w:val="12"/>
            </w:pPr>
            <w:r>
              <w:t>662.92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2040201</w:t>
            </w:r>
          </w:p>
        </w:tc>
        <w:tc>
          <w:tcPr>
            <w:tcW w:w="1559" w:type="dxa"/>
            <w:vAlign w:val="center"/>
          </w:tcPr>
          <w:p>
            <w:pPr>
              <w:pStyle w:val="13"/>
            </w:pPr>
            <w:r>
              <w:t>行政运行</w:t>
            </w:r>
          </w:p>
        </w:tc>
        <w:tc>
          <w:tcPr>
            <w:tcW w:w="1134" w:type="dxa"/>
            <w:vAlign w:val="center"/>
          </w:tcPr>
          <w:p>
            <w:pPr>
              <w:pStyle w:val="12"/>
            </w:pPr>
            <w:r>
              <w:t>249.84</w:t>
            </w:r>
          </w:p>
        </w:tc>
        <w:tc>
          <w:tcPr>
            <w:tcW w:w="1134" w:type="dxa"/>
            <w:vAlign w:val="center"/>
          </w:tcPr>
          <w:p>
            <w:pPr>
              <w:pStyle w:val="12"/>
            </w:pPr>
            <w:r>
              <w:t>249.84</w:t>
            </w:r>
          </w:p>
        </w:tc>
        <w:tc>
          <w:tcPr>
            <w:tcW w:w="1134" w:type="dxa"/>
            <w:vAlign w:val="center"/>
          </w:tcPr>
          <w:p>
            <w:pPr>
              <w:pStyle w:val="12"/>
            </w:pPr>
            <w:r>
              <w:t>249.84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2040202</w:t>
            </w:r>
          </w:p>
        </w:tc>
        <w:tc>
          <w:tcPr>
            <w:tcW w:w="1559" w:type="dxa"/>
            <w:vAlign w:val="center"/>
          </w:tcPr>
          <w:p>
            <w:pPr>
              <w:pStyle w:val="13"/>
            </w:pPr>
            <w:r>
              <w:t>一般行政管理事务</w:t>
            </w:r>
          </w:p>
        </w:tc>
        <w:tc>
          <w:tcPr>
            <w:tcW w:w="1134" w:type="dxa"/>
            <w:vAlign w:val="center"/>
          </w:tcPr>
          <w:p>
            <w:pPr>
              <w:pStyle w:val="12"/>
            </w:pPr>
            <w:r>
              <w:t>413.08</w:t>
            </w:r>
          </w:p>
        </w:tc>
        <w:tc>
          <w:tcPr>
            <w:tcW w:w="1134" w:type="dxa"/>
            <w:vAlign w:val="center"/>
          </w:tcPr>
          <w:p>
            <w:pPr>
              <w:pStyle w:val="12"/>
            </w:pPr>
            <w:r>
              <w:t>413.08</w:t>
            </w:r>
          </w:p>
        </w:tc>
        <w:tc>
          <w:tcPr>
            <w:tcW w:w="1134" w:type="dxa"/>
            <w:vAlign w:val="center"/>
          </w:tcPr>
          <w:p>
            <w:pPr>
              <w:pStyle w:val="12"/>
            </w:pPr>
            <w:r>
              <w:t>413.08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84.92</w:t>
            </w:r>
          </w:p>
        </w:tc>
        <w:tc>
          <w:tcPr>
            <w:tcW w:w="1134" w:type="dxa"/>
            <w:vAlign w:val="center"/>
          </w:tcPr>
          <w:p>
            <w:pPr>
              <w:pStyle w:val="12"/>
            </w:pPr>
            <w:r>
              <w:t>84.92</w:t>
            </w:r>
          </w:p>
        </w:tc>
        <w:tc>
          <w:tcPr>
            <w:tcW w:w="1134" w:type="dxa"/>
            <w:vAlign w:val="center"/>
          </w:tcPr>
          <w:p>
            <w:pPr>
              <w:pStyle w:val="12"/>
            </w:pPr>
            <w:r>
              <w:t>84.92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84.56</w:t>
            </w:r>
          </w:p>
        </w:tc>
        <w:tc>
          <w:tcPr>
            <w:tcW w:w="1134" w:type="dxa"/>
            <w:vAlign w:val="center"/>
          </w:tcPr>
          <w:p>
            <w:pPr>
              <w:pStyle w:val="12"/>
            </w:pPr>
            <w:r>
              <w:t>84.56</w:t>
            </w:r>
          </w:p>
        </w:tc>
        <w:tc>
          <w:tcPr>
            <w:tcW w:w="1134" w:type="dxa"/>
            <w:vAlign w:val="center"/>
          </w:tcPr>
          <w:p>
            <w:pPr>
              <w:pStyle w:val="12"/>
            </w:pPr>
            <w:r>
              <w:t>84.56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59.88</w:t>
            </w:r>
          </w:p>
        </w:tc>
        <w:tc>
          <w:tcPr>
            <w:tcW w:w="1134" w:type="dxa"/>
            <w:vAlign w:val="center"/>
          </w:tcPr>
          <w:p>
            <w:pPr>
              <w:pStyle w:val="12"/>
            </w:pPr>
            <w:r>
              <w:t>59.88</w:t>
            </w:r>
          </w:p>
        </w:tc>
        <w:tc>
          <w:tcPr>
            <w:tcW w:w="1134" w:type="dxa"/>
            <w:vAlign w:val="center"/>
          </w:tcPr>
          <w:p>
            <w:pPr>
              <w:pStyle w:val="12"/>
            </w:pPr>
            <w:r>
              <w:t>59.88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24.69</w:t>
            </w:r>
          </w:p>
        </w:tc>
        <w:tc>
          <w:tcPr>
            <w:tcW w:w="1134" w:type="dxa"/>
            <w:vAlign w:val="center"/>
          </w:tcPr>
          <w:p>
            <w:pPr>
              <w:pStyle w:val="12"/>
            </w:pPr>
            <w:r>
              <w:t>24.69</w:t>
            </w:r>
          </w:p>
        </w:tc>
        <w:tc>
          <w:tcPr>
            <w:tcW w:w="1134" w:type="dxa"/>
            <w:vAlign w:val="center"/>
          </w:tcPr>
          <w:p>
            <w:pPr>
              <w:pStyle w:val="12"/>
            </w:pPr>
            <w:r>
              <w:t>24.69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0.36</w:t>
            </w:r>
          </w:p>
        </w:tc>
        <w:tc>
          <w:tcPr>
            <w:tcW w:w="1134" w:type="dxa"/>
            <w:vAlign w:val="center"/>
          </w:tcPr>
          <w:p>
            <w:pPr>
              <w:pStyle w:val="12"/>
            </w:pPr>
            <w:r>
              <w:t>0.36</w:t>
            </w:r>
          </w:p>
        </w:tc>
        <w:tc>
          <w:tcPr>
            <w:tcW w:w="1134" w:type="dxa"/>
            <w:vAlign w:val="center"/>
          </w:tcPr>
          <w:p>
            <w:pPr>
              <w:pStyle w:val="12"/>
            </w:pPr>
            <w:r>
              <w:t>0.36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0.36</w:t>
            </w:r>
          </w:p>
        </w:tc>
        <w:tc>
          <w:tcPr>
            <w:tcW w:w="1134" w:type="dxa"/>
            <w:vAlign w:val="center"/>
          </w:tcPr>
          <w:p>
            <w:pPr>
              <w:pStyle w:val="12"/>
            </w:pPr>
            <w:r>
              <w:t>0.36</w:t>
            </w:r>
          </w:p>
        </w:tc>
        <w:tc>
          <w:tcPr>
            <w:tcW w:w="1134" w:type="dxa"/>
            <w:vAlign w:val="center"/>
          </w:tcPr>
          <w:p>
            <w:pPr>
              <w:pStyle w:val="12"/>
            </w:pPr>
            <w:r>
              <w:t>0.36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8.32</w:t>
            </w:r>
          </w:p>
        </w:tc>
        <w:tc>
          <w:tcPr>
            <w:tcW w:w="1134" w:type="dxa"/>
            <w:vAlign w:val="center"/>
          </w:tcPr>
          <w:p>
            <w:pPr>
              <w:pStyle w:val="12"/>
            </w:pPr>
            <w:r>
              <w:t>8.32</w:t>
            </w:r>
          </w:p>
        </w:tc>
        <w:tc>
          <w:tcPr>
            <w:tcW w:w="1134" w:type="dxa"/>
            <w:vAlign w:val="center"/>
          </w:tcPr>
          <w:p>
            <w:pPr>
              <w:pStyle w:val="12"/>
            </w:pPr>
            <w:r>
              <w:t>8.32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8.32</w:t>
            </w:r>
          </w:p>
        </w:tc>
        <w:tc>
          <w:tcPr>
            <w:tcW w:w="1134" w:type="dxa"/>
            <w:vAlign w:val="center"/>
          </w:tcPr>
          <w:p>
            <w:pPr>
              <w:pStyle w:val="12"/>
            </w:pPr>
            <w:r>
              <w:t>8.32</w:t>
            </w:r>
          </w:p>
        </w:tc>
        <w:tc>
          <w:tcPr>
            <w:tcW w:w="1134" w:type="dxa"/>
            <w:vAlign w:val="center"/>
          </w:tcPr>
          <w:p>
            <w:pPr>
              <w:pStyle w:val="12"/>
            </w:pPr>
            <w:r>
              <w:t>8.32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8.32</w:t>
            </w:r>
          </w:p>
        </w:tc>
        <w:tc>
          <w:tcPr>
            <w:tcW w:w="1134" w:type="dxa"/>
            <w:vAlign w:val="center"/>
          </w:tcPr>
          <w:p>
            <w:pPr>
              <w:pStyle w:val="12"/>
            </w:pPr>
            <w:r>
              <w:t>8.32</w:t>
            </w:r>
          </w:p>
        </w:tc>
        <w:tc>
          <w:tcPr>
            <w:tcW w:w="1134" w:type="dxa"/>
            <w:vAlign w:val="center"/>
          </w:tcPr>
          <w:p>
            <w:pPr>
              <w:pStyle w:val="12"/>
            </w:pPr>
            <w:r>
              <w:t>8.32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216中共保定市徐水区委政法委员会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776.16</w:t>
            </w:r>
          </w:p>
        </w:tc>
        <w:tc>
          <w:tcPr>
            <w:tcW w:w="1361" w:type="dxa"/>
            <w:vAlign w:val="center"/>
          </w:tcPr>
          <w:p>
            <w:pPr>
              <w:pStyle w:val="16"/>
            </w:pPr>
            <w:r>
              <w:t>362.72</w:t>
            </w:r>
          </w:p>
        </w:tc>
        <w:tc>
          <w:tcPr>
            <w:tcW w:w="1361" w:type="dxa"/>
            <w:vAlign w:val="center"/>
          </w:tcPr>
          <w:p>
            <w:pPr>
              <w:pStyle w:val="16"/>
            </w:pPr>
            <w:r>
              <w:t>413.44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662.92</w:t>
            </w:r>
          </w:p>
        </w:tc>
        <w:tc>
          <w:tcPr>
            <w:tcW w:w="1361" w:type="dxa"/>
            <w:vAlign w:val="center"/>
          </w:tcPr>
          <w:p>
            <w:pPr>
              <w:pStyle w:val="12"/>
            </w:pPr>
            <w:r>
              <w:t>249.84</w:t>
            </w:r>
          </w:p>
        </w:tc>
        <w:tc>
          <w:tcPr>
            <w:tcW w:w="1361" w:type="dxa"/>
            <w:vAlign w:val="center"/>
          </w:tcPr>
          <w:p>
            <w:pPr>
              <w:pStyle w:val="12"/>
            </w:pPr>
            <w:r>
              <w:t>413.08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20402</w:t>
            </w:r>
          </w:p>
        </w:tc>
        <w:tc>
          <w:tcPr>
            <w:tcW w:w="4535" w:type="dxa"/>
            <w:vAlign w:val="center"/>
          </w:tcPr>
          <w:p>
            <w:pPr>
              <w:pStyle w:val="13"/>
            </w:pPr>
            <w:r>
              <w:t>公安</w:t>
            </w:r>
          </w:p>
        </w:tc>
        <w:tc>
          <w:tcPr>
            <w:tcW w:w="1361" w:type="dxa"/>
            <w:vAlign w:val="center"/>
          </w:tcPr>
          <w:p>
            <w:pPr>
              <w:pStyle w:val="12"/>
            </w:pPr>
            <w:r>
              <w:t>662.92</w:t>
            </w:r>
          </w:p>
        </w:tc>
        <w:tc>
          <w:tcPr>
            <w:tcW w:w="1361" w:type="dxa"/>
            <w:vAlign w:val="center"/>
          </w:tcPr>
          <w:p>
            <w:pPr>
              <w:pStyle w:val="12"/>
            </w:pPr>
            <w:r>
              <w:t>249.84</w:t>
            </w:r>
          </w:p>
        </w:tc>
        <w:tc>
          <w:tcPr>
            <w:tcW w:w="1361" w:type="dxa"/>
            <w:vAlign w:val="center"/>
          </w:tcPr>
          <w:p>
            <w:pPr>
              <w:pStyle w:val="12"/>
            </w:pPr>
            <w:r>
              <w:t>413.08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2040201</w:t>
            </w:r>
          </w:p>
        </w:tc>
        <w:tc>
          <w:tcPr>
            <w:tcW w:w="4535" w:type="dxa"/>
            <w:vAlign w:val="center"/>
          </w:tcPr>
          <w:p>
            <w:pPr>
              <w:pStyle w:val="13"/>
            </w:pPr>
            <w:r>
              <w:t>行政运行</w:t>
            </w:r>
          </w:p>
        </w:tc>
        <w:tc>
          <w:tcPr>
            <w:tcW w:w="1361" w:type="dxa"/>
            <w:vAlign w:val="center"/>
          </w:tcPr>
          <w:p>
            <w:pPr>
              <w:pStyle w:val="12"/>
            </w:pPr>
            <w:r>
              <w:t>249.84</w:t>
            </w:r>
          </w:p>
        </w:tc>
        <w:tc>
          <w:tcPr>
            <w:tcW w:w="1361" w:type="dxa"/>
            <w:vAlign w:val="center"/>
          </w:tcPr>
          <w:p>
            <w:pPr>
              <w:pStyle w:val="12"/>
            </w:pPr>
            <w:r>
              <w:t>249.84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2040202</w:t>
            </w:r>
          </w:p>
        </w:tc>
        <w:tc>
          <w:tcPr>
            <w:tcW w:w="4535" w:type="dxa"/>
            <w:vAlign w:val="center"/>
          </w:tcPr>
          <w:p>
            <w:pPr>
              <w:pStyle w:val="13"/>
            </w:pPr>
            <w:r>
              <w:t>一般行政管理事务</w:t>
            </w:r>
          </w:p>
        </w:tc>
        <w:tc>
          <w:tcPr>
            <w:tcW w:w="1361" w:type="dxa"/>
            <w:vAlign w:val="center"/>
          </w:tcPr>
          <w:p>
            <w:pPr>
              <w:pStyle w:val="12"/>
            </w:pPr>
            <w:r>
              <w:t>413.08</w:t>
            </w:r>
          </w:p>
        </w:tc>
        <w:tc>
          <w:tcPr>
            <w:tcW w:w="1361" w:type="dxa"/>
            <w:vAlign w:val="center"/>
          </w:tcPr>
          <w:p>
            <w:pPr>
              <w:pStyle w:val="12"/>
            </w:pPr>
          </w:p>
        </w:tc>
        <w:tc>
          <w:tcPr>
            <w:tcW w:w="1361" w:type="dxa"/>
            <w:vAlign w:val="center"/>
          </w:tcPr>
          <w:p>
            <w:pPr>
              <w:pStyle w:val="12"/>
            </w:pPr>
            <w:r>
              <w:t>413.08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84.92</w:t>
            </w:r>
          </w:p>
        </w:tc>
        <w:tc>
          <w:tcPr>
            <w:tcW w:w="1361" w:type="dxa"/>
            <w:vAlign w:val="center"/>
          </w:tcPr>
          <w:p>
            <w:pPr>
              <w:pStyle w:val="12"/>
            </w:pPr>
            <w:r>
              <w:t>84.56</w:t>
            </w:r>
          </w:p>
        </w:tc>
        <w:tc>
          <w:tcPr>
            <w:tcW w:w="1361" w:type="dxa"/>
            <w:vAlign w:val="center"/>
          </w:tcPr>
          <w:p>
            <w:pPr>
              <w:pStyle w:val="12"/>
            </w:pPr>
            <w:r>
              <w:t>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84.56</w:t>
            </w:r>
          </w:p>
        </w:tc>
        <w:tc>
          <w:tcPr>
            <w:tcW w:w="1361" w:type="dxa"/>
            <w:vAlign w:val="center"/>
          </w:tcPr>
          <w:p>
            <w:pPr>
              <w:pStyle w:val="12"/>
            </w:pPr>
            <w:r>
              <w:t>84.56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59.88</w:t>
            </w:r>
          </w:p>
        </w:tc>
        <w:tc>
          <w:tcPr>
            <w:tcW w:w="1361" w:type="dxa"/>
            <w:vAlign w:val="center"/>
          </w:tcPr>
          <w:p>
            <w:pPr>
              <w:pStyle w:val="12"/>
            </w:pPr>
            <w:r>
              <w:t>59.88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24.69</w:t>
            </w:r>
          </w:p>
        </w:tc>
        <w:tc>
          <w:tcPr>
            <w:tcW w:w="1361" w:type="dxa"/>
            <w:vAlign w:val="center"/>
          </w:tcPr>
          <w:p>
            <w:pPr>
              <w:pStyle w:val="12"/>
            </w:pPr>
            <w:r>
              <w:t>24.69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0.36</w:t>
            </w:r>
          </w:p>
        </w:tc>
        <w:tc>
          <w:tcPr>
            <w:tcW w:w="1361" w:type="dxa"/>
            <w:vAlign w:val="center"/>
          </w:tcPr>
          <w:p>
            <w:pPr>
              <w:pStyle w:val="12"/>
            </w:pPr>
          </w:p>
        </w:tc>
        <w:tc>
          <w:tcPr>
            <w:tcW w:w="1361" w:type="dxa"/>
            <w:vAlign w:val="center"/>
          </w:tcPr>
          <w:p>
            <w:pPr>
              <w:pStyle w:val="12"/>
            </w:pPr>
            <w:r>
              <w:t>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0.36</w:t>
            </w:r>
          </w:p>
        </w:tc>
        <w:tc>
          <w:tcPr>
            <w:tcW w:w="1361" w:type="dxa"/>
            <w:vAlign w:val="center"/>
          </w:tcPr>
          <w:p>
            <w:pPr>
              <w:pStyle w:val="12"/>
            </w:pPr>
          </w:p>
        </w:tc>
        <w:tc>
          <w:tcPr>
            <w:tcW w:w="1361" w:type="dxa"/>
            <w:vAlign w:val="center"/>
          </w:tcPr>
          <w:p>
            <w:pPr>
              <w:pStyle w:val="12"/>
            </w:pPr>
            <w:r>
              <w:t>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8.32</w:t>
            </w:r>
          </w:p>
        </w:tc>
        <w:tc>
          <w:tcPr>
            <w:tcW w:w="1361" w:type="dxa"/>
            <w:vAlign w:val="center"/>
          </w:tcPr>
          <w:p>
            <w:pPr>
              <w:pStyle w:val="12"/>
            </w:pPr>
            <w:r>
              <w:t>8.32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8.32</w:t>
            </w:r>
          </w:p>
        </w:tc>
        <w:tc>
          <w:tcPr>
            <w:tcW w:w="1361" w:type="dxa"/>
            <w:vAlign w:val="center"/>
          </w:tcPr>
          <w:p>
            <w:pPr>
              <w:pStyle w:val="12"/>
            </w:pPr>
            <w:r>
              <w:t>8.32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8.32</w:t>
            </w:r>
          </w:p>
        </w:tc>
        <w:tc>
          <w:tcPr>
            <w:tcW w:w="1361" w:type="dxa"/>
            <w:vAlign w:val="center"/>
          </w:tcPr>
          <w:p>
            <w:pPr>
              <w:pStyle w:val="12"/>
            </w:pPr>
            <w:r>
              <w:t>8.32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20.00</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20.00</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20.00</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216中共保定市徐水区委政法委员会</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776.16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662.92</w:t>
            </w:r>
          </w:p>
        </w:tc>
        <w:tc>
          <w:tcPr>
            <w:tcW w:w="1474" w:type="dxa"/>
            <w:vAlign w:val="center"/>
          </w:tcPr>
          <w:p>
            <w:pPr>
              <w:pStyle w:val="12"/>
            </w:pPr>
            <w:r>
              <w:t>662.92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84.92</w:t>
            </w:r>
          </w:p>
        </w:tc>
        <w:tc>
          <w:tcPr>
            <w:tcW w:w="1474" w:type="dxa"/>
            <w:vAlign w:val="center"/>
          </w:tcPr>
          <w:p>
            <w:pPr>
              <w:pStyle w:val="12"/>
            </w:pPr>
            <w:r>
              <w:t>84.92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8.32</w:t>
            </w:r>
          </w:p>
        </w:tc>
        <w:tc>
          <w:tcPr>
            <w:tcW w:w="1474" w:type="dxa"/>
            <w:vAlign w:val="center"/>
          </w:tcPr>
          <w:p>
            <w:pPr>
              <w:pStyle w:val="12"/>
            </w:pPr>
            <w:r>
              <w:t>8.32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20.00</w:t>
            </w:r>
          </w:p>
        </w:tc>
        <w:tc>
          <w:tcPr>
            <w:tcW w:w="1474" w:type="dxa"/>
            <w:vAlign w:val="center"/>
          </w:tcPr>
          <w:p>
            <w:pPr>
              <w:pStyle w:val="12"/>
            </w:pPr>
            <w:r>
              <w:t>20.00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776.16</w:t>
            </w:r>
          </w:p>
        </w:tc>
        <w:tc>
          <w:tcPr>
            <w:tcW w:w="3402" w:type="dxa"/>
            <w:vAlign w:val="center"/>
          </w:tcPr>
          <w:p>
            <w:pPr>
              <w:pStyle w:val="15"/>
            </w:pPr>
            <w:r>
              <w:t>本年支出合计</w:t>
            </w:r>
          </w:p>
        </w:tc>
        <w:tc>
          <w:tcPr>
            <w:tcW w:w="1474" w:type="dxa"/>
            <w:vAlign w:val="center"/>
          </w:tcPr>
          <w:p>
            <w:pPr>
              <w:pStyle w:val="16"/>
            </w:pPr>
            <w:r>
              <w:t>776.16</w:t>
            </w:r>
          </w:p>
        </w:tc>
        <w:tc>
          <w:tcPr>
            <w:tcW w:w="1474" w:type="dxa"/>
            <w:vAlign w:val="center"/>
          </w:tcPr>
          <w:p>
            <w:pPr>
              <w:pStyle w:val="16"/>
            </w:pPr>
            <w:r>
              <w:t>776.16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776.16</w:t>
            </w:r>
          </w:p>
        </w:tc>
        <w:tc>
          <w:tcPr>
            <w:tcW w:w="3402" w:type="dxa"/>
            <w:vAlign w:val="center"/>
          </w:tcPr>
          <w:p>
            <w:pPr>
              <w:pStyle w:val="15"/>
            </w:pPr>
            <w:r>
              <w:t>支出总计</w:t>
            </w:r>
          </w:p>
        </w:tc>
        <w:tc>
          <w:tcPr>
            <w:tcW w:w="1474" w:type="dxa"/>
            <w:vAlign w:val="center"/>
          </w:tcPr>
          <w:p>
            <w:pPr>
              <w:pStyle w:val="16"/>
            </w:pPr>
            <w:r>
              <w:t>776.16</w:t>
            </w:r>
          </w:p>
        </w:tc>
        <w:tc>
          <w:tcPr>
            <w:tcW w:w="1474" w:type="dxa"/>
            <w:vAlign w:val="center"/>
          </w:tcPr>
          <w:p>
            <w:pPr>
              <w:pStyle w:val="16"/>
            </w:pPr>
            <w:r>
              <w:t>776.16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216中共保定市徐水区委政法委员会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776.16</w:t>
            </w:r>
          </w:p>
        </w:tc>
        <w:tc>
          <w:tcPr>
            <w:tcW w:w="2551" w:type="dxa"/>
            <w:vAlign w:val="center"/>
          </w:tcPr>
          <w:p>
            <w:pPr>
              <w:pStyle w:val="16"/>
            </w:pPr>
            <w:r>
              <w:t>362.72</w:t>
            </w:r>
          </w:p>
        </w:tc>
        <w:tc>
          <w:tcPr>
            <w:tcW w:w="2551" w:type="dxa"/>
            <w:vAlign w:val="center"/>
          </w:tcPr>
          <w:p>
            <w:pPr>
              <w:pStyle w:val="16"/>
            </w:pPr>
            <w:r>
              <w:t>413.44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662.92</w:t>
            </w:r>
          </w:p>
        </w:tc>
        <w:tc>
          <w:tcPr>
            <w:tcW w:w="2551" w:type="dxa"/>
            <w:vAlign w:val="center"/>
          </w:tcPr>
          <w:p>
            <w:pPr>
              <w:pStyle w:val="12"/>
            </w:pPr>
            <w:r>
              <w:t>249.84</w:t>
            </w:r>
          </w:p>
        </w:tc>
        <w:tc>
          <w:tcPr>
            <w:tcW w:w="2551" w:type="dxa"/>
            <w:vAlign w:val="center"/>
          </w:tcPr>
          <w:p>
            <w:pPr>
              <w:pStyle w:val="12"/>
            </w:pPr>
            <w:r>
              <w:t>413.08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20402</w:t>
            </w:r>
          </w:p>
        </w:tc>
        <w:tc>
          <w:tcPr>
            <w:tcW w:w="4535" w:type="dxa"/>
            <w:vAlign w:val="center"/>
          </w:tcPr>
          <w:p>
            <w:pPr>
              <w:pStyle w:val="13"/>
            </w:pPr>
            <w:r>
              <w:t>公安</w:t>
            </w:r>
          </w:p>
        </w:tc>
        <w:tc>
          <w:tcPr>
            <w:tcW w:w="2551" w:type="dxa"/>
            <w:vAlign w:val="center"/>
          </w:tcPr>
          <w:p>
            <w:pPr>
              <w:pStyle w:val="12"/>
            </w:pPr>
            <w:r>
              <w:t>662.92</w:t>
            </w:r>
          </w:p>
        </w:tc>
        <w:tc>
          <w:tcPr>
            <w:tcW w:w="2551" w:type="dxa"/>
            <w:vAlign w:val="center"/>
          </w:tcPr>
          <w:p>
            <w:pPr>
              <w:pStyle w:val="12"/>
            </w:pPr>
            <w:r>
              <w:t>249.84</w:t>
            </w:r>
          </w:p>
        </w:tc>
        <w:tc>
          <w:tcPr>
            <w:tcW w:w="2551" w:type="dxa"/>
            <w:vAlign w:val="center"/>
          </w:tcPr>
          <w:p>
            <w:pPr>
              <w:pStyle w:val="12"/>
            </w:pPr>
            <w:r>
              <w:t>413.08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2040201</w:t>
            </w:r>
          </w:p>
        </w:tc>
        <w:tc>
          <w:tcPr>
            <w:tcW w:w="4535" w:type="dxa"/>
            <w:vAlign w:val="center"/>
          </w:tcPr>
          <w:p>
            <w:pPr>
              <w:pStyle w:val="13"/>
            </w:pPr>
            <w:r>
              <w:t>行政运行</w:t>
            </w:r>
          </w:p>
        </w:tc>
        <w:tc>
          <w:tcPr>
            <w:tcW w:w="2551" w:type="dxa"/>
            <w:vAlign w:val="center"/>
          </w:tcPr>
          <w:p>
            <w:pPr>
              <w:pStyle w:val="12"/>
            </w:pPr>
            <w:r>
              <w:t>249.84</w:t>
            </w:r>
          </w:p>
        </w:tc>
        <w:tc>
          <w:tcPr>
            <w:tcW w:w="2551" w:type="dxa"/>
            <w:vAlign w:val="center"/>
          </w:tcPr>
          <w:p>
            <w:pPr>
              <w:pStyle w:val="12"/>
            </w:pPr>
            <w:r>
              <w:t>249.84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2040202</w:t>
            </w:r>
          </w:p>
        </w:tc>
        <w:tc>
          <w:tcPr>
            <w:tcW w:w="4535" w:type="dxa"/>
            <w:vAlign w:val="center"/>
          </w:tcPr>
          <w:p>
            <w:pPr>
              <w:pStyle w:val="13"/>
            </w:pPr>
            <w:r>
              <w:t>一般行政管理事务</w:t>
            </w:r>
          </w:p>
        </w:tc>
        <w:tc>
          <w:tcPr>
            <w:tcW w:w="2551" w:type="dxa"/>
            <w:vAlign w:val="center"/>
          </w:tcPr>
          <w:p>
            <w:pPr>
              <w:pStyle w:val="12"/>
            </w:pPr>
            <w:r>
              <w:t>413.08</w:t>
            </w:r>
          </w:p>
        </w:tc>
        <w:tc>
          <w:tcPr>
            <w:tcW w:w="2551" w:type="dxa"/>
            <w:vAlign w:val="center"/>
          </w:tcPr>
          <w:p>
            <w:pPr>
              <w:pStyle w:val="12"/>
            </w:pPr>
          </w:p>
        </w:tc>
        <w:tc>
          <w:tcPr>
            <w:tcW w:w="2551" w:type="dxa"/>
            <w:vAlign w:val="center"/>
          </w:tcPr>
          <w:p>
            <w:pPr>
              <w:pStyle w:val="12"/>
            </w:pPr>
            <w:r>
              <w:t>413.08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84.92</w:t>
            </w:r>
          </w:p>
        </w:tc>
        <w:tc>
          <w:tcPr>
            <w:tcW w:w="2551" w:type="dxa"/>
            <w:vAlign w:val="center"/>
          </w:tcPr>
          <w:p>
            <w:pPr>
              <w:pStyle w:val="12"/>
            </w:pPr>
            <w:r>
              <w:t>84.56</w:t>
            </w:r>
          </w:p>
        </w:tc>
        <w:tc>
          <w:tcPr>
            <w:tcW w:w="2551"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84.56</w:t>
            </w:r>
          </w:p>
        </w:tc>
        <w:tc>
          <w:tcPr>
            <w:tcW w:w="2551" w:type="dxa"/>
            <w:vAlign w:val="center"/>
          </w:tcPr>
          <w:p>
            <w:pPr>
              <w:pStyle w:val="12"/>
            </w:pPr>
            <w:r>
              <w:t>84.56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59.88</w:t>
            </w:r>
          </w:p>
        </w:tc>
        <w:tc>
          <w:tcPr>
            <w:tcW w:w="2551" w:type="dxa"/>
            <w:vAlign w:val="center"/>
          </w:tcPr>
          <w:p>
            <w:pPr>
              <w:pStyle w:val="12"/>
            </w:pPr>
            <w:r>
              <w:t>59.88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24.69</w:t>
            </w:r>
          </w:p>
        </w:tc>
        <w:tc>
          <w:tcPr>
            <w:tcW w:w="2551" w:type="dxa"/>
            <w:vAlign w:val="center"/>
          </w:tcPr>
          <w:p>
            <w:pPr>
              <w:pStyle w:val="12"/>
            </w:pPr>
            <w:r>
              <w:t>24.69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8.32</w:t>
            </w:r>
          </w:p>
        </w:tc>
        <w:tc>
          <w:tcPr>
            <w:tcW w:w="2551" w:type="dxa"/>
            <w:vAlign w:val="center"/>
          </w:tcPr>
          <w:p>
            <w:pPr>
              <w:pStyle w:val="12"/>
            </w:pPr>
            <w:r>
              <w:t>8.32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8.32</w:t>
            </w:r>
          </w:p>
        </w:tc>
        <w:tc>
          <w:tcPr>
            <w:tcW w:w="2551" w:type="dxa"/>
            <w:vAlign w:val="center"/>
          </w:tcPr>
          <w:p>
            <w:pPr>
              <w:pStyle w:val="12"/>
            </w:pPr>
            <w:r>
              <w:t>8.32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8.32</w:t>
            </w:r>
          </w:p>
        </w:tc>
        <w:tc>
          <w:tcPr>
            <w:tcW w:w="2551" w:type="dxa"/>
            <w:vAlign w:val="center"/>
          </w:tcPr>
          <w:p>
            <w:pPr>
              <w:pStyle w:val="12"/>
            </w:pPr>
            <w:r>
              <w:t>8.32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20.00</w:t>
            </w:r>
          </w:p>
        </w:tc>
        <w:tc>
          <w:tcPr>
            <w:tcW w:w="2551" w:type="dxa"/>
            <w:vAlign w:val="center"/>
          </w:tcPr>
          <w:p>
            <w:pPr>
              <w:pStyle w:val="12"/>
            </w:pPr>
            <w:r>
              <w:t>20.00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20.00</w:t>
            </w:r>
          </w:p>
        </w:tc>
        <w:tc>
          <w:tcPr>
            <w:tcW w:w="2551" w:type="dxa"/>
            <w:vAlign w:val="center"/>
          </w:tcPr>
          <w:p>
            <w:pPr>
              <w:pStyle w:val="12"/>
            </w:pPr>
            <w:r>
              <w:t>20.00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20.00</w:t>
            </w:r>
          </w:p>
        </w:tc>
        <w:tc>
          <w:tcPr>
            <w:tcW w:w="2551" w:type="dxa"/>
            <w:vAlign w:val="center"/>
          </w:tcPr>
          <w:p>
            <w:pPr>
              <w:pStyle w:val="12"/>
            </w:pPr>
            <w:r>
              <w:t>20.00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216中共保定市徐水区委政法委员会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362.72</w:t>
            </w:r>
          </w:p>
        </w:tc>
        <w:tc>
          <w:tcPr>
            <w:tcW w:w="2551" w:type="dxa"/>
            <w:vAlign w:val="center"/>
          </w:tcPr>
          <w:p>
            <w:pPr>
              <w:pStyle w:val="16"/>
            </w:pPr>
            <w:r>
              <w:t>331.61</w:t>
            </w:r>
          </w:p>
        </w:tc>
        <w:tc>
          <w:tcPr>
            <w:tcW w:w="2551" w:type="dxa"/>
            <w:vAlign w:val="center"/>
          </w:tcPr>
          <w:p>
            <w:pPr>
              <w:pStyle w:val="16"/>
            </w:pPr>
            <w:r>
              <w:t>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271.82</w:t>
            </w:r>
          </w:p>
        </w:tc>
        <w:tc>
          <w:tcPr>
            <w:tcW w:w="2551" w:type="dxa"/>
            <w:vAlign w:val="center"/>
          </w:tcPr>
          <w:p>
            <w:pPr>
              <w:pStyle w:val="12"/>
            </w:pPr>
            <w:r>
              <w:t>271.82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97.81</w:t>
            </w:r>
          </w:p>
        </w:tc>
        <w:tc>
          <w:tcPr>
            <w:tcW w:w="2551" w:type="dxa"/>
            <w:vAlign w:val="center"/>
          </w:tcPr>
          <w:p>
            <w:pPr>
              <w:pStyle w:val="12"/>
            </w:pPr>
            <w:r>
              <w:t>97.81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74.27</w:t>
            </w:r>
          </w:p>
        </w:tc>
        <w:tc>
          <w:tcPr>
            <w:tcW w:w="2551" w:type="dxa"/>
            <w:vAlign w:val="center"/>
          </w:tcPr>
          <w:p>
            <w:pPr>
              <w:pStyle w:val="12"/>
            </w:pPr>
            <w:r>
              <w:t>74.27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46.09</w:t>
            </w:r>
          </w:p>
        </w:tc>
        <w:tc>
          <w:tcPr>
            <w:tcW w:w="2551" w:type="dxa"/>
            <w:vAlign w:val="center"/>
          </w:tcPr>
          <w:p>
            <w:pPr>
              <w:pStyle w:val="12"/>
            </w:pPr>
            <w:r>
              <w:t>46.09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24.69</w:t>
            </w:r>
          </w:p>
        </w:tc>
        <w:tc>
          <w:tcPr>
            <w:tcW w:w="2551" w:type="dxa"/>
            <w:vAlign w:val="center"/>
          </w:tcPr>
          <w:p>
            <w:pPr>
              <w:pStyle w:val="12"/>
            </w:pPr>
            <w:r>
              <w:t>24.69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8.32</w:t>
            </w:r>
          </w:p>
        </w:tc>
        <w:tc>
          <w:tcPr>
            <w:tcW w:w="2551" w:type="dxa"/>
            <w:vAlign w:val="center"/>
          </w:tcPr>
          <w:p>
            <w:pPr>
              <w:pStyle w:val="12"/>
            </w:pPr>
            <w:r>
              <w:t>8.32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0.64</w:t>
            </w:r>
          </w:p>
        </w:tc>
        <w:tc>
          <w:tcPr>
            <w:tcW w:w="2551" w:type="dxa"/>
            <w:vAlign w:val="center"/>
          </w:tcPr>
          <w:p>
            <w:pPr>
              <w:pStyle w:val="12"/>
            </w:pPr>
            <w:r>
              <w:t>0.64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20.00</w:t>
            </w:r>
          </w:p>
        </w:tc>
        <w:tc>
          <w:tcPr>
            <w:tcW w:w="2551" w:type="dxa"/>
            <w:vAlign w:val="center"/>
          </w:tcPr>
          <w:p>
            <w:pPr>
              <w:pStyle w:val="12"/>
            </w:pPr>
            <w:r>
              <w:t>20.00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31.11</w:t>
            </w:r>
          </w:p>
        </w:tc>
        <w:tc>
          <w:tcPr>
            <w:tcW w:w="2551" w:type="dxa"/>
            <w:vAlign w:val="center"/>
          </w:tcPr>
          <w:p>
            <w:pPr>
              <w:pStyle w:val="12"/>
            </w:pPr>
          </w:p>
        </w:tc>
        <w:tc>
          <w:tcPr>
            <w:tcW w:w="2551" w:type="dxa"/>
            <w:vAlign w:val="center"/>
          </w:tcPr>
          <w:p>
            <w:pPr>
              <w:pStyle w:val="12"/>
            </w:pPr>
            <w:r>
              <w:t>31.11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2.97</w:t>
            </w:r>
          </w:p>
        </w:tc>
        <w:tc>
          <w:tcPr>
            <w:tcW w:w="2551" w:type="dxa"/>
            <w:vAlign w:val="center"/>
          </w:tcPr>
          <w:p>
            <w:pPr>
              <w:pStyle w:val="12"/>
            </w:pPr>
          </w:p>
        </w:tc>
        <w:tc>
          <w:tcPr>
            <w:tcW w:w="2551" w:type="dxa"/>
            <w:vAlign w:val="center"/>
          </w:tcPr>
          <w:p>
            <w:pPr>
              <w:pStyle w:val="12"/>
            </w:pPr>
            <w:r>
              <w:t>2.97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5.76</w:t>
            </w:r>
          </w:p>
        </w:tc>
        <w:tc>
          <w:tcPr>
            <w:tcW w:w="2551" w:type="dxa"/>
            <w:vAlign w:val="center"/>
          </w:tcPr>
          <w:p>
            <w:pPr>
              <w:pStyle w:val="12"/>
            </w:pPr>
          </w:p>
        </w:tc>
        <w:tc>
          <w:tcPr>
            <w:tcW w:w="2551" w:type="dxa"/>
            <w:vAlign w:val="center"/>
          </w:tcPr>
          <w:p>
            <w:pPr>
              <w:pStyle w:val="12"/>
            </w:pPr>
            <w:r>
              <w:t>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0.34</w:t>
            </w:r>
          </w:p>
        </w:tc>
        <w:tc>
          <w:tcPr>
            <w:tcW w:w="2551" w:type="dxa"/>
            <w:vAlign w:val="center"/>
          </w:tcPr>
          <w:p>
            <w:pPr>
              <w:pStyle w:val="12"/>
            </w:pPr>
          </w:p>
        </w:tc>
        <w:tc>
          <w:tcPr>
            <w:tcW w:w="2551" w:type="dxa"/>
            <w:vAlign w:val="center"/>
          </w:tcPr>
          <w:p>
            <w:pPr>
              <w:pStyle w:val="12"/>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0.47</w:t>
            </w:r>
          </w:p>
        </w:tc>
        <w:tc>
          <w:tcPr>
            <w:tcW w:w="2551" w:type="dxa"/>
            <w:vAlign w:val="center"/>
          </w:tcPr>
          <w:p>
            <w:pPr>
              <w:pStyle w:val="12"/>
            </w:pPr>
          </w:p>
        </w:tc>
        <w:tc>
          <w:tcPr>
            <w:tcW w:w="2551" w:type="dxa"/>
            <w:vAlign w:val="center"/>
          </w:tcPr>
          <w:p>
            <w:pPr>
              <w:pStyle w:val="12"/>
            </w:pPr>
            <w:r>
              <w:t>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2.54</w:t>
            </w:r>
          </w:p>
        </w:tc>
        <w:tc>
          <w:tcPr>
            <w:tcW w:w="2551" w:type="dxa"/>
            <w:vAlign w:val="center"/>
          </w:tcPr>
          <w:p>
            <w:pPr>
              <w:pStyle w:val="12"/>
            </w:pPr>
          </w:p>
        </w:tc>
        <w:tc>
          <w:tcPr>
            <w:tcW w:w="2551" w:type="dxa"/>
            <w:vAlign w:val="center"/>
          </w:tcPr>
          <w:p>
            <w:pPr>
              <w:pStyle w:val="12"/>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2.35</w:t>
            </w:r>
          </w:p>
        </w:tc>
        <w:tc>
          <w:tcPr>
            <w:tcW w:w="2551" w:type="dxa"/>
            <w:vAlign w:val="center"/>
          </w:tcPr>
          <w:p>
            <w:pPr>
              <w:pStyle w:val="12"/>
            </w:pPr>
          </w:p>
        </w:tc>
        <w:tc>
          <w:tcPr>
            <w:tcW w:w="2551" w:type="dxa"/>
            <w:vAlign w:val="center"/>
          </w:tcPr>
          <w:p>
            <w:pPr>
              <w:pStyle w:val="12"/>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10.08</w:t>
            </w:r>
          </w:p>
        </w:tc>
        <w:tc>
          <w:tcPr>
            <w:tcW w:w="2551" w:type="dxa"/>
            <w:vAlign w:val="center"/>
          </w:tcPr>
          <w:p>
            <w:pPr>
              <w:pStyle w:val="12"/>
            </w:pPr>
          </w:p>
        </w:tc>
        <w:tc>
          <w:tcPr>
            <w:tcW w:w="2551" w:type="dxa"/>
            <w:vAlign w:val="center"/>
          </w:tcPr>
          <w:p>
            <w:pPr>
              <w:pStyle w:val="12"/>
            </w:pPr>
            <w:r>
              <w:t>10.08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6.60</w:t>
            </w:r>
          </w:p>
        </w:tc>
        <w:tc>
          <w:tcPr>
            <w:tcW w:w="2551" w:type="dxa"/>
            <w:vAlign w:val="center"/>
          </w:tcPr>
          <w:p>
            <w:pPr>
              <w:pStyle w:val="12"/>
            </w:pPr>
          </w:p>
        </w:tc>
        <w:tc>
          <w:tcPr>
            <w:tcW w:w="2551" w:type="dxa"/>
            <w:vAlign w:val="center"/>
          </w:tcPr>
          <w:p>
            <w:pPr>
              <w:pStyle w:val="12"/>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59.80</w:t>
            </w:r>
          </w:p>
        </w:tc>
        <w:tc>
          <w:tcPr>
            <w:tcW w:w="2551" w:type="dxa"/>
            <w:vAlign w:val="center"/>
          </w:tcPr>
          <w:p>
            <w:pPr>
              <w:pStyle w:val="12"/>
            </w:pPr>
            <w:r>
              <w:t>59.80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58.35</w:t>
            </w:r>
          </w:p>
        </w:tc>
        <w:tc>
          <w:tcPr>
            <w:tcW w:w="2551" w:type="dxa"/>
            <w:vAlign w:val="center"/>
          </w:tcPr>
          <w:p>
            <w:pPr>
              <w:pStyle w:val="12"/>
            </w:pPr>
            <w:r>
              <w:t>58.35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1.45</w:t>
            </w:r>
          </w:p>
        </w:tc>
        <w:tc>
          <w:tcPr>
            <w:tcW w:w="2551" w:type="dxa"/>
            <w:vAlign w:val="center"/>
          </w:tcPr>
          <w:p>
            <w:pPr>
              <w:pStyle w:val="12"/>
            </w:pPr>
            <w:r>
              <w:t>1.45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216中共保定市徐水区委政法委员会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216中共保定市徐水区委政法委员会</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216中共保定市徐水区委政法委员会</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2.82</w:t>
            </w:r>
          </w:p>
        </w:tc>
        <w:tc>
          <w:tcPr>
            <w:tcW w:w="2381" w:type="dxa"/>
            <w:vAlign w:val="center"/>
          </w:tcPr>
          <w:p>
            <w:pPr>
              <w:pStyle w:val="16"/>
            </w:pPr>
            <w:r>
              <w:t>2.82</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2.82</w:t>
            </w:r>
          </w:p>
        </w:tc>
        <w:tc>
          <w:tcPr>
            <w:tcW w:w="2381" w:type="dxa"/>
            <w:vAlign w:val="center"/>
          </w:tcPr>
          <w:p>
            <w:pPr>
              <w:pStyle w:val="12"/>
            </w:pPr>
            <w:r>
              <w:t>2.82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2.35</w:t>
            </w:r>
          </w:p>
        </w:tc>
        <w:tc>
          <w:tcPr>
            <w:tcW w:w="2381" w:type="dxa"/>
            <w:vAlign w:val="center"/>
          </w:tcPr>
          <w:p>
            <w:pPr>
              <w:pStyle w:val="12"/>
            </w:pPr>
            <w:r>
              <w:t>2.35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0.47</w:t>
            </w:r>
          </w:p>
        </w:tc>
        <w:tc>
          <w:tcPr>
            <w:tcW w:w="2381" w:type="dxa"/>
            <w:vAlign w:val="center"/>
          </w:tcPr>
          <w:p>
            <w:pPr>
              <w:pStyle w:val="12"/>
            </w:pPr>
            <w:r>
              <w:t>0.47</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中共保定市徐水区委政法委员会2026年部门预算信息公开情况说明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中共保定市徐水区委政法委员会2026年部门预算信息公开情况说明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按照《中华人民共和国预算法》、《地方预决算公开操作规程》和《关于进一步推进预算公开工作的实施意见》规定，现将中共保定市徐水区委政法委员会2026年部门预算公开如下：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主要职责是：</w:t>
      </w:r>
    </w:p>
    <w:p>
      <w:pPr>
        <w:pStyle w:val="18"/>
      </w:pPr>
      <w:r>
        <w:t>（一）深入贯彻习近平新时代中国特色社会主义思想，坚持党对政法工作的绝对领导，坚决执行党的路线方针政策和党中央重大决策部署，推动完善和落实政治轮训和政治督察制度。</w:t>
      </w:r>
    </w:p>
    <w:p>
      <w:pPr>
        <w:pStyle w:val="18"/>
      </w:pPr>
      <w:r>
        <w:t>（二）贯彻党中央以及上级党组织决定，研究协调政法单位之间、政法单位和有关部门之间有关重大事项，统一政法单位思想和行动。</w:t>
      </w:r>
    </w:p>
    <w:p>
      <w:pPr>
        <w:pStyle w:val="18"/>
      </w:pPr>
      <w:r>
        <w:t>（三）加强对政法领域重大实践和理论问题调查研究，提出重大决策部署和改革措施的意见和建议，协助区委决策和统筹推进政法改革等各项工作。</w:t>
      </w:r>
    </w:p>
    <w:p>
      <w:pPr>
        <w:pStyle w:val="18"/>
      </w:pPr>
      <w:r>
        <w:t>（四）了解掌握和分析研判社会稳定形势、政法工作情况动态，创新完善多部门参与的平安建设工作协调机制，协调推动预防、化解影响稳定的社会矛盾和风险，协调应对和妥善处置重大突发事件，协调指导政法单位和相关部门做好反邪教工作。</w:t>
      </w:r>
    </w:p>
    <w:p>
      <w:pPr>
        <w:pStyle w:val="18"/>
      </w:pPr>
      <w:r>
        <w:t>（五）加强对政法工作的督查，统筹协调社会治安综合治理、维护社会稳定等有关国家法律法规和政策的实施工作。</w:t>
      </w:r>
    </w:p>
    <w:p>
      <w:pPr>
        <w:pStyle w:val="18"/>
      </w:pPr>
      <w:r>
        <w:t>（六）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pPr>
        <w:pStyle w:val="18"/>
      </w:pPr>
      <w:r>
        <w:t>（七）指导和推动政法单位党的建设和政法队伍建设，协助区委及其组织部门加强政法单位领导班子和干部队伍建设，协助区委和纪检监察机关做好监督检查、审查调查工作，派员列席同级政法单位党组（党委）民主生活会。</w:t>
      </w:r>
    </w:p>
    <w:p>
      <w:pPr>
        <w:pStyle w:val="18"/>
      </w:pPr>
      <w:r>
        <w:t>（八）落实中央和地方各级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pPr>
        <w:pStyle w:val="18"/>
      </w:pPr>
      <w:r>
        <w:t>（九）掌握分析政法舆情动态，指导和协调政法单位和有关部门做好依法办理、宣传报道和舆论引导等相关工作。</w:t>
      </w:r>
    </w:p>
    <w:p>
      <w:pPr>
        <w:pStyle w:val="18"/>
      </w:pPr>
      <w:r>
        <w:t>（十）组织研究政法改革中带有方向性、倾向性和普遍性的重大问题，深化政法改革，联系区委全面依法治区委员会办公室。</w:t>
      </w:r>
    </w:p>
    <w:p>
      <w:pPr>
        <w:pStyle w:val="18"/>
      </w:pPr>
      <w:r>
        <w:t>（十一）统筹推动全区政法系统信息化工作，指导政法智能化建设。</w:t>
      </w:r>
    </w:p>
    <w:p>
      <w:pPr>
        <w:pStyle w:val="18"/>
      </w:pPr>
      <w:r>
        <w:t xml:space="preserve">（十二）完成区委和上级党委政法委员会交办的其他任务。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中共保定市徐水区委政法委员会本级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按照预算管理有关规定，目前部门预算的编制实行综合预算管理，即全部收入和支出都反映在预算中。中共保定市徐水区委政法委员会机关及所属事业单位的收支包含在部门预算中。</w:t>
      </w:r>
    </w:p>
    <w:p>
      <w:pPr>
        <w:pStyle w:val="19"/>
      </w:pPr>
      <w:r>
        <w:t>1、收入说明</w:t>
      </w:r>
    </w:p>
    <w:p>
      <w:pPr>
        <w:pStyle w:val="19"/>
      </w:pPr>
      <w:r>
        <w:t>反映本部门当年全部收入。2026年预算收入776.16万元，其中：一般公共预算收入776.16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保定市徐水区委政法委员会年度部门预算中支出预算的总体情况。2026年支出预算776.16万元，其中基本支出362.72万元，包括人员经费331.61万元和日常公用经费31.11万元；项目支出413.44万元，主要为（1）政法稳定工作经费（扫黑除恶）20万元；（2）政法稳定工作经费280万元；（3）机关事务保障经费57.08万元；（4）铁路护路联防工作经费（劳务派遣）29.7万元；（5）政法网络租赁经费20万元；（6）防范工作经费6.3万元；（7）退役军人专岗人员提高待遇资金。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2026年预算收支安排776.16万元，较2025年预算增加48.91万元，其中：基本支出增加48.55万元，主要</w:t>
      </w:r>
      <w:r>
        <w:rPr>
          <w:rFonts w:hint="eastAsia"/>
          <w:lang w:val="en-US" w:eastAsia="zh-CN"/>
        </w:rPr>
        <w:t>为</w:t>
      </w:r>
      <w:r>
        <w:rPr>
          <w:rFonts w:hint="eastAsia"/>
          <w:highlight w:val="none"/>
          <w:lang w:val="en-US" w:eastAsia="zh-CN"/>
        </w:rPr>
        <w:t>人员经费增加</w:t>
      </w:r>
      <w:r>
        <w:rPr>
          <w:rFonts w:hint="default"/>
          <w:highlight w:val="none"/>
          <w:lang w:val="en-US" w:eastAsia="zh-CN"/>
        </w:rPr>
        <w:t>44.53</w:t>
      </w:r>
      <w:r>
        <w:rPr>
          <w:rFonts w:hint="eastAsia"/>
          <w:highlight w:val="none"/>
          <w:lang w:val="en-US" w:eastAsia="zh-CN"/>
        </w:rPr>
        <w:t>万元，原因是</w:t>
      </w:r>
      <w:r>
        <w:rPr>
          <w:rFonts w:hint="default"/>
          <w:highlight w:val="none"/>
          <w:lang w:val="en-US"/>
        </w:rPr>
        <w:t>2025</w:t>
      </w:r>
      <w:r>
        <w:rPr>
          <w:rFonts w:hint="eastAsia"/>
          <w:highlight w:val="none"/>
          <w:lang w:val="en-US" w:eastAsia="zh-CN"/>
        </w:rPr>
        <w:t>年</w:t>
      </w:r>
      <w:r>
        <w:rPr>
          <w:highlight w:val="none"/>
        </w:rPr>
        <w:t>工资普调</w:t>
      </w:r>
      <w:r>
        <w:rPr>
          <w:rFonts w:hint="eastAsia"/>
          <w:highlight w:val="none"/>
          <w:lang w:val="en-US" w:eastAsia="zh-CN"/>
        </w:rPr>
        <w:t>及</w:t>
      </w:r>
      <w:bookmarkStart w:id="20" w:name="_GoBack"/>
      <w:bookmarkEnd w:id="20"/>
      <w:r>
        <w:rPr>
          <w:rFonts w:hint="eastAsia"/>
          <w:highlight w:val="none"/>
          <w:lang w:val="en-US" w:eastAsia="zh-CN"/>
        </w:rPr>
        <w:t>人员调入</w:t>
      </w:r>
      <w:r>
        <w:rPr>
          <w:highlight w:val="none"/>
        </w:rPr>
        <w:t>，导致</w:t>
      </w:r>
      <w:r>
        <w:rPr>
          <w:rFonts w:hint="eastAsia"/>
          <w:highlight w:val="none"/>
          <w:lang w:val="en-US" w:eastAsia="zh-CN"/>
        </w:rPr>
        <w:t>人员经费增</w:t>
      </w:r>
      <w:r>
        <w:rPr>
          <w:rFonts w:hint="eastAsia"/>
          <w:lang w:val="en-US" w:eastAsia="zh-CN"/>
        </w:rPr>
        <w:t>加；公用经费增加</w:t>
      </w:r>
      <w:r>
        <w:rPr>
          <w:rFonts w:hint="default"/>
          <w:lang w:val="en-US" w:eastAsia="zh-CN"/>
        </w:rPr>
        <w:t>4.02</w:t>
      </w:r>
      <w:r>
        <w:rPr>
          <w:rFonts w:hint="eastAsia"/>
          <w:lang w:val="en-US" w:eastAsia="zh-CN"/>
        </w:rPr>
        <w:t>万元，原因是有人员调入导致公用经费增加；</w:t>
      </w:r>
      <w:r>
        <w:t>项目支出增加0.36万元，主要</w:t>
      </w:r>
      <w:r>
        <w:rPr>
          <w:rFonts w:hint="eastAsia"/>
          <w:lang w:val="en-US" w:eastAsia="zh-CN"/>
        </w:rPr>
        <w:t>原因</w:t>
      </w:r>
      <w:r>
        <w:t>为增加了退役军人专岗人员提高待遇资金项目一个。预计下年使用的单位资金结余增加0.00万元。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2026年，我部门机关运行经费共计安排31.11万元，主要用于日常维修、办公用房水电费、办公用房取暖费、办公用房物业管理费等日常运行支出。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2.82万元，其中因公出国（境）费0.00万元；公务用车购置及运维费2.35万元（其中：公务用车购置费为0.00万元，公务用车运维费2.35万元)；公务接待费0.47万元。与2025年相比减少0.09万元，增减变化的主要原因是厉行节约，压减“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区委政法委将进一步围绕全区中心工作和市委政法委工作部署，贯彻落实党的路线、方针、政策，继续深入贯彻中央、省、市政法工作会议和区委全会精神，以全区政法工作位居全市先进行列为目标；以平安建设为统揽；以统筹协调社会治安综合治理，维护社会稳定为重点；坚持服务大局稳定，服务经济发展；服务人民群众，努力建设和谐稳定的社会环境。为实现单位总体目标确定部门预算项目和预算额度，清晰描述预算项目开支范围和内容，确定预算项目的绩效目标、绩效指标和评价标准，为预算绩效控制、绩效分析、绩效评价打下好的基础。</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（一）做好对邪教人员的教育转化</w:t>
      </w:r>
    </w:p>
    <w:p>
      <w:pPr>
        <w:pStyle w:val="23"/>
      </w:pPr>
      <w:r>
        <w:t>绩效目标：做好反邪教工作的防范控制、宣传教育、深挖打击等工作，维护社会安定、政治稳定；做好对邪教人员的教育转化工作。</w:t>
      </w:r>
    </w:p>
    <w:p>
      <w:pPr>
        <w:pStyle w:val="23"/>
      </w:pPr>
      <w:r>
        <w:t>绩效指标：全年制作发放反邪教宣传册或宣传单不少于20000张；对发现的邪教组织人员进行教育转化人数达到100%；人民群众对于反邪教宣传及人员转化教育工作满意度达到95%及以上。</w:t>
      </w:r>
    </w:p>
    <w:p>
      <w:pPr>
        <w:pStyle w:val="23"/>
      </w:pPr>
      <w:r>
        <w:t>（二）维护办公场所正常运转</w:t>
      </w:r>
    </w:p>
    <w:p>
      <w:pPr>
        <w:pStyle w:val="23"/>
      </w:pPr>
      <w:r>
        <w:t>绩效目标：采用由各单位分别管理维护的方式来处理机关事务、维护机关后勤的正常运转，确保保安、保洁等劳务费按时发放。</w:t>
      </w:r>
    </w:p>
    <w:p>
      <w:pPr>
        <w:pStyle w:val="23"/>
      </w:pPr>
      <w:r>
        <w:t>绩效指标：建立保安保洁工作长效机制，聘用8名有责任心、严格遵守工作纪律的人员，通过保安保洁工作，确保办公区域安全与环境卫生。劳务费100%按时足额发放；机关水、电、燃气费用按季度及时缴纳保，证办公区域内安全有序运转，保洁能够保障办公环境卫生。</w:t>
      </w:r>
    </w:p>
    <w:p>
      <w:pPr>
        <w:pStyle w:val="23"/>
      </w:pPr>
      <w:r>
        <w:t>（三）防控各类社会风险，确保社会安全稳定</w:t>
      </w:r>
    </w:p>
    <w:p>
      <w:pPr>
        <w:pStyle w:val="23"/>
      </w:pPr>
      <w:r>
        <w:t>绩效目标：通过指导、协调和督导各级各部门，预防减少不稳定因素的发生，有效化解不稳定隐患、群体性事件和突发事件，全力做好区内各种重大活动安保工作，确保实会稳定。</w:t>
      </w:r>
    </w:p>
    <w:p>
      <w:pPr>
        <w:pStyle w:val="23"/>
      </w:pPr>
      <w:r>
        <w:t>绩效指标：重点乡镇及区直部门人员管控到位，涉及15个乡镇及10个区直部门矛盾纠纷、舆情处置等问题；重大安保任务完成率占总任务数的95%及以上；涉稳舆情处置数达到95%及以上；重大活动突发事件发生后能够完全控制；群众对社会稳定及处理上访案事件满意度达到95%及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为充分履行我单位部门职责，达到上述绩效目标要求，并保证年度发展规划目标的顺利实现，采取下列几项措施：</w:t>
      </w:r>
    </w:p>
    <w:p>
      <w:pPr>
        <w:pStyle w:val="24"/>
      </w:pPr>
      <w:r>
        <w:t>1、完善制度建设：通过不断完善支付制度，保证预算绩效目标顺利完成。</w:t>
      </w:r>
    </w:p>
    <w:p>
      <w:pPr>
        <w:pStyle w:val="24"/>
      </w:pPr>
      <w:r>
        <w:t>2、加强支出管理：通过优化支出结构、编细编实预算、加快履行政府采购手续、尽快启动项目、尽快支付资金等多项措施保证达到支出进度。</w:t>
      </w:r>
    </w:p>
    <w:p>
      <w:pPr>
        <w:pStyle w:val="24"/>
      </w:pPr>
      <w:r>
        <w:t>3、加强绩效运行监控:按要求开展绩效运行监控，发现问题及时采取措施，确保绩效目标保质如期实现。</w:t>
      </w:r>
    </w:p>
    <w:p>
      <w:pPr>
        <w:pStyle w:val="24"/>
      </w:pPr>
      <w:r>
        <w:t>4、做好绩效自评：按要求开展上一年度预算绩效自评和重点评价工作，对评价中发现的问题及时整改，调整优化支出结构，提高财政资金使用效益。</w:t>
      </w:r>
    </w:p>
    <w:p>
      <w:pPr>
        <w:pStyle w:val="24"/>
      </w:pPr>
      <w:r>
        <w:t>5、规范财务资产管理：完善财务管理制度，严格审批程序，加强固定资产登记、使用管理和报废处理管理，做到支出合理，物尽其用。</w:t>
      </w:r>
    </w:p>
    <w:p>
      <w:pPr>
        <w:pStyle w:val="24"/>
      </w:pPr>
      <w:r>
        <w:t>6、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7、加强宣传培训调研等：加强人员培训，提高本部门职工业务素质；加强调研，提出优化财政资金配置、提高资金使用效益的建议；加大宣传力度，强化预算绩效管理意识，促进预算绩效管理水平进一步提高。</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default" w:ascii="黑体" w:hAnsi="黑体" w:eastAsia="黑体" w:cs="黑体"/>
          <w:color w:val="000000"/>
          <w:sz w:val="32"/>
          <w:lang w:val="en-US" w:eastAsia="zh-CN"/>
        </w:rPr>
      </w:pPr>
      <w:r>
        <w:rPr>
          <w:rFonts w:hint="default" w:ascii="黑体" w:hAnsi="黑体" w:eastAsia="黑体" w:cs="黑体"/>
          <w:color w:val="000000"/>
          <w:sz w:val="32"/>
          <w:lang w:val="en-US"/>
        </w:rPr>
        <w:t xml:space="preserve">    </w:t>
      </w:r>
      <w:r>
        <w:rPr>
          <w:rFonts w:hint="eastAsia" w:ascii="黑体" w:hAnsi="黑体" w:eastAsia="黑体" w:cs="黑体"/>
          <w:color w:val="000000"/>
          <w:sz w:val="32"/>
          <w:lang w:val="en-US" w:eastAsia="zh-CN"/>
        </w:rPr>
        <w:t>我部门无专项资金预算安排。</w:t>
      </w: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default" w:ascii="黑体" w:hAnsi="黑体" w:eastAsia="黑体" w:cs="黑体"/>
          <w:color w:val="000000"/>
          <w:sz w:val="32"/>
          <w:lang w:val="en-US" w:eastAsia="zh-CN"/>
        </w:rPr>
        <w:t xml:space="preserve">  </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1、防范工作经费绩效目标表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13062526P00002410313K</w:t>
            </w:r>
          </w:p>
        </w:tc>
        <w:tc>
          <w:tcPr>
            <w:tcW w:w="2835" w:type="dxa"/>
            <w:vAlign w:val="center"/>
          </w:tcPr>
          <w:p>
            <w:pPr>
              <w:pStyle w:val="11"/>
            </w:pPr>
            <w:r>
              <w:t>项目名称</w:t>
            </w:r>
          </w:p>
        </w:tc>
        <w:tc>
          <w:tcPr>
            <w:tcW w:w="6095" w:type="dxa"/>
            <w:gridSpan w:val="3"/>
            <w:vAlign w:val="center"/>
          </w:tcPr>
          <w:p>
            <w:pPr>
              <w:pStyle w:val="13"/>
            </w:pPr>
            <w:r>
              <w:t>防范工作经费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6.30</w:t>
            </w:r>
          </w:p>
        </w:tc>
        <w:tc>
          <w:tcPr>
            <w:tcW w:w="2835" w:type="dxa"/>
            <w:vAlign w:val="center"/>
          </w:tcPr>
          <w:p>
            <w:pPr>
              <w:pStyle w:val="11"/>
            </w:pPr>
            <w:r>
              <w:t>其中：财政    资金</w:t>
            </w:r>
          </w:p>
        </w:tc>
        <w:tc>
          <w:tcPr>
            <w:tcW w:w="2551" w:type="dxa"/>
            <w:vAlign w:val="center"/>
          </w:tcPr>
          <w:p>
            <w:pPr>
              <w:pStyle w:val="13"/>
            </w:pPr>
            <w:r>
              <w:t>6.30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通过制作、发放宣传单，确保宣传到位覆盖全区各乡镇各村，达到全区社会稳定政治稳定。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w:t>
            </w:r>
          </w:p>
        </w:tc>
        <w:tc>
          <w:tcPr>
            <w:tcW w:w="2551" w:type="dxa"/>
            <w:vAlign w:val="center"/>
          </w:tcPr>
          <w:p>
            <w:pPr>
              <w:pStyle w:val="14"/>
            </w:pPr>
            <w:r>
              <w:t>6.30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1.通过组织制作反邪教宣传单，预计涉及全区15个乡镇及各村，使反邪教工作达到人人知法，人人宣传。</w:t>
            </w:r>
          </w:p>
          <w:p>
            <w:pPr>
              <w:pStyle w:val="13"/>
            </w:pPr>
            <w:r>
              <w:t>2.通过制作、发放宣传单，确保宣传到位覆盖全区各乡镇各村，达到全区社会稳定政治稳定。</w:t>
            </w:r>
          </w:p>
          <w:p>
            <w:pPr>
              <w:pStyle w:val="13"/>
            </w:pPr>
            <w:r>
              <w:t>3.组织制作宣传单，全年制作反邪教宣传单数量不少于20000张，保障宣传单覆盖全区各乡镇各村。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制作宣传单数量</w:t>
            </w:r>
          </w:p>
        </w:tc>
        <w:tc>
          <w:tcPr>
            <w:tcW w:w="5386" w:type="dxa"/>
            <w:vAlign w:val="center"/>
          </w:tcPr>
          <w:p>
            <w:pPr>
              <w:pStyle w:val="13"/>
            </w:pPr>
            <w:r>
              <w:t>反映全年制作反邪教宣传单数量</w:t>
            </w:r>
          </w:p>
        </w:tc>
        <w:tc>
          <w:tcPr>
            <w:tcW w:w="2268" w:type="dxa"/>
            <w:vAlign w:val="center"/>
          </w:tcPr>
          <w:p>
            <w:pPr>
              <w:pStyle w:val="13"/>
            </w:pPr>
            <w:r>
              <w:t>≥20000张</w:t>
            </w:r>
          </w:p>
        </w:tc>
        <w:tc>
          <w:tcPr>
            <w:tcW w:w="1276" w:type="dxa"/>
            <w:vAlign w:val="center"/>
          </w:tcPr>
          <w:p>
            <w:pPr>
              <w:pStyle w:val="13"/>
            </w:pPr>
            <w:r>
              <w:t>冀政法字【2017】29号文件及项目实施计划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宣传单覆盖乡镇数量</w:t>
            </w:r>
          </w:p>
        </w:tc>
        <w:tc>
          <w:tcPr>
            <w:tcW w:w="5386" w:type="dxa"/>
            <w:vAlign w:val="center"/>
          </w:tcPr>
          <w:p>
            <w:pPr>
              <w:pStyle w:val="13"/>
            </w:pPr>
            <w:r>
              <w:t>反映制作宣传单发放覆盖各乡镇数量情况</w:t>
            </w:r>
          </w:p>
        </w:tc>
        <w:tc>
          <w:tcPr>
            <w:tcW w:w="2268" w:type="dxa"/>
            <w:vAlign w:val="center"/>
          </w:tcPr>
          <w:p>
            <w:pPr>
              <w:pStyle w:val="13"/>
            </w:pPr>
            <w:r>
              <w:t>≥15个</w:t>
            </w:r>
          </w:p>
        </w:tc>
        <w:tc>
          <w:tcPr>
            <w:tcW w:w="1276" w:type="dxa"/>
            <w:vAlign w:val="center"/>
          </w:tcPr>
          <w:p>
            <w:pPr>
              <w:pStyle w:val="13"/>
            </w:pPr>
            <w:r>
              <w:t>冀政法字【2017】29号文件及项目实施计划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宣传工作完成率</w:t>
            </w:r>
          </w:p>
        </w:tc>
        <w:tc>
          <w:tcPr>
            <w:tcW w:w="5386" w:type="dxa"/>
            <w:vAlign w:val="center"/>
          </w:tcPr>
          <w:p>
            <w:pPr>
              <w:pStyle w:val="13"/>
            </w:pPr>
            <w:r>
              <w:t>反映发放反邪教宣传单完成率</w:t>
            </w:r>
          </w:p>
        </w:tc>
        <w:tc>
          <w:tcPr>
            <w:tcW w:w="2268" w:type="dxa"/>
            <w:vAlign w:val="center"/>
          </w:tcPr>
          <w:p>
            <w:pPr>
              <w:pStyle w:val="13"/>
            </w:pPr>
            <w:r>
              <w:t>≥85%</w:t>
            </w:r>
          </w:p>
        </w:tc>
        <w:tc>
          <w:tcPr>
            <w:tcW w:w="1276" w:type="dxa"/>
            <w:vAlign w:val="center"/>
          </w:tcPr>
          <w:p>
            <w:pPr>
              <w:pStyle w:val="13"/>
            </w:pPr>
            <w:r>
              <w:t>冀政法字【2017】29号文件及项目实施计划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反映发放宣传工作完成及时情况</w:t>
            </w:r>
          </w:p>
        </w:tc>
        <w:tc>
          <w:tcPr>
            <w:tcW w:w="2268" w:type="dxa"/>
            <w:vAlign w:val="center"/>
          </w:tcPr>
          <w:p>
            <w:pPr>
              <w:pStyle w:val="13"/>
            </w:pPr>
            <w:r>
              <w:t>≥95%</w:t>
            </w:r>
          </w:p>
        </w:tc>
        <w:tc>
          <w:tcPr>
            <w:tcW w:w="1276" w:type="dxa"/>
            <w:vAlign w:val="center"/>
          </w:tcPr>
          <w:p>
            <w:pPr>
              <w:pStyle w:val="13"/>
            </w:pPr>
            <w:r>
              <w:t>冀政法字【2017】29号文件及项目实施计划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≤6.3万元</w:t>
            </w:r>
          </w:p>
        </w:tc>
        <w:tc>
          <w:tcPr>
            <w:tcW w:w="1276" w:type="dxa"/>
            <w:vAlign w:val="center"/>
          </w:tcPr>
          <w:p>
            <w:pPr>
              <w:pStyle w:val="13"/>
            </w:pPr>
            <w:r>
              <w:t>冀政法字【2017】29号文件及项目实施计划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邪教人员教育转化率</w:t>
            </w:r>
          </w:p>
        </w:tc>
        <w:tc>
          <w:tcPr>
            <w:tcW w:w="5386" w:type="dxa"/>
            <w:vAlign w:val="center"/>
          </w:tcPr>
          <w:p>
            <w:pPr>
              <w:pStyle w:val="13"/>
            </w:pPr>
            <w:r>
              <w:t>对发现的邪教组织人员进行教育转化人数与总人数比例情况</w:t>
            </w:r>
          </w:p>
        </w:tc>
        <w:tc>
          <w:tcPr>
            <w:tcW w:w="2268" w:type="dxa"/>
            <w:vAlign w:val="center"/>
          </w:tcPr>
          <w:p>
            <w:pPr>
              <w:pStyle w:val="13"/>
            </w:pPr>
            <w:r>
              <w:t>≥95%</w:t>
            </w:r>
          </w:p>
        </w:tc>
        <w:tc>
          <w:tcPr>
            <w:tcW w:w="1276" w:type="dxa"/>
            <w:vAlign w:val="center"/>
          </w:tcPr>
          <w:p>
            <w:pPr>
              <w:pStyle w:val="13"/>
            </w:pPr>
            <w:r>
              <w:t>冀政法字【2017】29号文件及项目实施计划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反映人民群众满意率</w:t>
            </w:r>
          </w:p>
        </w:tc>
        <w:tc>
          <w:tcPr>
            <w:tcW w:w="2268" w:type="dxa"/>
            <w:vAlign w:val="center"/>
          </w:tcPr>
          <w:p>
            <w:pPr>
              <w:pStyle w:val="13"/>
            </w:pPr>
            <w:r>
              <w:t>≥95%</w:t>
            </w:r>
          </w:p>
        </w:tc>
        <w:tc>
          <w:tcPr>
            <w:tcW w:w="1276" w:type="dxa"/>
            <w:vAlign w:val="center"/>
          </w:tcPr>
          <w:p>
            <w:pPr>
              <w:pStyle w:val="13"/>
            </w:pPr>
            <w:r>
              <w:t>依据满意度问卷调查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2、机关事务保障经费绩效目标表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13062526P00002410311C</w:t>
            </w:r>
          </w:p>
        </w:tc>
        <w:tc>
          <w:tcPr>
            <w:tcW w:w="2835" w:type="dxa"/>
            <w:vAlign w:val="center"/>
          </w:tcPr>
          <w:p>
            <w:pPr>
              <w:pStyle w:val="11"/>
            </w:pPr>
            <w:r>
              <w:t>项目名称</w:t>
            </w:r>
          </w:p>
        </w:tc>
        <w:tc>
          <w:tcPr>
            <w:tcW w:w="6095" w:type="dxa"/>
            <w:gridSpan w:val="3"/>
            <w:vAlign w:val="center"/>
          </w:tcPr>
          <w:p>
            <w:pPr>
              <w:pStyle w:val="13"/>
            </w:pPr>
            <w:r>
              <w:t>机关事务保障经费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57.08</w:t>
            </w:r>
          </w:p>
        </w:tc>
        <w:tc>
          <w:tcPr>
            <w:tcW w:w="2835" w:type="dxa"/>
            <w:vAlign w:val="center"/>
          </w:tcPr>
          <w:p>
            <w:pPr>
              <w:pStyle w:val="11"/>
            </w:pPr>
            <w:r>
              <w:t>其中：财政    资金</w:t>
            </w:r>
          </w:p>
        </w:tc>
        <w:tc>
          <w:tcPr>
            <w:tcW w:w="2551" w:type="dxa"/>
            <w:vAlign w:val="center"/>
          </w:tcPr>
          <w:p>
            <w:pPr>
              <w:pStyle w:val="13"/>
            </w:pPr>
            <w:r>
              <w:t>57.08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通过此项目的运行，使用四家单位办公楼院内得到有效管理，确保机关正常运转运行，保障机关正常办公。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12.00</w:t>
            </w:r>
          </w:p>
        </w:tc>
        <w:tc>
          <w:tcPr>
            <w:tcW w:w="2835" w:type="dxa"/>
            <w:vAlign w:val="center"/>
          </w:tcPr>
          <w:p>
            <w:pPr>
              <w:pStyle w:val="14"/>
            </w:pPr>
            <w:r>
              <w:t>20.00</w:t>
            </w:r>
          </w:p>
        </w:tc>
        <w:tc>
          <w:tcPr>
            <w:tcW w:w="2551" w:type="dxa"/>
            <w:vAlign w:val="center"/>
          </w:tcPr>
          <w:p>
            <w:pPr>
              <w:pStyle w:val="14"/>
            </w:pPr>
            <w:r>
              <w:t>57.08</w:t>
            </w:r>
          </w:p>
        </w:tc>
        <w:tc>
          <w:tcPr>
            <w:tcW w:w="3544" w:type="dxa"/>
            <w:gridSpan w:val="2"/>
            <w:vAlign w:val="center"/>
          </w:tcPr>
          <w:p>
            <w:pPr>
              <w:pStyle w:val="14"/>
            </w:pPr>
            <w:r>
              <w:t>57.08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1.通过此项目的运行，办公楼院内中水、电、燃气费用按4个季度及时缴付，确保机关正常办公。</w:t>
            </w:r>
          </w:p>
          <w:p>
            <w:pPr>
              <w:pStyle w:val="13"/>
            </w:pPr>
            <w:r>
              <w:t>2.通过此项目的运行，使用四家单位办公楼院内得到有效管理，确保机关正常运转运行，保障机关正常办公。</w:t>
            </w:r>
          </w:p>
          <w:p>
            <w:pPr>
              <w:pStyle w:val="13"/>
            </w:pPr>
            <w:r>
              <w:t>3.建立保安保洁工作长效机制，聘请有责任心、严格遵守工作纪律的锅炉工、保安保洁人员9名，通过锅炉工、保安保洁工作，确保办公区域安全与环境卫生及供暖畅通。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保安、保洁、锅炉工工作人数</w:t>
            </w:r>
          </w:p>
        </w:tc>
        <w:tc>
          <w:tcPr>
            <w:tcW w:w="5386" w:type="dxa"/>
            <w:vAlign w:val="center"/>
          </w:tcPr>
          <w:p>
            <w:pPr>
              <w:pStyle w:val="13"/>
            </w:pPr>
            <w:r>
              <w:t>反映保安、保洁、锅炉工工资发放人数情况</w:t>
            </w:r>
          </w:p>
        </w:tc>
        <w:tc>
          <w:tcPr>
            <w:tcW w:w="2268" w:type="dxa"/>
            <w:vAlign w:val="center"/>
          </w:tcPr>
          <w:p>
            <w:pPr>
              <w:pStyle w:val="13"/>
            </w:pPr>
            <w:r>
              <w:t>9人</w:t>
            </w:r>
          </w:p>
        </w:tc>
        <w:tc>
          <w:tcPr>
            <w:tcW w:w="1276" w:type="dxa"/>
            <w:vAlign w:val="center"/>
          </w:tcPr>
          <w:p>
            <w:pPr>
              <w:pStyle w:val="13"/>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水、电、燃气费用安排次数</w:t>
            </w:r>
          </w:p>
        </w:tc>
        <w:tc>
          <w:tcPr>
            <w:tcW w:w="5386" w:type="dxa"/>
            <w:vAlign w:val="center"/>
          </w:tcPr>
          <w:p>
            <w:pPr>
              <w:pStyle w:val="13"/>
            </w:pPr>
            <w:r>
              <w:t>反映机关水、电、燃气费用缴纳情况</w:t>
            </w:r>
          </w:p>
        </w:tc>
        <w:tc>
          <w:tcPr>
            <w:tcW w:w="2268" w:type="dxa"/>
            <w:vAlign w:val="center"/>
          </w:tcPr>
          <w:p>
            <w:pPr>
              <w:pStyle w:val="13"/>
            </w:pPr>
            <w:r>
              <w:t>4次</w:t>
            </w:r>
          </w:p>
        </w:tc>
        <w:tc>
          <w:tcPr>
            <w:tcW w:w="1276" w:type="dxa"/>
            <w:vAlign w:val="center"/>
          </w:tcPr>
          <w:p>
            <w:pPr>
              <w:pStyle w:val="13"/>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工作达标率</w:t>
            </w:r>
          </w:p>
        </w:tc>
        <w:tc>
          <w:tcPr>
            <w:tcW w:w="5386" w:type="dxa"/>
            <w:vAlign w:val="center"/>
          </w:tcPr>
          <w:p>
            <w:pPr>
              <w:pStyle w:val="13"/>
            </w:pPr>
            <w:r>
              <w:t>反映锅炉工保洁、保安等工作确保机关正常运转达标程度</w:t>
            </w:r>
          </w:p>
        </w:tc>
        <w:tc>
          <w:tcPr>
            <w:tcW w:w="2268" w:type="dxa"/>
            <w:vAlign w:val="center"/>
          </w:tcPr>
          <w:p>
            <w:pPr>
              <w:pStyle w:val="13"/>
            </w:pPr>
            <w:r>
              <w:t>≥95%</w:t>
            </w:r>
          </w:p>
        </w:tc>
        <w:tc>
          <w:tcPr>
            <w:tcW w:w="1276" w:type="dxa"/>
            <w:vAlign w:val="center"/>
          </w:tcPr>
          <w:p>
            <w:pPr>
              <w:pStyle w:val="13"/>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工作完成率</w:t>
            </w:r>
          </w:p>
        </w:tc>
        <w:tc>
          <w:tcPr>
            <w:tcW w:w="5386" w:type="dxa"/>
            <w:vAlign w:val="center"/>
          </w:tcPr>
          <w:p>
            <w:pPr>
              <w:pStyle w:val="13"/>
            </w:pPr>
            <w:r>
              <w:t>反映机关水、电、燃气费用缴纳工作完成程度</w:t>
            </w:r>
          </w:p>
        </w:tc>
        <w:tc>
          <w:tcPr>
            <w:tcW w:w="2268" w:type="dxa"/>
            <w:vAlign w:val="center"/>
          </w:tcPr>
          <w:p>
            <w:pPr>
              <w:pStyle w:val="13"/>
            </w:pPr>
            <w:r>
              <w:t>100%</w:t>
            </w:r>
          </w:p>
        </w:tc>
        <w:tc>
          <w:tcPr>
            <w:tcW w:w="1276" w:type="dxa"/>
            <w:vAlign w:val="center"/>
          </w:tcPr>
          <w:p>
            <w:pPr>
              <w:pStyle w:val="13"/>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保安、保洁、锅炉工及时率</w:t>
            </w:r>
          </w:p>
        </w:tc>
        <w:tc>
          <w:tcPr>
            <w:tcW w:w="5386" w:type="dxa"/>
            <w:vAlign w:val="center"/>
          </w:tcPr>
          <w:p>
            <w:pPr>
              <w:pStyle w:val="13"/>
            </w:pPr>
            <w:r>
              <w:t>反映保安、保洁、锅炉工工资发放及时程度</w:t>
            </w:r>
          </w:p>
        </w:tc>
        <w:tc>
          <w:tcPr>
            <w:tcW w:w="2268" w:type="dxa"/>
            <w:vAlign w:val="center"/>
          </w:tcPr>
          <w:p>
            <w:pPr>
              <w:pStyle w:val="13"/>
            </w:pPr>
            <w:r>
              <w:t>≥95%</w:t>
            </w:r>
          </w:p>
        </w:tc>
        <w:tc>
          <w:tcPr>
            <w:tcW w:w="1276" w:type="dxa"/>
            <w:vAlign w:val="center"/>
          </w:tcPr>
          <w:p>
            <w:pPr>
              <w:pStyle w:val="13"/>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水、电、燃气费用缴纳及时率</w:t>
            </w:r>
          </w:p>
        </w:tc>
        <w:tc>
          <w:tcPr>
            <w:tcW w:w="5386" w:type="dxa"/>
            <w:vAlign w:val="center"/>
          </w:tcPr>
          <w:p>
            <w:pPr>
              <w:pStyle w:val="13"/>
            </w:pPr>
            <w:r>
              <w:t>反映机关水、电、燃气费用缴纳及时程度</w:t>
            </w:r>
          </w:p>
        </w:tc>
        <w:tc>
          <w:tcPr>
            <w:tcW w:w="2268" w:type="dxa"/>
            <w:vAlign w:val="center"/>
          </w:tcPr>
          <w:p>
            <w:pPr>
              <w:pStyle w:val="13"/>
            </w:pPr>
            <w:r>
              <w:t>≥95%</w:t>
            </w:r>
          </w:p>
        </w:tc>
        <w:tc>
          <w:tcPr>
            <w:tcW w:w="1276" w:type="dxa"/>
            <w:vAlign w:val="center"/>
          </w:tcPr>
          <w:p>
            <w:pPr>
              <w:pStyle w:val="13"/>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保安、保洁工资费用</w:t>
            </w:r>
          </w:p>
        </w:tc>
        <w:tc>
          <w:tcPr>
            <w:tcW w:w="5386" w:type="dxa"/>
            <w:vAlign w:val="center"/>
          </w:tcPr>
          <w:p>
            <w:pPr>
              <w:pStyle w:val="13"/>
            </w:pPr>
            <w:r>
              <w:t>反映锅炉工、保安保洁工资费用支出费用</w:t>
            </w:r>
          </w:p>
        </w:tc>
        <w:tc>
          <w:tcPr>
            <w:tcW w:w="2268" w:type="dxa"/>
            <w:vAlign w:val="center"/>
          </w:tcPr>
          <w:p>
            <w:pPr>
              <w:pStyle w:val="13"/>
            </w:pPr>
            <w:r>
              <w:t>22.08万元</w:t>
            </w:r>
          </w:p>
        </w:tc>
        <w:tc>
          <w:tcPr>
            <w:tcW w:w="1276" w:type="dxa"/>
            <w:vAlign w:val="center"/>
          </w:tcPr>
          <w:p>
            <w:pPr>
              <w:pStyle w:val="13"/>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机关办公楼水费</w:t>
            </w:r>
          </w:p>
        </w:tc>
        <w:tc>
          <w:tcPr>
            <w:tcW w:w="5386" w:type="dxa"/>
            <w:vAlign w:val="center"/>
          </w:tcPr>
          <w:p>
            <w:pPr>
              <w:pStyle w:val="13"/>
            </w:pPr>
            <w:r>
              <w:t>反映机关办公楼水费支出费用</w:t>
            </w:r>
          </w:p>
        </w:tc>
        <w:tc>
          <w:tcPr>
            <w:tcW w:w="2268" w:type="dxa"/>
            <w:vAlign w:val="center"/>
          </w:tcPr>
          <w:p>
            <w:pPr>
              <w:pStyle w:val="13"/>
            </w:pPr>
            <w:r>
              <w:t>2万元</w:t>
            </w:r>
          </w:p>
        </w:tc>
        <w:tc>
          <w:tcPr>
            <w:tcW w:w="1276" w:type="dxa"/>
            <w:vAlign w:val="center"/>
          </w:tcPr>
          <w:p>
            <w:pPr>
              <w:pStyle w:val="13"/>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机关办公楼电费</w:t>
            </w:r>
          </w:p>
        </w:tc>
        <w:tc>
          <w:tcPr>
            <w:tcW w:w="5386" w:type="dxa"/>
            <w:vAlign w:val="center"/>
          </w:tcPr>
          <w:p>
            <w:pPr>
              <w:pStyle w:val="13"/>
            </w:pPr>
            <w:r>
              <w:t>反映机关办公楼电费支出费用</w:t>
            </w:r>
          </w:p>
        </w:tc>
        <w:tc>
          <w:tcPr>
            <w:tcW w:w="2268" w:type="dxa"/>
            <w:vAlign w:val="center"/>
          </w:tcPr>
          <w:p>
            <w:pPr>
              <w:pStyle w:val="13"/>
            </w:pPr>
            <w:r>
              <w:t>13万元</w:t>
            </w:r>
          </w:p>
        </w:tc>
        <w:tc>
          <w:tcPr>
            <w:tcW w:w="1276" w:type="dxa"/>
            <w:vAlign w:val="center"/>
          </w:tcPr>
          <w:p>
            <w:pPr>
              <w:pStyle w:val="13"/>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机关办公楼维修费</w:t>
            </w:r>
          </w:p>
        </w:tc>
        <w:tc>
          <w:tcPr>
            <w:tcW w:w="5386" w:type="dxa"/>
            <w:vAlign w:val="center"/>
          </w:tcPr>
          <w:p>
            <w:pPr>
              <w:pStyle w:val="13"/>
            </w:pPr>
            <w:r>
              <w:t>反映机关办公楼维修费用支出费用</w:t>
            </w:r>
          </w:p>
        </w:tc>
        <w:tc>
          <w:tcPr>
            <w:tcW w:w="2268" w:type="dxa"/>
            <w:vAlign w:val="center"/>
          </w:tcPr>
          <w:p>
            <w:pPr>
              <w:pStyle w:val="13"/>
            </w:pPr>
            <w:r>
              <w:t>4.8万元</w:t>
            </w:r>
          </w:p>
        </w:tc>
        <w:tc>
          <w:tcPr>
            <w:tcW w:w="1276" w:type="dxa"/>
            <w:vAlign w:val="center"/>
          </w:tcPr>
          <w:p>
            <w:pPr>
              <w:pStyle w:val="13"/>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机关办公楼燃气费</w:t>
            </w:r>
          </w:p>
        </w:tc>
        <w:tc>
          <w:tcPr>
            <w:tcW w:w="5386" w:type="dxa"/>
            <w:vAlign w:val="center"/>
          </w:tcPr>
          <w:p>
            <w:pPr>
              <w:pStyle w:val="13"/>
            </w:pPr>
            <w:r>
              <w:t>反映机关办公楼燃气费支出费用</w:t>
            </w:r>
          </w:p>
        </w:tc>
        <w:tc>
          <w:tcPr>
            <w:tcW w:w="2268" w:type="dxa"/>
            <w:vAlign w:val="center"/>
          </w:tcPr>
          <w:p>
            <w:pPr>
              <w:pStyle w:val="13"/>
            </w:pPr>
            <w:r>
              <w:t>15.2万元</w:t>
            </w:r>
          </w:p>
        </w:tc>
        <w:tc>
          <w:tcPr>
            <w:tcW w:w="1276" w:type="dxa"/>
            <w:vAlign w:val="center"/>
          </w:tcPr>
          <w:p>
            <w:pPr>
              <w:pStyle w:val="13"/>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机关运行保障度</w:t>
            </w:r>
          </w:p>
        </w:tc>
        <w:tc>
          <w:tcPr>
            <w:tcW w:w="5386" w:type="dxa"/>
            <w:vAlign w:val="center"/>
          </w:tcPr>
          <w:p>
            <w:pPr>
              <w:pStyle w:val="13"/>
            </w:pPr>
            <w:r>
              <w:t>反映机关正常运转达标率</w:t>
            </w:r>
          </w:p>
        </w:tc>
        <w:tc>
          <w:tcPr>
            <w:tcW w:w="2268" w:type="dxa"/>
            <w:vAlign w:val="center"/>
          </w:tcPr>
          <w:p>
            <w:pPr>
              <w:pStyle w:val="13"/>
            </w:pPr>
            <w:r>
              <w:t>≥95%</w:t>
            </w:r>
          </w:p>
        </w:tc>
        <w:tc>
          <w:tcPr>
            <w:tcW w:w="1276" w:type="dxa"/>
            <w:vAlign w:val="center"/>
          </w:tcPr>
          <w:p>
            <w:pPr>
              <w:pStyle w:val="13"/>
            </w:pPr>
            <w:r>
              <w:t>《关于机关事务保障经费实施统一管理列入预算的请示》及项目实施计划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机关职工满意度</w:t>
            </w:r>
          </w:p>
        </w:tc>
        <w:tc>
          <w:tcPr>
            <w:tcW w:w="5386" w:type="dxa"/>
            <w:vAlign w:val="center"/>
          </w:tcPr>
          <w:p>
            <w:pPr>
              <w:pStyle w:val="13"/>
            </w:pPr>
            <w:r>
              <w:t>反映机关职工对机关保障工作的满意度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3、铁路护路联防工作经费（劳务派遣）绩效目标表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13062526P00023210213M</w:t>
            </w:r>
          </w:p>
        </w:tc>
        <w:tc>
          <w:tcPr>
            <w:tcW w:w="2835" w:type="dxa"/>
            <w:vAlign w:val="center"/>
          </w:tcPr>
          <w:p>
            <w:pPr>
              <w:pStyle w:val="11"/>
            </w:pPr>
            <w:r>
              <w:t>项目名称</w:t>
            </w:r>
          </w:p>
        </w:tc>
        <w:tc>
          <w:tcPr>
            <w:tcW w:w="6095" w:type="dxa"/>
            <w:gridSpan w:val="3"/>
            <w:vAlign w:val="center"/>
          </w:tcPr>
          <w:p>
            <w:pPr>
              <w:pStyle w:val="13"/>
            </w:pPr>
            <w:r>
              <w:t>铁路护路联防工作经费（劳务派遣）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29.70</w:t>
            </w:r>
          </w:p>
        </w:tc>
        <w:tc>
          <w:tcPr>
            <w:tcW w:w="2835" w:type="dxa"/>
            <w:vAlign w:val="center"/>
          </w:tcPr>
          <w:p>
            <w:pPr>
              <w:pStyle w:val="11"/>
            </w:pPr>
            <w:r>
              <w:t>其中：财政    资金</w:t>
            </w:r>
          </w:p>
        </w:tc>
        <w:tc>
          <w:tcPr>
            <w:tcW w:w="2551" w:type="dxa"/>
            <w:vAlign w:val="center"/>
          </w:tcPr>
          <w:p>
            <w:pPr>
              <w:pStyle w:val="13"/>
            </w:pPr>
            <w:r>
              <w:t>29.70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聘请有责任心、严格遵守工作纪律的铁路护路人员5名，通过护路工作，确保铁路周边安全。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7.43</w:t>
            </w:r>
          </w:p>
        </w:tc>
        <w:tc>
          <w:tcPr>
            <w:tcW w:w="2835" w:type="dxa"/>
            <w:vAlign w:val="center"/>
          </w:tcPr>
          <w:p>
            <w:pPr>
              <w:pStyle w:val="14"/>
            </w:pPr>
            <w:r>
              <w:t>14.85</w:t>
            </w:r>
          </w:p>
        </w:tc>
        <w:tc>
          <w:tcPr>
            <w:tcW w:w="2551" w:type="dxa"/>
            <w:vAlign w:val="center"/>
          </w:tcPr>
          <w:p>
            <w:pPr>
              <w:pStyle w:val="14"/>
            </w:pPr>
            <w:r>
              <w:t>24.75</w:t>
            </w:r>
          </w:p>
        </w:tc>
        <w:tc>
          <w:tcPr>
            <w:tcW w:w="3544" w:type="dxa"/>
            <w:gridSpan w:val="2"/>
            <w:vAlign w:val="center"/>
          </w:tcPr>
          <w:p>
            <w:pPr>
              <w:pStyle w:val="14"/>
            </w:pPr>
            <w:r>
              <w:t>29.70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1.通过此项目的运行，使我区铁路护路周边安全，保障重大节日正常运行，巡逻次数不少于70次。</w:t>
            </w:r>
          </w:p>
          <w:p>
            <w:pPr>
              <w:pStyle w:val="13"/>
            </w:pPr>
            <w:r>
              <w:t>2.聘请有责任心、严格遵守工作纪律的铁路护路人员5名，通过护路工作，确保铁路周边安全。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铁路护路工作人数</w:t>
            </w:r>
          </w:p>
        </w:tc>
        <w:tc>
          <w:tcPr>
            <w:tcW w:w="5386" w:type="dxa"/>
            <w:vAlign w:val="center"/>
          </w:tcPr>
          <w:p>
            <w:pPr>
              <w:pStyle w:val="13"/>
            </w:pPr>
            <w:r>
              <w:t>反映铁路护路人员工资发放人数情况</w:t>
            </w:r>
          </w:p>
        </w:tc>
        <w:tc>
          <w:tcPr>
            <w:tcW w:w="2268" w:type="dxa"/>
            <w:vAlign w:val="center"/>
          </w:tcPr>
          <w:p>
            <w:pPr>
              <w:pStyle w:val="13"/>
            </w:pPr>
            <w:r>
              <w:t>5人</w:t>
            </w:r>
          </w:p>
        </w:tc>
        <w:tc>
          <w:tcPr>
            <w:tcW w:w="1276" w:type="dxa"/>
            <w:vAlign w:val="center"/>
          </w:tcPr>
          <w:p>
            <w:pPr>
              <w:pStyle w:val="13"/>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铁路护路工作达标率</w:t>
            </w:r>
          </w:p>
        </w:tc>
        <w:tc>
          <w:tcPr>
            <w:tcW w:w="5386" w:type="dxa"/>
            <w:vAlign w:val="center"/>
          </w:tcPr>
          <w:p>
            <w:pPr>
              <w:pStyle w:val="13"/>
            </w:pPr>
            <w:r>
              <w:t>反映在工作中护路巡逻次数</w:t>
            </w:r>
          </w:p>
        </w:tc>
        <w:tc>
          <w:tcPr>
            <w:tcW w:w="2268" w:type="dxa"/>
            <w:vAlign w:val="center"/>
          </w:tcPr>
          <w:p>
            <w:pPr>
              <w:pStyle w:val="13"/>
            </w:pPr>
            <w:r>
              <w:t>≥70次</w:t>
            </w:r>
          </w:p>
        </w:tc>
        <w:tc>
          <w:tcPr>
            <w:tcW w:w="1276" w:type="dxa"/>
            <w:vAlign w:val="center"/>
          </w:tcPr>
          <w:p>
            <w:pPr>
              <w:pStyle w:val="13"/>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铁路护路工作及时率</w:t>
            </w:r>
          </w:p>
        </w:tc>
        <w:tc>
          <w:tcPr>
            <w:tcW w:w="5386" w:type="dxa"/>
            <w:vAlign w:val="center"/>
          </w:tcPr>
          <w:p>
            <w:pPr>
              <w:pStyle w:val="13"/>
            </w:pPr>
            <w:r>
              <w:t>反映护路巡逻工作的及时程度</w:t>
            </w:r>
          </w:p>
        </w:tc>
        <w:tc>
          <w:tcPr>
            <w:tcW w:w="2268" w:type="dxa"/>
            <w:vAlign w:val="center"/>
          </w:tcPr>
          <w:p>
            <w:pPr>
              <w:pStyle w:val="13"/>
            </w:pPr>
            <w:r>
              <w:t>≥95%</w:t>
            </w:r>
          </w:p>
        </w:tc>
        <w:tc>
          <w:tcPr>
            <w:tcW w:w="1276" w:type="dxa"/>
            <w:vAlign w:val="center"/>
          </w:tcPr>
          <w:p>
            <w:pPr>
              <w:pStyle w:val="13"/>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铁路护路人员工资</w:t>
            </w:r>
          </w:p>
        </w:tc>
        <w:tc>
          <w:tcPr>
            <w:tcW w:w="5386" w:type="dxa"/>
            <w:vAlign w:val="center"/>
          </w:tcPr>
          <w:p>
            <w:pPr>
              <w:pStyle w:val="13"/>
            </w:pPr>
            <w:r>
              <w:t>反映铁路护路人员工资支出金额</w:t>
            </w:r>
          </w:p>
        </w:tc>
        <w:tc>
          <w:tcPr>
            <w:tcW w:w="2268" w:type="dxa"/>
            <w:vAlign w:val="center"/>
          </w:tcPr>
          <w:p>
            <w:pPr>
              <w:pStyle w:val="13"/>
            </w:pPr>
            <w:r>
              <w:t>19.8万元</w:t>
            </w:r>
          </w:p>
        </w:tc>
        <w:tc>
          <w:tcPr>
            <w:tcW w:w="1276" w:type="dxa"/>
            <w:vAlign w:val="center"/>
          </w:tcPr>
          <w:p>
            <w:pPr>
              <w:pStyle w:val="13"/>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铁路护路人员保险</w:t>
            </w:r>
          </w:p>
        </w:tc>
        <w:tc>
          <w:tcPr>
            <w:tcW w:w="5386" w:type="dxa"/>
            <w:vAlign w:val="center"/>
          </w:tcPr>
          <w:p>
            <w:pPr>
              <w:pStyle w:val="13"/>
            </w:pPr>
            <w:r>
              <w:t>反映铁路护路人员保险支出金额</w:t>
            </w:r>
          </w:p>
        </w:tc>
        <w:tc>
          <w:tcPr>
            <w:tcW w:w="2268" w:type="dxa"/>
            <w:vAlign w:val="center"/>
          </w:tcPr>
          <w:p>
            <w:pPr>
              <w:pStyle w:val="13"/>
            </w:pPr>
            <w:r>
              <w:t>9.59万元</w:t>
            </w:r>
          </w:p>
        </w:tc>
        <w:tc>
          <w:tcPr>
            <w:tcW w:w="1276" w:type="dxa"/>
            <w:vAlign w:val="center"/>
          </w:tcPr>
          <w:p>
            <w:pPr>
              <w:pStyle w:val="13"/>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铁路护路人员管理费</w:t>
            </w:r>
          </w:p>
        </w:tc>
        <w:tc>
          <w:tcPr>
            <w:tcW w:w="5386" w:type="dxa"/>
            <w:vAlign w:val="center"/>
          </w:tcPr>
          <w:p>
            <w:pPr>
              <w:pStyle w:val="13"/>
            </w:pPr>
            <w:r>
              <w:t>反映铁路护路人员管理费用支出金额</w:t>
            </w:r>
          </w:p>
        </w:tc>
        <w:tc>
          <w:tcPr>
            <w:tcW w:w="2268" w:type="dxa"/>
            <w:vAlign w:val="center"/>
          </w:tcPr>
          <w:p>
            <w:pPr>
              <w:pStyle w:val="13"/>
            </w:pPr>
            <w:r>
              <w:t>0.31万元</w:t>
            </w:r>
          </w:p>
        </w:tc>
        <w:tc>
          <w:tcPr>
            <w:tcW w:w="1276" w:type="dxa"/>
            <w:vAlign w:val="center"/>
          </w:tcPr>
          <w:p>
            <w:pPr>
              <w:pStyle w:val="13"/>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铁路护路保障度</w:t>
            </w:r>
          </w:p>
        </w:tc>
        <w:tc>
          <w:tcPr>
            <w:tcW w:w="5386" w:type="dxa"/>
            <w:vAlign w:val="center"/>
          </w:tcPr>
          <w:p>
            <w:pPr>
              <w:pStyle w:val="13"/>
            </w:pPr>
            <w:r>
              <w:t>反映铁路安全正常运转率</w:t>
            </w:r>
          </w:p>
        </w:tc>
        <w:tc>
          <w:tcPr>
            <w:tcW w:w="2268" w:type="dxa"/>
            <w:vAlign w:val="center"/>
          </w:tcPr>
          <w:p>
            <w:pPr>
              <w:pStyle w:val="13"/>
            </w:pPr>
            <w:r>
              <w:t>≥95%</w:t>
            </w:r>
          </w:p>
        </w:tc>
        <w:tc>
          <w:tcPr>
            <w:tcW w:w="1276" w:type="dxa"/>
            <w:vAlign w:val="center"/>
          </w:tcPr>
          <w:p>
            <w:pPr>
              <w:pStyle w:val="13"/>
            </w:pPr>
            <w:r>
              <w:t>《关于接收省铁路护路联防人员及经费纳入财政预算的请示》及项目实施计划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群众对铁路周边安全满意度</w:t>
            </w:r>
          </w:p>
        </w:tc>
        <w:tc>
          <w:tcPr>
            <w:tcW w:w="2268" w:type="dxa"/>
            <w:vAlign w:val="center"/>
          </w:tcPr>
          <w:p>
            <w:pPr>
              <w:pStyle w:val="13"/>
            </w:pPr>
            <w:r>
              <w:t>≥95%</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13062526P00022911968P</w:t>
            </w:r>
          </w:p>
        </w:tc>
        <w:tc>
          <w:tcPr>
            <w:tcW w:w="2835" w:type="dxa"/>
            <w:vAlign w:val="center"/>
          </w:tcPr>
          <w:p>
            <w:pPr>
              <w:pStyle w:val="11"/>
            </w:pPr>
            <w:r>
              <w:t>项目名称</w:t>
            </w:r>
          </w:p>
        </w:tc>
        <w:tc>
          <w:tcPr>
            <w:tcW w:w="6095" w:type="dxa"/>
            <w:gridSpan w:val="3"/>
            <w:vAlign w:val="center"/>
          </w:tcPr>
          <w:p>
            <w:pPr>
              <w:pStyle w:val="13"/>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0.36</w:t>
            </w:r>
          </w:p>
        </w:tc>
        <w:tc>
          <w:tcPr>
            <w:tcW w:w="2835" w:type="dxa"/>
            <w:vAlign w:val="center"/>
          </w:tcPr>
          <w:p>
            <w:pPr>
              <w:pStyle w:val="11"/>
            </w:pPr>
            <w:r>
              <w:t>其中：财政    资金</w:t>
            </w:r>
          </w:p>
        </w:tc>
        <w:tc>
          <w:tcPr>
            <w:tcW w:w="2551" w:type="dxa"/>
            <w:vAlign w:val="center"/>
          </w:tcPr>
          <w:p>
            <w:pPr>
              <w:pStyle w:val="13"/>
            </w:pPr>
            <w:r>
              <w:t>0.36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 确保全区稳定，保障退役军人专岗人员更好发挥作用。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0.09</w:t>
            </w:r>
          </w:p>
        </w:tc>
        <w:tc>
          <w:tcPr>
            <w:tcW w:w="2835" w:type="dxa"/>
            <w:vAlign w:val="center"/>
          </w:tcPr>
          <w:p>
            <w:pPr>
              <w:pStyle w:val="14"/>
            </w:pPr>
            <w:r>
              <w:t>0.18</w:t>
            </w:r>
          </w:p>
        </w:tc>
        <w:tc>
          <w:tcPr>
            <w:tcW w:w="2551" w:type="dxa"/>
            <w:vAlign w:val="center"/>
          </w:tcPr>
          <w:p>
            <w:pPr>
              <w:pStyle w:val="14"/>
            </w:pPr>
            <w:r>
              <w:t>0.30</w:t>
            </w:r>
          </w:p>
        </w:tc>
        <w:tc>
          <w:tcPr>
            <w:tcW w:w="3544" w:type="dxa"/>
            <w:gridSpan w:val="2"/>
            <w:vAlign w:val="center"/>
          </w:tcPr>
          <w:p>
            <w:pPr>
              <w:pStyle w:val="14"/>
            </w:pPr>
            <w:r>
              <w:t>0.36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每人每月300元，共计154人，按月支付。按时足额发放到位，落实退役军人专岗人员待遇。</w:t>
            </w:r>
          </w:p>
          <w:p>
            <w:pPr>
              <w:pStyle w:val="13"/>
            </w:pPr>
            <w:r>
              <w:t>2. 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专岗人员人数</w:t>
            </w:r>
          </w:p>
        </w:tc>
        <w:tc>
          <w:tcPr>
            <w:tcW w:w="5386" w:type="dxa"/>
            <w:vAlign w:val="center"/>
          </w:tcPr>
          <w:p>
            <w:pPr>
              <w:pStyle w:val="13"/>
            </w:pPr>
            <w:r>
              <w:t>反映专岗人员数量</w:t>
            </w:r>
          </w:p>
        </w:tc>
        <w:tc>
          <w:tcPr>
            <w:tcW w:w="2268" w:type="dxa"/>
            <w:vAlign w:val="center"/>
          </w:tcPr>
          <w:p>
            <w:pPr>
              <w:pStyle w:val="13"/>
            </w:pPr>
            <w:r>
              <w:t>1人</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反应按月发放到位情况</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月支出标准</w:t>
            </w:r>
          </w:p>
        </w:tc>
        <w:tc>
          <w:tcPr>
            <w:tcW w:w="2268" w:type="dxa"/>
            <w:vAlign w:val="center"/>
          </w:tcPr>
          <w:p>
            <w:pPr>
              <w:pStyle w:val="13"/>
            </w:pPr>
            <w:r>
              <w:t>0.03万元</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专岗人员上访次数</w:t>
            </w:r>
          </w:p>
        </w:tc>
        <w:tc>
          <w:tcPr>
            <w:tcW w:w="5386" w:type="dxa"/>
            <w:vAlign w:val="center"/>
          </w:tcPr>
          <w:p>
            <w:pPr>
              <w:pStyle w:val="13"/>
            </w:pPr>
            <w:r>
              <w:t>专岗人员因为生活补贴上访的次数</w:t>
            </w:r>
          </w:p>
        </w:tc>
        <w:tc>
          <w:tcPr>
            <w:tcW w:w="2268" w:type="dxa"/>
            <w:vAlign w:val="center"/>
          </w:tcPr>
          <w:p>
            <w:pPr>
              <w:pStyle w:val="13"/>
            </w:pPr>
            <w:r>
              <w:t>≤2次</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退役军人专岗人员满意度</w:t>
            </w:r>
          </w:p>
        </w:tc>
        <w:tc>
          <w:tcPr>
            <w:tcW w:w="5386" w:type="dxa"/>
            <w:vAlign w:val="center"/>
          </w:tcPr>
          <w:p>
            <w:pPr>
              <w:pStyle w:val="13"/>
            </w:pPr>
            <w:r>
              <w:t>项目相关的退役军人专岗人员满意度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5、政法网络租赁经费绩效目标表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13062526P00003110021J</w:t>
            </w:r>
          </w:p>
        </w:tc>
        <w:tc>
          <w:tcPr>
            <w:tcW w:w="2835" w:type="dxa"/>
            <w:vAlign w:val="center"/>
          </w:tcPr>
          <w:p>
            <w:pPr>
              <w:pStyle w:val="11"/>
            </w:pPr>
            <w:r>
              <w:t>项目名称</w:t>
            </w:r>
          </w:p>
        </w:tc>
        <w:tc>
          <w:tcPr>
            <w:tcW w:w="6095" w:type="dxa"/>
            <w:gridSpan w:val="3"/>
            <w:vAlign w:val="center"/>
          </w:tcPr>
          <w:p>
            <w:pPr>
              <w:pStyle w:val="13"/>
            </w:pPr>
            <w:r>
              <w:t>政法网络租赁经费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通过此项目，强化政法网络建设的责任意识，确保全区政法网络正常运行。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20.00</w:t>
            </w:r>
          </w:p>
        </w:tc>
        <w:tc>
          <w:tcPr>
            <w:tcW w:w="2551" w:type="dxa"/>
            <w:vAlign w:val="center"/>
          </w:tcPr>
          <w:p>
            <w:pPr>
              <w:pStyle w:val="14"/>
            </w:pPr>
            <w:r>
              <w:t>20.00</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1.为保障政法网络畅通，在使用过程中发生故障次数小于30次/每月。</w:t>
            </w:r>
          </w:p>
          <w:p>
            <w:pPr>
              <w:pStyle w:val="13"/>
            </w:pPr>
            <w:r>
              <w:t>2.通过此项目，强化政法网络建设的责任意识，确保全区政法网络正常运行。</w:t>
            </w:r>
          </w:p>
          <w:p>
            <w:pPr>
              <w:pStyle w:val="13"/>
            </w:pPr>
            <w:r>
              <w:t>3.每月对线路、信号传输设备等进行检查维护3次以上，确保政法网络畅通。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网络运行检查维护次数</w:t>
            </w:r>
          </w:p>
        </w:tc>
        <w:tc>
          <w:tcPr>
            <w:tcW w:w="5386" w:type="dxa"/>
            <w:vAlign w:val="center"/>
          </w:tcPr>
          <w:p>
            <w:pPr>
              <w:pStyle w:val="13"/>
            </w:pPr>
            <w:r>
              <w:t>反映每月对线路、信号传输设备等进行检查情况</w:t>
            </w:r>
          </w:p>
        </w:tc>
        <w:tc>
          <w:tcPr>
            <w:tcW w:w="2268" w:type="dxa"/>
            <w:vAlign w:val="center"/>
          </w:tcPr>
          <w:p>
            <w:pPr>
              <w:pStyle w:val="13"/>
            </w:pPr>
            <w:r>
              <w:t>≥3次</w:t>
            </w:r>
          </w:p>
        </w:tc>
        <w:tc>
          <w:tcPr>
            <w:tcW w:w="1276" w:type="dxa"/>
            <w:vAlign w:val="center"/>
          </w:tcPr>
          <w:p>
            <w:pPr>
              <w:pStyle w:val="13"/>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网络运行期间发生故障次数</w:t>
            </w:r>
          </w:p>
        </w:tc>
        <w:tc>
          <w:tcPr>
            <w:tcW w:w="5386" w:type="dxa"/>
            <w:vAlign w:val="center"/>
          </w:tcPr>
          <w:p>
            <w:pPr>
              <w:pStyle w:val="13"/>
            </w:pPr>
            <w:r>
              <w:t>反映在使用过程中发生故障次数情况</w:t>
            </w:r>
          </w:p>
        </w:tc>
        <w:tc>
          <w:tcPr>
            <w:tcW w:w="2268" w:type="dxa"/>
            <w:vAlign w:val="center"/>
          </w:tcPr>
          <w:p>
            <w:pPr>
              <w:pStyle w:val="13"/>
            </w:pPr>
            <w:r>
              <w:t>&lt;30次</w:t>
            </w:r>
          </w:p>
        </w:tc>
        <w:tc>
          <w:tcPr>
            <w:tcW w:w="1276" w:type="dxa"/>
            <w:vAlign w:val="center"/>
          </w:tcPr>
          <w:p>
            <w:pPr>
              <w:pStyle w:val="13"/>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网络工作完成率</w:t>
            </w:r>
          </w:p>
        </w:tc>
        <w:tc>
          <w:tcPr>
            <w:tcW w:w="5386" w:type="dxa"/>
            <w:vAlign w:val="center"/>
          </w:tcPr>
          <w:p>
            <w:pPr>
              <w:pStyle w:val="13"/>
            </w:pPr>
            <w:r>
              <w:t>反映每月对线路、信号传输设备检查维护完成程度</w:t>
            </w:r>
          </w:p>
        </w:tc>
        <w:tc>
          <w:tcPr>
            <w:tcW w:w="2268" w:type="dxa"/>
            <w:vAlign w:val="center"/>
          </w:tcPr>
          <w:p>
            <w:pPr>
              <w:pStyle w:val="13"/>
            </w:pPr>
            <w:r>
              <w:t>≥95%</w:t>
            </w:r>
          </w:p>
        </w:tc>
        <w:tc>
          <w:tcPr>
            <w:tcW w:w="1276" w:type="dxa"/>
            <w:vAlign w:val="center"/>
          </w:tcPr>
          <w:p>
            <w:pPr>
              <w:pStyle w:val="13"/>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网络运行工作达标率</w:t>
            </w:r>
          </w:p>
        </w:tc>
        <w:tc>
          <w:tcPr>
            <w:tcW w:w="5386" w:type="dxa"/>
            <w:vAlign w:val="center"/>
          </w:tcPr>
          <w:p>
            <w:pPr>
              <w:pStyle w:val="13"/>
            </w:pPr>
            <w:r>
              <w:t>反映视频监控网络工作确保机关正常运转达标程度</w:t>
            </w:r>
          </w:p>
        </w:tc>
        <w:tc>
          <w:tcPr>
            <w:tcW w:w="2268" w:type="dxa"/>
            <w:vAlign w:val="center"/>
          </w:tcPr>
          <w:p>
            <w:pPr>
              <w:pStyle w:val="13"/>
            </w:pPr>
            <w:r>
              <w:t>≥95%</w:t>
            </w:r>
          </w:p>
        </w:tc>
        <w:tc>
          <w:tcPr>
            <w:tcW w:w="1276" w:type="dxa"/>
            <w:vAlign w:val="center"/>
          </w:tcPr>
          <w:p>
            <w:pPr>
              <w:pStyle w:val="13"/>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检查维护设备及时率</w:t>
            </w:r>
          </w:p>
        </w:tc>
        <w:tc>
          <w:tcPr>
            <w:tcW w:w="5386" w:type="dxa"/>
            <w:vAlign w:val="center"/>
          </w:tcPr>
          <w:p>
            <w:pPr>
              <w:pStyle w:val="13"/>
            </w:pPr>
            <w:r>
              <w:t>反映传输设备检查维护的及时程度</w:t>
            </w:r>
          </w:p>
        </w:tc>
        <w:tc>
          <w:tcPr>
            <w:tcW w:w="2268" w:type="dxa"/>
            <w:vAlign w:val="center"/>
          </w:tcPr>
          <w:p>
            <w:pPr>
              <w:pStyle w:val="13"/>
            </w:pPr>
            <w:r>
              <w:t>≥95%</w:t>
            </w:r>
          </w:p>
        </w:tc>
        <w:tc>
          <w:tcPr>
            <w:tcW w:w="1276" w:type="dxa"/>
            <w:vAlign w:val="center"/>
          </w:tcPr>
          <w:p>
            <w:pPr>
              <w:pStyle w:val="13"/>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反映项目成本费用支出情况</w:t>
            </w:r>
          </w:p>
        </w:tc>
        <w:tc>
          <w:tcPr>
            <w:tcW w:w="2268" w:type="dxa"/>
            <w:vAlign w:val="center"/>
          </w:tcPr>
          <w:p>
            <w:pPr>
              <w:pStyle w:val="13"/>
            </w:pPr>
            <w:r>
              <w:t>≤20万元</w:t>
            </w:r>
          </w:p>
        </w:tc>
        <w:tc>
          <w:tcPr>
            <w:tcW w:w="1276" w:type="dxa"/>
            <w:vAlign w:val="center"/>
          </w:tcPr>
          <w:p>
            <w:pPr>
              <w:pStyle w:val="13"/>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视频监控有效使用率</w:t>
            </w:r>
          </w:p>
        </w:tc>
        <w:tc>
          <w:tcPr>
            <w:tcW w:w="5386" w:type="dxa"/>
            <w:vAlign w:val="center"/>
          </w:tcPr>
          <w:p>
            <w:pPr>
              <w:pStyle w:val="13"/>
            </w:pPr>
            <w:r>
              <w:t>通过视频监控达到某事件预定效果数与总使用数之比</w:t>
            </w:r>
          </w:p>
        </w:tc>
        <w:tc>
          <w:tcPr>
            <w:tcW w:w="2268" w:type="dxa"/>
            <w:vAlign w:val="center"/>
          </w:tcPr>
          <w:p>
            <w:pPr>
              <w:pStyle w:val="13"/>
            </w:pPr>
            <w:r>
              <w:t>≥90%</w:t>
            </w:r>
          </w:p>
        </w:tc>
        <w:tc>
          <w:tcPr>
            <w:tcW w:w="1276" w:type="dxa"/>
            <w:vAlign w:val="center"/>
          </w:tcPr>
          <w:p>
            <w:pPr>
              <w:pStyle w:val="13"/>
            </w:pPr>
            <w:r>
              <w:t>区委政法委《关于将政法网运行经费纳入区财政预算的请示》及项目实施计划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使用单位对政法网络使用的整体满意度</w:t>
            </w:r>
          </w:p>
        </w:tc>
        <w:tc>
          <w:tcPr>
            <w:tcW w:w="2268" w:type="dxa"/>
            <w:vAlign w:val="center"/>
          </w:tcPr>
          <w:p>
            <w:pPr>
              <w:pStyle w:val="13"/>
            </w:pPr>
            <w:r>
              <w:t>≥95%</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6、政法稳定工作经费绩效目标表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13062526P00004110059A</w:t>
            </w:r>
          </w:p>
        </w:tc>
        <w:tc>
          <w:tcPr>
            <w:tcW w:w="2835" w:type="dxa"/>
            <w:vAlign w:val="center"/>
          </w:tcPr>
          <w:p>
            <w:pPr>
              <w:pStyle w:val="11"/>
            </w:pPr>
            <w:r>
              <w:t>项目名称</w:t>
            </w:r>
          </w:p>
        </w:tc>
        <w:tc>
          <w:tcPr>
            <w:tcW w:w="6095" w:type="dxa"/>
            <w:gridSpan w:val="3"/>
            <w:vAlign w:val="center"/>
          </w:tcPr>
          <w:p>
            <w:pPr>
              <w:pStyle w:val="13"/>
            </w:pPr>
            <w:r>
              <w:t>政法稳定工作经费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280.00</w:t>
            </w:r>
          </w:p>
        </w:tc>
        <w:tc>
          <w:tcPr>
            <w:tcW w:w="2835" w:type="dxa"/>
            <w:vAlign w:val="center"/>
          </w:tcPr>
          <w:p>
            <w:pPr>
              <w:pStyle w:val="11"/>
            </w:pPr>
            <w:r>
              <w:t>其中：财政    资金</w:t>
            </w:r>
          </w:p>
        </w:tc>
        <w:tc>
          <w:tcPr>
            <w:tcW w:w="2551" w:type="dxa"/>
            <w:vAlign w:val="center"/>
          </w:tcPr>
          <w:p>
            <w:pPr>
              <w:pStyle w:val="13"/>
            </w:pPr>
            <w:r>
              <w:t>280.00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通过指导、协调和督导各级各部门，预防减少不稳定因素的发生，有效化解不稳定隐患、群体性事件和突发事件，确保全区社会稳定。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75.00</w:t>
            </w:r>
          </w:p>
        </w:tc>
        <w:tc>
          <w:tcPr>
            <w:tcW w:w="2835" w:type="dxa"/>
            <w:vAlign w:val="center"/>
          </w:tcPr>
          <w:p>
            <w:pPr>
              <w:pStyle w:val="14"/>
            </w:pPr>
            <w:r>
              <w:t>140.00</w:t>
            </w:r>
          </w:p>
        </w:tc>
        <w:tc>
          <w:tcPr>
            <w:tcW w:w="2551" w:type="dxa"/>
            <w:vAlign w:val="center"/>
          </w:tcPr>
          <w:p>
            <w:pPr>
              <w:pStyle w:val="14"/>
            </w:pPr>
            <w:r>
              <w:t>215.00</w:t>
            </w:r>
          </w:p>
        </w:tc>
        <w:tc>
          <w:tcPr>
            <w:tcW w:w="3544" w:type="dxa"/>
            <w:gridSpan w:val="2"/>
            <w:vAlign w:val="center"/>
          </w:tcPr>
          <w:p>
            <w:pPr>
              <w:pStyle w:val="14"/>
            </w:pPr>
            <w:r>
              <w:t>280.00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1.通过管控、排查工作，根据工作需要涉及15个乡镇、10个区直部门矛盾纠纷、舆情处置等问题。</w:t>
            </w:r>
          </w:p>
          <w:p>
            <w:pPr>
              <w:pStyle w:val="13"/>
            </w:pPr>
            <w:r>
              <w:t>2.根据工作需要，有效化解不稳定隐患、舆情处置涉及金额280万元。</w:t>
            </w:r>
          </w:p>
          <w:p>
            <w:pPr>
              <w:pStyle w:val="13"/>
            </w:pPr>
            <w:r>
              <w:t>3.通过指导、协调和督导各级各部门，预防减少不稳定因素的发生，有效化解不稳定隐患、群体性事件和突发事件，确保全区社会稳定。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重点乡镇人员管控到位</w:t>
            </w:r>
          </w:p>
        </w:tc>
        <w:tc>
          <w:tcPr>
            <w:tcW w:w="5386" w:type="dxa"/>
            <w:vAlign w:val="center"/>
          </w:tcPr>
          <w:p>
            <w:pPr>
              <w:pStyle w:val="13"/>
            </w:pPr>
            <w:r>
              <w:t>反映管控、排查重点乡镇个数</w:t>
            </w:r>
          </w:p>
        </w:tc>
        <w:tc>
          <w:tcPr>
            <w:tcW w:w="2268" w:type="dxa"/>
            <w:vAlign w:val="center"/>
          </w:tcPr>
          <w:p>
            <w:pPr>
              <w:pStyle w:val="13"/>
            </w:pPr>
            <w:r>
              <w:t>≥15个</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重点区直部门人员管控到位</w:t>
            </w:r>
          </w:p>
        </w:tc>
        <w:tc>
          <w:tcPr>
            <w:tcW w:w="5386" w:type="dxa"/>
            <w:vAlign w:val="center"/>
          </w:tcPr>
          <w:p>
            <w:pPr>
              <w:pStyle w:val="13"/>
            </w:pPr>
            <w:r>
              <w:t>反映管控、排查重点区直部门个数</w:t>
            </w:r>
          </w:p>
        </w:tc>
        <w:tc>
          <w:tcPr>
            <w:tcW w:w="2268" w:type="dxa"/>
            <w:vAlign w:val="center"/>
          </w:tcPr>
          <w:p>
            <w:pPr>
              <w:pStyle w:val="13"/>
            </w:pPr>
            <w:r>
              <w:t>≥10个</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重点乡镇及区直部门涉稳舆情处置率</w:t>
            </w:r>
          </w:p>
        </w:tc>
        <w:tc>
          <w:tcPr>
            <w:tcW w:w="5386" w:type="dxa"/>
            <w:vAlign w:val="center"/>
          </w:tcPr>
          <w:p>
            <w:pPr>
              <w:pStyle w:val="13"/>
            </w:pPr>
            <w:r>
              <w:t>反映已处置的涉稳舆情数占涉稳网格舆情总数比例</w:t>
            </w:r>
          </w:p>
        </w:tc>
        <w:tc>
          <w:tcPr>
            <w:tcW w:w="2268" w:type="dxa"/>
            <w:vAlign w:val="center"/>
          </w:tcPr>
          <w:p>
            <w:pPr>
              <w:pStyle w:val="13"/>
            </w:pPr>
            <w:r>
              <w:t>≥95%</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处置和研判及时性</w:t>
            </w:r>
          </w:p>
        </w:tc>
        <w:tc>
          <w:tcPr>
            <w:tcW w:w="5386" w:type="dxa"/>
            <w:vAlign w:val="center"/>
          </w:tcPr>
          <w:p>
            <w:pPr>
              <w:pStyle w:val="13"/>
            </w:pPr>
            <w:r>
              <w:t>反映处置和研判重点乡镇及区直部门的及时程度</w:t>
            </w:r>
          </w:p>
        </w:tc>
        <w:tc>
          <w:tcPr>
            <w:tcW w:w="2268" w:type="dxa"/>
            <w:vAlign w:val="center"/>
          </w:tcPr>
          <w:p>
            <w:pPr>
              <w:pStyle w:val="13"/>
            </w:pPr>
            <w:r>
              <w:t>≥95%</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专项工作经费</w:t>
            </w:r>
          </w:p>
        </w:tc>
        <w:tc>
          <w:tcPr>
            <w:tcW w:w="5386" w:type="dxa"/>
            <w:vAlign w:val="center"/>
          </w:tcPr>
          <w:p>
            <w:pPr>
              <w:pStyle w:val="13"/>
            </w:pPr>
            <w:r>
              <w:t>反应各部门专项工作经费项目支出情况</w:t>
            </w:r>
          </w:p>
        </w:tc>
        <w:tc>
          <w:tcPr>
            <w:tcW w:w="2268" w:type="dxa"/>
            <w:vAlign w:val="center"/>
          </w:tcPr>
          <w:p>
            <w:pPr>
              <w:pStyle w:val="13"/>
            </w:pPr>
            <w:r>
              <w:t>54万元</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“以案定补”经费</w:t>
            </w:r>
          </w:p>
        </w:tc>
        <w:tc>
          <w:tcPr>
            <w:tcW w:w="5386" w:type="dxa"/>
            <w:vAlign w:val="center"/>
          </w:tcPr>
          <w:p>
            <w:pPr>
              <w:pStyle w:val="13"/>
            </w:pPr>
            <w:r>
              <w:t>反应各部门“以案定补”经费项目支出情况</w:t>
            </w:r>
          </w:p>
        </w:tc>
        <w:tc>
          <w:tcPr>
            <w:tcW w:w="2268" w:type="dxa"/>
            <w:vAlign w:val="center"/>
          </w:tcPr>
          <w:p>
            <w:pPr>
              <w:pStyle w:val="13"/>
            </w:pPr>
            <w:r>
              <w:t>13万元</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处置突发事件和疑难信访案</w:t>
            </w:r>
          </w:p>
        </w:tc>
        <w:tc>
          <w:tcPr>
            <w:tcW w:w="5386" w:type="dxa"/>
            <w:vAlign w:val="center"/>
          </w:tcPr>
          <w:p>
            <w:pPr>
              <w:pStyle w:val="13"/>
            </w:pPr>
            <w:r>
              <w:t>反应各部门处置突发事件和疑难信访案项目支出情况</w:t>
            </w:r>
          </w:p>
        </w:tc>
        <w:tc>
          <w:tcPr>
            <w:tcW w:w="2268" w:type="dxa"/>
            <w:vAlign w:val="center"/>
          </w:tcPr>
          <w:p>
            <w:pPr>
              <w:pStyle w:val="13"/>
            </w:pPr>
            <w:r>
              <w:t>70万元</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肇事肇祸精神病患者治疗费</w:t>
            </w:r>
          </w:p>
        </w:tc>
        <w:tc>
          <w:tcPr>
            <w:tcW w:w="5386" w:type="dxa"/>
            <w:vAlign w:val="center"/>
          </w:tcPr>
          <w:p>
            <w:pPr>
              <w:pStyle w:val="13"/>
            </w:pPr>
            <w:r>
              <w:t>反应各部门肇事肇祸精神病患者治疗费支出情况</w:t>
            </w:r>
          </w:p>
        </w:tc>
        <w:tc>
          <w:tcPr>
            <w:tcW w:w="2268" w:type="dxa"/>
            <w:vAlign w:val="center"/>
          </w:tcPr>
          <w:p>
            <w:pPr>
              <w:pStyle w:val="13"/>
            </w:pPr>
            <w:r>
              <w:t>50万元</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司法救助经费</w:t>
            </w:r>
          </w:p>
        </w:tc>
        <w:tc>
          <w:tcPr>
            <w:tcW w:w="5386" w:type="dxa"/>
            <w:vAlign w:val="center"/>
          </w:tcPr>
          <w:p>
            <w:pPr>
              <w:pStyle w:val="13"/>
            </w:pPr>
            <w:r>
              <w:t>反应各部门司法救助经费支出情况</w:t>
            </w:r>
          </w:p>
        </w:tc>
        <w:tc>
          <w:tcPr>
            <w:tcW w:w="2268" w:type="dxa"/>
            <w:vAlign w:val="center"/>
          </w:tcPr>
          <w:p>
            <w:pPr>
              <w:pStyle w:val="13"/>
            </w:pPr>
            <w:r>
              <w:t>15万元</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平安建设经费</w:t>
            </w:r>
          </w:p>
        </w:tc>
        <w:tc>
          <w:tcPr>
            <w:tcW w:w="5386" w:type="dxa"/>
            <w:vAlign w:val="center"/>
          </w:tcPr>
          <w:p>
            <w:pPr>
              <w:pStyle w:val="13"/>
            </w:pPr>
            <w:r>
              <w:t>反应各部门平安建设经费支出情况</w:t>
            </w:r>
          </w:p>
        </w:tc>
        <w:tc>
          <w:tcPr>
            <w:tcW w:w="2268" w:type="dxa"/>
            <w:vAlign w:val="center"/>
          </w:tcPr>
          <w:p>
            <w:pPr>
              <w:pStyle w:val="13"/>
            </w:pPr>
            <w:r>
              <w:t>65万元</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铁路护路联防工作经费</w:t>
            </w:r>
          </w:p>
        </w:tc>
        <w:tc>
          <w:tcPr>
            <w:tcW w:w="5386" w:type="dxa"/>
            <w:vAlign w:val="center"/>
          </w:tcPr>
          <w:p>
            <w:pPr>
              <w:pStyle w:val="13"/>
            </w:pPr>
            <w:r>
              <w:t>反应铁路护路联防工作经费支出情况</w:t>
            </w:r>
          </w:p>
        </w:tc>
        <w:tc>
          <w:tcPr>
            <w:tcW w:w="2268" w:type="dxa"/>
            <w:vAlign w:val="center"/>
          </w:tcPr>
          <w:p>
            <w:pPr>
              <w:pStyle w:val="13"/>
            </w:pPr>
            <w:r>
              <w:t>10万元</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见义勇为工作经费及奖励费</w:t>
            </w:r>
          </w:p>
        </w:tc>
        <w:tc>
          <w:tcPr>
            <w:tcW w:w="5386" w:type="dxa"/>
            <w:vAlign w:val="center"/>
          </w:tcPr>
          <w:p>
            <w:pPr>
              <w:pStyle w:val="13"/>
            </w:pPr>
            <w:r>
              <w:t>反应各部门见义勇为工作经费及奖励费支出情况</w:t>
            </w:r>
          </w:p>
        </w:tc>
        <w:tc>
          <w:tcPr>
            <w:tcW w:w="2268" w:type="dxa"/>
            <w:vAlign w:val="center"/>
          </w:tcPr>
          <w:p>
            <w:pPr>
              <w:pStyle w:val="13"/>
            </w:pPr>
            <w:r>
              <w:t>2万元</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法学会工作经费</w:t>
            </w:r>
          </w:p>
        </w:tc>
        <w:tc>
          <w:tcPr>
            <w:tcW w:w="5386" w:type="dxa"/>
            <w:vAlign w:val="center"/>
          </w:tcPr>
          <w:p>
            <w:pPr>
              <w:pStyle w:val="13"/>
            </w:pPr>
            <w:r>
              <w:t>反应各部门法学会工作经费支出情况</w:t>
            </w:r>
          </w:p>
        </w:tc>
        <w:tc>
          <w:tcPr>
            <w:tcW w:w="2268" w:type="dxa"/>
            <w:vAlign w:val="center"/>
          </w:tcPr>
          <w:p>
            <w:pPr>
              <w:pStyle w:val="13"/>
            </w:pPr>
            <w:r>
              <w:t>1万元</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重大活动突发事件发生处置有效性</w:t>
            </w:r>
          </w:p>
        </w:tc>
        <w:tc>
          <w:tcPr>
            <w:tcW w:w="5386" w:type="dxa"/>
            <w:vAlign w:val="center"/>
          </w:tcPr>
          <w:p>
            <w:pPr>
              <w:pStyle w:val="13"/>
            </w:pPr>
            <w:r>
              <w:t>反映发生重大活动突发事件的处置效果程度</w:t>
            </w:r>
          </w:p>
        </w:tc>
        <w:tc>
          <w:tcPr>
            <w:tcW w:w="2268" w:type="dxa"/>
            <w:vAlign w:val="center"/>
          </w:tcPr>
          <w:p>
            <w:pPr>
              <w:pStyle w:val="13"/>
            </w:pPr>
            <w:r>
              <w:t>≥95%</w:t>
            </w:r>
          </w:p>
        </w:tc>
        <w:tc>
          <w:tcPr>
            <w:tcW w:w="1276" w:type="dxa"/>
            <w:vAlign w:val="center"/>
          </w:tcPr>
          <w:p>
            <w:pPr>
              <w:pStyle w:val="13"/>
            </w:pPr>
            <w:r>
              <w:t>《中共徐水县委、徐水县人民政府关于建立维护稳定工作“十项机制的意见”》徐发【2008】30号文及项目实施计划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全区各部门舆情处置率</w:t>
            </w:r>
          </w:p>
        </w:tc>
        <w:tc>
          <w:tcPr>
            <w:tcW w:w="5386" w:type="dxa"/>
            <w:vAlign w:val="center"/>
          </w:tcPr>
          <w:p>
            <w:pPr>
              <w:pStyle w:val="13"/>
            </w:pPr>
            <w:r>
              <w:t>全区各部门舆情处置率</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7、政法稳定工作经费（扫黑除恶）绩效目标表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13062526P00004110058N</w:t>
            </w:r>
          </w:p>
        </w:tc>
        <w:tc>
          <w:tcPr>
            <w:tcW w:w="2835" w:type="dxa"/>
            <w:vAlign w:val="center"/>
          </w:tcPr>
          <w:p>
            <w:pPr>
              <w:pStyle w:val="11"/>
            </w:pPr>
            <w:r>
              <w:t>项目名称</w:t>
            </w:r>
          </w:p>
        </w:tc>
        <w:tc>
          <w:tcPr>
            <w:tcW w:w="6095" w:type="dxa"/>
            <w:gridSpan w:val="3"/>
            <w:vAlign w:val="center"/>
          </w:tcPr>
          <w:p>
            <w:pPr>
              <w:pStyle w:val="13"/>
            </w:pPr>
            <w:r>
              <w:t>政法稳定工作经费（扫黑除恶）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通过扫黑除恶短信宣传工作，涉及全区15个乡镇及各村，解决全区扫黑除恶上访案件及舆情处理工作。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w:t>
            </w:r>
          </w:p>
        </w:tc>
        <w:tc>
          <w:tcPr>
            <w:tcW w:w="2551" w:type="dxa"/>
            <w:vAlign w:val="center"/>
          </w:tcPr>
          <w:p>
            <w:pPr>
              <w:pStyle w:val="14"/>
            </w:pPr>
            <w:r>
              <w:t>20.00</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1.通过扫黑除恶短信宣传工作，涉及全区15个乡镇及各村，解决全区扫黑除恶上访案件及舆情处理工作。</w:t>
            </w:r>
          </w:p>
          <w:p>
            <w:pPr>
              <w:pStyle w:val="13"/>
            </w:pPr>
            <w:r>
              <w:t>2.开展扫黑除恶工作，全年制定了扫黑除恶短信宣传26万条，保障覆盖全区用户接收。</w:t>
            </w:r>
          </w:p>
          <w:p>
            <w:pPr>
              <w:pStyle w:val="13"/>
            </w:pPr>
            <w:r>
              <w:t>3.通过指导、协调和督导各级各部门，预防减少不稳定因素的发生，有效化解不稳定隐患、群体性事件和突发事件，确保全区社会稳定。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扫黑除恶短信宣传完成数量</w:t>
            </w:r>
          </w:p>
        </w:tc>
        <w:tc>
          <w:tcPr>
            <w:tcW w:w="5386" w:type="dxa"/>
            <w:vAlign w:val="center"/>
          </w:tcPr>
          <w:p>
            <w:pPr>
              <w:pStyle w:val="13"/>
            </w:pPr>
            <w:r>
              <w:t>反映全年制定扫黑除恶短信宣传完成数量</w:t>
            </w:r>
          </w:p>
        </w:tc>
        <w:tc>
          <w:tcPr>
            <w:tcW w:w="2268" w:type="dxa"/>
            <w:vAlign w:val="center"/>
          </w:tcPr>
          <w:p>
            <w:pPr>
              <w:pStyle w:val="13"/>
            </w:pPr>
            <w:r>
              <w:t>≥26万条</w:t>
            </w:r>
          </w:p>
        </w:tc>
        <w:tc>
          <w:tcPr>
            <w:tcW w:w="1276" w:type="dxa"/>
            <w:vAlign w:val="center"/>
          </w:tcPr>
          <w:p>
            <w:pPr>
              <w:pStyle w:val="13"/>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制作宣传单覆盖乡镇数量</w:t>
            </w:r>
          </w:p>
        </w:tc>
        <w:tc>
          <w:tcPr>
            <w:tcW w:w="5386" w:type="dxa"/>
            <w:vAlign w:val="center"/>
          </w:tcPr>
          <w:p>
            <w:pPr>
              <w:pStyle w:val="13"/>
            </w:pPr>
            <w:r>
              <w:t>反映全年制定反邪教宣传单覆盖乡镇情况</w:t>
            </w:r>
          </w:p>
        </w:tc>
        <w:tc>
          <w:tcPr>
            <w:tcW w:w="2268" w:type="dxa"/>
            <w:vAlign w:val="center"/>
          </w:tcPr>
          <w:p>
            <w:pPr>
              <w:pStyle w:val="13"/>
            </w:pPr>
            <w:r>
              <w:t>≥15个</w:t>
            </w:r>
          </w:p>
        </w:tc>
        <w:tc>
          <w:tcPr>
            <w:tcW w:w="1276" w:type="dxa"/>
            <w:vAlign w:val="center"/>
          </w:tcPr>
          <w:p>
            <w:pPr>
              <w:pStyle w:val="13"/>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扫黑除恶短信宣传内容达标率</w:t>
            </w:r>
          </w:p>
        </w:tc>
        <w:tc>
          <w:tcPr>
            <w:tcW w:w="5386" w:type="dxa"/>
            <w:vAlign w:val="center"/>
          </w:tcPr>
          <w:p>
            <w:pPr>
              <w:pStyle w:val="13"/>
            </w:pPr>
            <w:r>
              <w:t>反映内容达标、宣传工作数量占全部工作总数比例程度</w:t>
            </w:r>
          </w:p>
        </w:tc>
        <w:tc>
          <w:tcPr>
            <w:tcW w:w="2268" w:type="dxa"/>
            <w:vAlign w:val="center"/>
          </w:tcPr>
          <w:p>
            <w:pPr>
              <w:pStyle w:val="13"/>
            </w:pPr>
            <w:r>
              <w:t>≥95%</w:t>
            </w:r>
          </w:p>
        </w:tc>
        <w:tc>
          <w:tcPr>
            <w:tcW w:w="1276" w:type="dxa"/>
            <w:vAlign w:val="center"/>
          </w:tcPr>
          <w:p>
            <w:pPr>
              <w:pStyle w:val="13"/>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扫黑除恶工作及时率</w:t>
            </w:r>
          </w:p>
        </w:tc>
        <w:tc>
          <w:tcPr>
            <w:tcW w:w="5386" w:type="dxa"/>
            <w:vAlign w:val="center"/>
          </w:tcPr>
          <w:p>
            <w:pPr>
              <w:pStyle w:val="13"/>
            </w:pPr>
            <w:r>
              <w:t>反映全区扫黑除恶上访案件处理及时程度</w:t>
            </w:r>
          </w:p>
        </w:tc>
        <w:tc>
          <w:tcPr>
            <w:tcW w:w="2268" w:type="dxa"/>
            <w:vAlign w:val="center"/>
          </w:tcPr>
          <w:p>
            <w:pPr>
              <w:pStyle w:val="13"/>
            </w:pPr>
            <w:r>
              <w:t>≥95%</w:t>
            </w:r>
          </w:p>
        </w:tc>
        <w:tc>
          <w:tcPr>
            <w:tcW w:w="1276" w:type="dxa"/>
            <w:vAlign w:val="center"/>
          </w:tcPr>
          <w:p>
            <w:pPr>
              <w:pStyle w:val="13"/>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扫黑除恶短信宣传及时率</w:t>
            </w:r>
          </w:p>
        </w:tc>
        <w:tc>
          <w:tcPr>
            <w:tcW w:w="5386" w:type="dxa"/>
            <w:vAlign w:val="center"/>
          </w:tcPr>
          <w:p>
            <w:pPr>
              <w:pStyle w:val="13"/>
            </w:pPr>
            <w:r>
              <w:t>反映全区接收扫黑除恶短信及时程度</w:t>
            </w:r>
          </w:p>
        </w:tc>
        <w:tc>
          <w:tcPr>
            <w:tcW w:w="2268" w:type="dxa"/>
            <w:vAlign w:val="center"/>
          </w:tcPr>
          <w:p>
            <w:pPr>
              <w:pStyle w:val="13"/>
            </w:pPr>
            <w:r>
              <w:t>≥95%</w:t>
            </w:r>
          </w:p>
        </w:tc>
        <w:tc>
          <w:tcPr>
            <w:tcW w:w="1276" w:type="dxa"/>
            <w:vAlign w:val="center"/>
          </w:tcPr>
          <w:p>
            <w:pPr>
              <w:pStyle w:val="13"/>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反映“扫黑除恶”制作宣传费支出情况</w:t>
            </w:r>
          </w:p>
        </w:tc>
        <w:tc>
          <w:tcPr>
            <w:tcW w:w="2268" w:type="dxa"/>
            <w:vAlign w:val="center"/>
          </w:tcPr>
          <w:p>
            <w:pPr>
              <w:pStyle w:val="13"/>
            </w:pPr>
            <w:r>
              <w:t>8万元</w:t>
            </w:r>
          </w:p>
        </w:tc>
        <w:tc>
          <w:tcPr>
            <w:tcW w:w="1276" w:type="dxa"/>
            <w:vAlign w:val="center"/>
          </w:tcPr>
          <w:p>
            <w:pPr>
              <w:pStyle w:val="13"/>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反映“扫黑除恶”上访案件及舆情处置费用支出情况</w:t>
            </w:r>
          </w:p>
        </w:tc>
        <w:tc>
          <w:tcPr>
            <w:tcW w:w="2268" w:type="dxa"/>
            <w:vAlign w:val="center"/>
          </w:tcPr>
          <w:p>
            <w:pPr>
              <w:pStyle w:val="13"/>
            </w:pPr>
            <w:r>
              <w:t>12万元</w:t>
            </w:r>
          </w:p>
        </w:tc>
        <w:tc>
          <w:tcPr>
            <w:tcW w:w="1276" w:type="dxa"/>
            <w:vAlign w:val="center"/>
          </w:tcPr>
          <w:p>
            <w:pPr>
              <w:pStyle w:val="13"/>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社会稳定度</w:t>
            </w:r>
          </w:p>
        </w:tc>
        <w:tc>
          <w:tcPr>
            <w:tcW w:w="5386" w:type="dxa"/>
            <w:vAlign w:val="center"/>
          </w:tcPr>
          <w:p>
            <w:pPr>
              <w:pStyle w:val="13"/>
            </w:pPr>
            <w:r>
              <w:t>反映扫黑除恶宣传工作效果程度</w:t>
            </w:r>
          </w:p>
        </w:tc>
        <w:tc>
          <w:tcPr>
            <w:tcW w:w="2268" w:type="dxa"/>
            <w:vAlign w:val="center"/>
          </w:tcPr>
          <w:p>
            <w:pPr>
              <w:pStyle w:val="13"/>
            </w:pPr>
            <w:r>
              <w:t>≥95%</w:t>
            </w:r>
          </w:p>
        </w:tc>
        <w:tc>
          <w:tcPr>
            <w:tcW w:w="1276" w:type="dxa"/>
            <w:vAlign w:val="center"/>
          </w:tcPr>
          <w:p>
            <w:pPr>
              <w:pStyle w:val="13"/>
            </w:pPr>
            <w:r>
              <w:t>《中共徐水县委、徐水县人民政府关于建立维护稳定工作“十项机制的意见”》徐发【2008】30号及项目实施计划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群众对社会稳定满意度</w:t>
            </w:r>
          </w:p>
        </w:tc>
        <w:tc>
          <w:tcPr>
            <w:tcW w:w="5386" w:type="dxa"/>
            <w:vAlign w:val="center"/>
          </w:tcPr>
          <w:p>
            <w:pPr>
              <w:pStyle w:val="13"/>
            </w:pPr>
            <w:r>
              <w:t>群众对社会稳定满意度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216中共保定市徐水区委政法委员会</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2.30</w:t>
            </w:r>
          </w:p>
        </w:tc>
        <w:tc>
          <w:tcPr>
            <w:tcW w:w="964" w:type="dxa"/>
            <w:vAlign w:val="center"/>
          </w:tcPr>
          <w:p>
            <w:pPr>
              <w:pStyle w:val="16"/>
            </w:pPr>
            <w:r>
              <w:t>2.30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中共保定市徐水区委政法委员会本级小计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2.30</w:t>
            </w:r>
          </w:p>
        </w:tc>
        <w:tc>
          <w:tcPr>
            <w:tcW w:w="964" w:type="dxa"/>
            <w:vAlign w:val="center"/>
          </w:tcPr>
          <w:p>
            <w:pPr>
              <w:pStyle w:val="16"/>
            </w:pPr>
            <w:r>
              <w:t>2.30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8.15</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0.55</w:t>
            </w:r>
          </w:p>
        </w:tc>
        <w:tc>
          <w:tcPr>
            <w:tcW w:w="964" w:type="dxa"/>
            <w:vAlign w:val="center"/>
          </w:tcPr>
          <w:p>
            <w:pPr>
              <w:pStyle w:val="12"/>
            </w:pPr>
            <w:r>
              <w:t>0.55</w:t>
            </w:r>
          </w:p>
        </w:tc>
        <w:tc>
          <w:tcPr>
            <w:tcW w:w="964" w:type="dxa"/>
            <w:vAlign w:val="center"/>
          </w:tcPr>
          <w:p>
            <w:pPr>
              <w:pStyle w:val="12"/>
            </w:pPr>
            <w:r>
              <w:t>0.55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8.15</w:t>
            </w:r>
          </w:p>
        </w:tc>
        <w:tc>
          <w:tcPr>
            <w:tcW w:w="1134" w:type="dxa"/>
            <w:vAlign w:val="center"/>
          </w:tcPr>
          <w:p>
            <w:pPr>
              <w:pStyle w:val="13"/>
            </w:pPr>
            <w:r>
              <w:t>其他商业保险服务</w:t>
            </w:r>
          </w:p>
        </w:tc>
        <w:tc>
          <w:tcPr>
            <w:tcW w:w="1134" w:type="dxa"/>
            <w:vAlign w:val="center"/>
          </w:tcPr>
          <w:p>
            <w:pPr>
              <w:pStyle w:val="13"/>
            </w:pPr>
            <w:r>
              <w:t>C18040199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8.15</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8.15</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中共保定市徐水区委政法委员会（含所属单位）上年末固定资产金额为99.00万元（详见下表）。本年度拟购置固定资产总额为0.00万元，已按要求列入政府采购预算，详见政府采购预算表。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216中共保定市徐水区委政法委员会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22.68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225</w:t>
            </w:r>
          </w:p>
        </w:tc>
        <w:tc>
          <w:tcPr>
            <w:tcW w:w="2835" w:type="dxa"/>
            <w:vAlign w:val="center"/>
          </w:tcPr>
          <w:p>
            <w:pPr>
              <w:pStyle w:val="12"/>
            </w:pPr>
            <w:r>
              <w:t>76.32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4154"/>
    <w:rsid w:val="09D9700A"/>
    <w:rsid w:val="0D042D8B"/>
    <w:rsid w:val="11484C23"/>
    <w:rsid w:val="1704078A"/>
    <w:rsid w:val="1A0B4985"/>
    <w:rsid w:val="1C20627B"/>
    <w:rsid w:val="1EAB704A"/>
    <w:rsid w:val="28140AEC"/>
    <w:rsid w:val="2D336C39"/>
    <w:rsid w:val="34A03EA1"/>
    <w:rsid w:val="372F5CD0"/>
    <w:rsid w:val="37E913DE"/>
    <w:rsid w:val="45BB044F"/>
    <w:rsid w:val="571A2733"/>
    <w:rsid w:val="5BCF5345"/>
    <w:rsid w:val="66D130B9"/>
    <w:rsid w:val="67932FA0"/>
    <w:rsid w:val="6A1507AC"/>
    <w:rsid w:val="713B53DE"/>
    <w:rsid w:val="71A81262"/>
    <w:rsid w:val="7F3A30C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TotalTime>174</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2026-03-04T10:04:00Z</dcterms:created>
  <dc:creator>Administrator</dc:creator>
  <cp:lastModifiedBy>user</cp:lastModifiedBy>
  <dcterms:modified xsi:type="dcterms:W3CDTF">2026-03-09T08:08:04Z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FB76A5940BB1401AA0E41BF3888E6EB6</vt:lpwstr>
  </property>
</Properties>
</file>