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3899.30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385.19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3653.88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3899.30</w:t>
            </w:r>
          </w:p>
        </w:tc>
        <w:tc>
          <w:tcPr>
            <w:tcW w:w="4535" w:type="dxa"/>
            <w:vAlign w:val="center"/>
          </w:tcPr>
          <w:p>
            <w:pPr>
              <w:pStyle w:val="15"/>
            </w:pPr>
            <w:r>
              <w:t>本年支出合计</w:t>
            </w:r>
          </w:p>
        </w:tc>
        <w:tc>
          <w:tcPr>
            <w:tcW w:w="2126" w:type="dxa"/>
            <w:vAlign w:val="center"/>
          </w:tcPr>
          <w:p>
            <w:pPr>
              <w:pStyle w:val="16"/>
            </w:pPr>
            <w:r>
              <w:t>4425.24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525.95</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4425.24</w:t>
            </w:r>
          </w:p>
        </w:tc>
        <w:tc>
          <w:tcPr>
            <w:tcW w:w="4535" w:type="dxa"/>
            <w:vAlign w:val="center"/>
          </w:tcPr>
          <w:p>
            <w:pPr>
              <w:pStyle w:val="15"/>
            </w:pPr>
            <w:r>
              <w:t>支出总计</w:t>
            </w:r>
          </w:p>
        </w:tc>
        <w:tc>
          <w:tcPr>
            <w:tcW w:w="2126" w:type="dxa"/>
            <w:vAlign w:val="center"/>
          </w:tcPr>
          <w:p>
            <w:pPr>
              <w:pStyle w:val="16"/>
            </w:pPr>
            <w:r>
              <w:t>4425.24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4425.24</w:t>
            </w:r>
          </w:p>
        </w:tc>
        <w:tc>
          <w:tcPr>
            <w:tcW w:w="1134" w:type="dxa"/>
            <w:vAlign w:val="center"/>
          </w:tcPr>
          <w:p>
            <w:pPr>
              <w:pStyle w:val="16"/>
            </w:pPr>
            <w:r>
              <w:t>3899.30</w:t>
            </w:r>
          </w:p>
        </w:tc>
        <w:tc>
          <w:tcPr>
            <w:tcW w:w="1134" w:type="dxa"/>
            <w:vAlign w:val="center"/>
          </w:tcPr>
          <w:p>
            <w:pPr>
              <w:pStyle w:val="16"/>
            </w:pPr>
            <w:r>
              <w:t>3899.30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525.95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385.19</w:t>
            </w:r>
          </w:p>
        </w:tc>
        <w:tc>
          <w:tcPr>
            <w:tcW w:w="1134" w:type="dxa"/>
            <w:vAlign w:val="center"/>
          </w:tcPr>
          <w:p>
            <w:pPr>
              <w:pStyle w:val="12"/>
            </w:pPr>
            <w:r>
              <w:t>385.19</w:t>
            </w:r>
          </w:p>
        </w:tc>
        <w:tc>
          <w:tcPr>
            <w:tcW w:w="1134" w:type="dxa"/>
            <w:vAlign w:val="center"/>
          </w:tcPr>
          <w:p>
            <w:pPr>
              <w:pStyle w:val="12"/>
            </w:pPr>
            <w:r>
              <w:t>385.19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385.19</w:t>
            </w:r>
          </w:p>
        </w:tc>
        <w:tc>
          <w:tcPr>
            <w:tcW w:w="1134" w:type="dxa"/>
            <w:vAlign w:val="center"/>
          </w:tcPr>
          <w:p>
            <w:pPr>
              <w:pStyle w:val="12"/>
            </w:pPr>
            <w:r>
              <w:t>385.19</w:t>
            </w:r>
          </w:p>
        </w:tc>
        <w:tc>
          <w:tcPr>
            <w:tcW w:w="1134" w:type="dxa"/>
            <w:vAlign w:val="center"/>
          </w:tcPr>
          <w:p>
            <w:pPr>
              <w:pStyle w:val="12"/>
            </w:pPr>
            <w:r>
              <w:t>385.19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55.60</w:t>
            </w:r>
          </w:p>
        </w:tc>
        <w:tc>
          <w:tcPr>
            <w:tcW w:w="1134" w:type="dxa"/>
            <w:vAlign w:val="center"/>
          </w:tcPr>
          <w:p>
            <w:pPr>
              <w:pStyle w:val="12"/>
            </w:pPr>
            <w:r>
              <w:t>55.60</w:t>
            </w:r>
          </w:p>
        </w:tc>
        <w:tc>
          <w:tcPr>
            <w:tcW w:w="1134" w:type="dxa"/>
            <w:vAlign w:val="center"/>
          </w:tcPr>
          <w:p>
            <w:pPr>
              <w:pStyle w:val="12"/>
            </w:pPr>
            <w:r>
              <w:t>55.60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136.54</w:t>
            </w:r>
          </w:p>
        </w:tc>
        <w:tc>
          <w:tcPr>
            <w:tcW w:w="1134" w:type="dxa"/>
            <w:vAlign w:val="center"/>
          </w:tcPr>
          <w:p>
            <w:pPr>
              <w:pStyle w:val="12"/>
            </w:pPr>
            <w:r>
              <w:t>136.54</w:t>
            </w:r>
          </w:p>
        </w:tc>
        <w:tc>
          <w:tcPr>
            <w:tcW w:w="1134" w:type="dxa"/>
            <w:vAlign w:val="center"/>
          </w:tcPr>
          <w:p>
            <w:pPr>
              <w:pStyle w:val="12"/>
            </w:pPr>
            <w:r>
              <w:t>136.54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193.05</w:t>
            </w:r>
          </w:p>
        </w:tc>
        <w:tc>
          <w:tcPr>
            <w:tcW w:w="1134" w:type="dxa"/>
            <w:vAlign w:val="center"/>
          </w:tcPr>
          <w:p>
            <w:pPr>
              <w:pStyle w:val="12"/>
            </w:pPr>
            <w:r>
              <w:t>193.05</w:t>
            </w:r>
          </w:p>
        </w:tc>
        <w:tc>
          <w:tcPr>
            <w:tcW w:w="1134" w:type="dxa"/>
            <w:vAlign w:val="center"/>
          </w:tcPr>
          <w:p>
            <w:pPr>
              <w:pStyle w:val="12"/>
            </w:pPr>
            <w:r>
              <w:t>193.05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r>
              <w:t>65.06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3653.88</w:t>
            </w:r>
          </w:p>
        </w:tc>
        <w:tc>
          <w:tcPr>
            <w:tcW w:w="1134" w:type="dxa"/>
            <w:vAlign w:val="center"/>
          </w:tcPr>
          <w:p>
            <w:pPr>
              <w:pStyle w:val="12"/>
            </w:pPr>
            <w:r>
              <w:t>3291.09</w:t>
            </w:r>
          </w:p>
        </w:tc>
        <w:tc>
          <w:tcPr>
            <w:tcW w:w="1134" w:type="dxa"/>
            <w:vAlign w:val="center"/>
          </w:tcPr>
          <w:p>
            <w:pPr>
              <w:pStyle w:val="12"/>
            </w:pPr>
            <w:r>
              <w:t>3291.09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3384.09</w:t>
            </w:r>
          </w:p>
        </w:tc>
        <w:tc>
          <w:tcPr>
            <w:tcW w:w="1134" w:type="dxa"/>
            <w:vAlign w:val="center"/>
          </w:tcPr>
          <w:p>
            <w:pPr>
              <w:pStyle w:val="12"/>
            </w:pPr>
            <w:r>
              <w:t>3291.09</w:t>
            </w:r>
          </w:p>
        </w:tc>
        <w:tc>
          <w:tcPr>
            <w:tcW w:w="1134" w:type="dxa"/>
            <w:vAlign w:val="center"/>
          </w:tcPr>
          <w:p>
            <w:pPr>
              <w:pStyle w:val="12"/>
            </w:pPr>
            <w:r>
              <w:t>3291.09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399.34</w:t>
            </w:r>
          </w:p>
        </w:tc>
        <w:tc>
          <w:tcPr>
            <w:tcW w:w="1134" w:type="dxa"/>
            <w:vAlign w:val="center"/>
          </w:tcPr>
          <w:p>
            <w:pPr>
              <w:pStyle w:val="12"/>
            </w:pPr>
            <w:r>
              <w:t>399.34</w:t>
            </w:r>
          </w:p>
        </w:tc>
        <w:tc>
          <w:tcPr>
            <w:tcW w:w="1134" w:type="dxa"/>
            <w:vAlign w:val="center"/>
          </w:tcPr>
          <w:p>
            <w:pPr>
              <w:pStyle w:val="12"/>
            </w:pPr>
            <w:r>
              <w:t>399.34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2140104</w:t>
            </w:r>
          </w:p>
        </w:tc>
        <w:tc>
          <w:tcPr>
            <w:tcW w:w="1559" w:type="dxa"/>
            <w:vAlign w:val="center"/>
          </w:tcPr>
          <w:p>
            <w:pPr>
              <w:pStyle w:val="13"/>
            </w:pPr>
            <w:r>
              <w:t>公路建设</w:t>
            </w:r>
          </w:p>
        </w:tc>
        <w:tc>
          <w:tcPr>
            <w:tcW w:w="1134" w:type="dxa"/>
            <w:vAlign w:val="center"/>
          </w:tcPr>
          <w:p>
            <w:pPr>
              <w:pStyle w:val="12"/>
            </w:pPr>
            <w:r>
              <w:t>1329.00</w:t>
            </w:r>
          </w:p>
        </w:tc>
        <w:tc>
          <w:tcPr>
            <w:tcW w:w="1134" w:type="dxa"/>
            <w:vAlign w:val="center"/>
          </w:tcPr>
          <w:p>
            <w:pPr>
              <w:pStyle w:val="12"/>
            </w:pPr>
            <w:r>
              <w:t>1329.00</w:t>
            </w:r>
          </w:p>
        </w:tc>
        <w:tc>
          <w:tcPr>
            <w:tcW w:w="1134" w:type="dxa"/>
            <w:vAlign w:val="center"/>
          </w:tcPr>
          <w:p>
            <w:pPr>
              <w:pStyle w:val="12"/>
            </w:pPr>
            <w:r>
              <w:t>1329.00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284.00</w:t>
            </w:r>
          </w:p>
        </w:tc>
        <w:tc>
          <w:tcPr>
            <w:tcW w:w="1134" w:type="dxa"/>
            <w:vAlign w:val="center"/>
          </w:tcPr>
          <w:p>
            <w:pPr>
              <w:pStyle w:val="12"/>
            </w:pPr>
            <w:r>
              <w:t>191.00</w:t>
            </w:r>
          </w:p>
        </w:tc>
        <w:tc>
          <w:tcPr>
            <w:tcW w:w="1134" w:type="dxa"/>
            <w:vAlign w:val="center"/>
          </w:tcPr>
          <w:p>
            <w:pPr>
              <w:pStyle w:val="12"/>
            </w:pPr>
            <w:r>
              <w:t>191.00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1357.20</w:t>
            </w:r>
          </w:p>
        </w:tc>
        <w:tc>
          <w:tcPr>
            <w:tcW w:w="1134" w:type="dxa"/>
            <w:vAlign w:val="center"/>
          </w:tcPr>
          <w:p>
            <w:pPr>
              <w:pStyle w:val="12"/>
            </w:pPr>
            <w:r>
              <w:t>1357.20</w:t>
            </w:r>
          </w:p>
        </w:tc>
        <w:tc>
          <w:tcPr>
            <w:tcW w:w="1134" w:type="dxa"/>
            <w:vAlign w:val="center"/>
          </w:tcPr>
          <w:p>
            <w:pPr>
              <w:pStyle w:val="12"/>
            </w:pPr>
            <w:r>
              <w:t>1357.20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269.79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269.79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r>
              <w:t>157.96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163.16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163.16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2240704</w:t>
            </w:r>
          </w:p>
        </w:tc>
        <w:tc>
          <w:tcPr>
            <w:tcW w:w="1559" w:type="dxa"/>
            <w:vAlign w:val="center"/>
          </w:tcPr>
          <w:p>
            <w:pPr>
              <w:pStyle w:val="13"/>
            </w:pPr>
            <w:r>
              <w:t>自然灾害灾后重建补助</w:t>
            </w:r>
          </w:p>
        </w:tc>
        <w:tc>
          <w:tcPr>
            <w:tcW w:w="1134" w:type="dxa"/>
            <w:vAlign w:val="center"/>
          </w:tcPr>
          <w:p>
            <w:pPr>
              <w:pStyle w:val="12"/>
            </w:pPr>
            <w:r>
              <w:t>163.16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163.16</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4425.24</w:t>
            </w:r>
          </w:p>
        </w:tc>
        <w:tc>
          <w:tcPr>
            <w:tcW w:w="1361" w:type="dxa"/>
            <w:vAlign w:val="center"/>
          </w:tcPr>
          <w:p>
            <w:pPr>
              <w:pStyle w:val="16"/>
            </w:pPr>
            <w:r>
              <w:t>2364.75</w:t>
            </w:r>
          </w:p>
        </w:tc>
        <w:tc>
          <w:tcPr>
            <w:tcW w:w="1361" w:type="dxa"/>
            <w:vAlign w:val="center"/>
          </w:tcPr>
          <w:p>
            <w:pPr>
              <w:pStyle w:val="16"/>
            </w:pPr>
            <w:r>
              <w:t>2060.50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385.19</w:t>
            </w:r>
          </w:p>
        </w:tc>
        <w:tc>
          <w:tcPr>
            <w:tcW w:w="1361" w:type="dxa"/>
            <w:vAlign w:val="center"/>
          </w:tcPr>
          <w:p>
            <w:pPr>
              <w:pStyle w:val="12"/>
            </w:pPr>
            <w:r>
              <w:t>385.19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385.19</w:t>
            </w:r>
          </w:p>
        </w:tc>
        <w:tc>
          <w:tcPr>
            <w:tcW w:w="1361" w:type="dxa"/>
            <w:vAlign w:val="center"/>
          </w:tcPr>
          <w:p>
            <w:pPr>
              <w:pStyle w:val="12"/>
            </w:pPr>
            <w:r>
              <w:t>385.19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55.60</w:t>
            </w:r>
          </w:p>
        </w:tc>
        <w:tc>
          <w:tcPr>
            <w:tcW w:w="1361" w:type="dxa"/>
            <w:vAlign w:val="center"/>
          </w:tcPr>
          <w:p>
            <w:pPr>
              <w:pStyle w:val="12"/>
            </w:pPr>
            <w:r>
              <w:t>55.60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136.54</w:t>
            </w:r>
          </w:p>
        </w:tc>
        <w:tc>
          <w:tcPr>
            <w:tcW w:w="1361" w:type="dxa"/>
            <w:vAlign w:val="center"/>
          </w:tcPr>
          <w:p>
            <w:pPr>
              <w:pStyle w:val="12"/>
            </w:pPr>
            <w:r>
              <w:t>136.54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193.05</w:t>
            </w:r>
          </w:p>
        </w:tc>
        <w:tc>
          <w:tcPr>
            <w:tcW w:w="1361" w:type="dxa"/>
            <w:vAlign w:val="center"/>
          </w:tcPr>
          <w:p>
            <w:pPr>
              <w:pStyle w:val="12"/>
            </w:pPr>
            <w:r>
              <w:t>193.05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65.06</w:t>
            </w:r>
          </w:p>
        </w:tc>
        <w:tc>
          <w:tcPr>
            <w:tcW w:w="1361" w:type="dxa"/>
            <w:vAlign w:val="center"/>
          </w:tcPr>
          <w:p>
            <w:pPr>
              <w:pStyle w:val="12"/>
            </w:pPr>
            <w:r>
              <w:t>65.06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65.06</w:t>
            </w:r>
          </w:p>
        </w:tc>
        <w:tc>
          <w:tcPr>
            <w:tcW w:w="1361" w:type="dxa"/>
            <w:vAlign w:val="center"/>
          </w:tcPr>
          <w:p>
            <w:pPr>
              <w:pStyle w:val="12"/>
            </w:pPr>
            <w:r>
              <w:t>65.06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65.06</w:t>
            </w:r>
          </w:p>
        </w:tc>
        <w:tc>
          <w:tcPr>
            <w:tcW w:w="1361" w:type="dxa"/>
            <w:vAlign w:val="center"/>
          </w:tcPr>
          <w:p>
            <w:pPr>
              <w:pStyle w:val="12"/>
            </w:pPr>
            <w:r>
              <w:t>65.06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3653.88</w:t>
            </w:r>
          </w:p>
        </w:tc>
        <w:tc>
          <w:tcPr>
            <w:tcW w:w="1361" w:type="dxa"/>
            <w:vAlign w:val="center"/>
          </w:tcPr>
          <w:p>
            <w:pPr>
              <w:pStyle w:val="12"/>
            </w:pPr>
            <w:r>
              <w:t>1756.54</w:t>
            </w:r>
          </w:p>
        </w:tc>
        <w:tc>
          <w:tcPr>
            <w:tcW w:w="1361" w:type="dxa"/>
            <w:vAlign w:val="center"/>
          </w:tcPr>
          <w:p>
            <w:pPr>
              <w:pStyle w:val="12"/>
            </w:pPr>
            <w:r>
              <w:t>1897.34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3384.09</w:t>
            </w:r>
          </w:p>
        </w:tc>
        <w:tc>
          <w:tcPr>
            <w:tcW w:w="1361" w:type="dxa"/>
            <w:vAlign w:val="center"/>
          </w:tcPr>
          <w:p>
            <w:pPr>
              <w:pStyle w:val="12"/>
            </w:pPr>
            <w:r>
              <w:t>1756.54</w:t>
            </w:r>
          </w:p>
        </w:tc>
        <w:tc>
          <w:tcPr>
            <w:tcW w:w="1361" w:type="dxa"/>
            <w:vAlign w:val="center"/>
          </w:tcPr>
          <w:p>
            <w:pPr>
              <w:pStyle w:val="12"/>
            </w:pPr>
            <w:r>
              <w:t>1627.55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2140101</w:t>
            </w:r>
          </w:p>
        </w:tc>
        <w:tc>
          <w:tcPr>
            <w:tcW w:w="4535" w:type="dxa"/>
            <w:vAlign w:val="center"/>
          </w:tcPr>
          <w:p>
            <w:pPr>
              <w:pStyle w:val="13"/>
            </w:pPr>
            <w:r>
              <w:t>行政运行</w:t>
            </w:r>
          </w:p>
        </w:tc>
        <w:tc>
          <w:tcPr>
            <w:tcW w:w="1361" w:type="dxa"/>
            <w:vAlign w:val="center"/>
          </w:tcPr>
          <w:p>
            <w:pPr>
              <w:pStyle w:val="12"/>
            </w:pPr>
            <w:r>
              <w:t>399.34</w:t>
            </w:r>
          </w:p>
        </w:tc>
        <w:tc>
          <w:tcPr>
            <w:tcW w:w="1361" w:type="dxa"/>
            <w:vAlign w:val="center"/>
          </w:tcPr>
          <w:p>
            <w:pPr>
              <w:pStyle w:val="12"/>
            </w:pPr>
            <w:r>
              <w:t>399.34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2140104</w:t>
            </w:r>
          </w:p>
        </w:tc>
        <w:tc>
          <w:tcPr>
            <w:tcW w:w="4535" w:type="dxa"/>
            <w:vAlign w:val="center"/>
          </w:tcPr>
          <w:p>
            <w:pPr>
              <w:pStyle w:val="13"/>
            </w:pPr>
            <w:r>
              <w:t>公路建设</w:t>
            </w:r>
          </w:p>
        </w:tc>
        <w:tc>
          <w:tcPr>
            <w:tcW w:w="1361" w:type="dxa"/>
            <w:vAlign w:val="center"/>
          </w:tcPr>
          <w:p>
            <w:pPr>
              <w:pStyle w:val="12"/>
            </w:pPr>
            <w:r>
              <w:t>1329.00</w:t>
            </w:r>
          </w:p>
        </w:tc>
        <w:tc>
          <w:tcPr>
            <w:tcW w:w="1361" w:type="dxa"/>
            <w:vAlign w:val="center"/>
          </w:tcPr>
          <w:p>
            <w:pPr>
              <w:pStyle w:val="12"/>
            </w:pPr>
          </w:p>
        </w:tc>
        <w:tc>
          <w:tcPr>
            <w:tcW w:w="1361" w:type="dxa"/>
            <w:vAlign w:val="center"/>
          </w:tcPr>
          <w:p>
            <w:pPr>
              <w:pStyle w:val="12"/>
            </w:pPr>
            <w:r>
              <w:t>1329.00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2140106</w:t>
            </w:r>
          </w:p>
        </w:tc>
        <w:tc>
          <w:tcPr>
            <w:tcW w:w="4535" w:type="dxa"/>
            <w:vAlign w:val="center"/>
          </w:tcPr>
          <w:p>
            <w:pPr>
              <w:pStyle w:val="13"/>
            </w:pPr>
            <w:r>
              <w:t>公路养护</w:t>
            </w:r>
          </w:p>
        </w:tc>
        <w:tc>
          <w:tcPr>
            <w:tcW w:w="1361" w:type="dxa"/>
            <w:vAlign w:val="center"/>
          </w:tcPr>
          <w:p>
            <w:pPr>
              <w:pStyle w:val="12"/>
            </w:pPr>
            <w:r>
              <w:t>284.00</w:t>
            </w:r>
          </w:p>
        </w:tc>
        <w:tc>
          <w:tcPr>
            <w:tcW w:w="1361" w:type="dxa"/>
            <w:vAlign w:val="center"/>
          </w:tcPr>
          <w:p>
            <w:pPr>
              <w:pStyle w:val="12"/>
            </w:pPr>
          </w:p>
        </w:tc>
        <w:tc>
          <w:tcPr>
            <w:tcW w:w="1361" w:type="dxa"/>
            <w:vAlign w:val="center"/>
          </w:tcPr>
          <w:p>
            <w:pPr>
              <w:pStyle w:val="12"/>
            </w:pPr>
            <w:r>
              <w:t>284.00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1357.20</w:t>
            </w:r>
          </w:p>
        </w:tc>
        <w:tc>
          <w:tcPr>
            <w:tcW w:w="1361" w:type="dxa"/>
            <w:vAlign w:val="center"/>
          </w:tcPr>
          <w:p>
            <w:pPr>
              <w:pStyle w:val="12"/>
            </w:pPr>
            <w:r>
              <w:t>1357.20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21499</w:t>
            </w:r>
          </w:p>
        </w:tc>
        <w:tc>
          <w:tcPr>
            <w:tcW w:w="4535" w:type="dxa"/>
            <w:vAlign w:val="center"/>
          </w:tcPr>
          <w:p>
            <w:pPr>
              <w:pStyle w:val="13"/>
            </w:pPr>
            <w:r>
              <w:t>其他交通运输支出</w:t>
            </w:r>
          </w:p>
        </w:tc>
        <w:tc>
          <w:tcPr>
            <w:tcW w:w="1361" w:type="dxa"/>
            <w:vAlign w:val="center"/>
          </w:tcPr>
          <w:p>
            <w:pPr>
              <w:pStyle w:val="12"/>
            </w:pPr>
            <w:r>
              <w:t>269.79</w:t>
            </w:r>
          </w:p>
        </w:tc>
        <w:tc>
          <w:tcPr>
            <w:tcW w:w="1361" w:type="dxa"/>
            <w:vAlign w:val="center"/>
          </w:tcPr>
          <w:p>
            <w:pPr>
              <w:pStyle w:val="12"/>
            </w:pPr>
          </w:p>
        </w:tc>
        <w:tc>
          <w:tcPr>
            <w:tcW w:w="1361" w:type="dxa"/>
            <w:vAlign w:val="center"/>
          </w:tcPr>
          <w:p>
            <w:pPr>
              <w:pStyle w:val="12"/>
            </w:pPr>
            <w:r>
              <w:t>269.79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2149901</w:t>
            </w:r>
          </w:p>
        </w:tc>
        <w:tc>
          <w:tcPr>
            <w:tcW w:w="4535" w:type="dxa"/>
            <w:vAlign w:val="center"/>
          </w:tcPr>
          <w:p>
            <w:pPr>
              <w:pStyle w:val="13"/>
            </w:pPr>
            <w:r>
              <w:t>公共交通运营补助</w:t>
            </w:r>
          </w:p>
        </w:tc>
        <w:tc>
          <w:tcPr>
            <w:tcW w:w="1361" w:type="dxa"/>
            <w:vAlign w:val="center"/>
          </w:tcPr>
          <w:p>
            <w:pPr>
              <w:pStyle w:val="12"/>
            </w:pPr>
            <w:r>
              <w:t>269.79</w:t>
            </w:r>
          </w:p>
        </w:tc>
        <w:tc>
          <w:tcPr>
            <w:tcW w:w="1361" w:type="dxa"/>
            <w:vAlign w:val="center"/>
          </w:tcPr>
          <w:p>
            <w:pPr>
              <w:pStyle w:val="12"/>
            </w:pPr>
          </w:p>
        </w:tc>
        <w:tc>
          <w:tcPr>
            <w:tcW w:w="1361" w:type="dxa"/>
            <w:vAlign w:val="center"/>
          </w:tcPr>
          <w:p>
            <w:pPr>
              <w:pStyle w:val="12"/>
            </w:pPr>
            <w:r>
              <w:t>269.79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157.96</w:t>
            </w:r>
          </w:p>
        </w:tc>
        <w:tc>
          <w:tcPr>
            <w:tcW w:w="1361" w:type="dxa"/>
            <w:vAlign w:val="center"/>
          </w:tcPr>
          <w:p>
            <w:pPr>
              <w:pStyle w:val="12"/>
            </w:pPr>
            <w:r>
              <w:t>157.96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157.96</w:t>
            </w:r>
          </w:p>
        </w:tc>
        <w:tc>
          <w:tcPr>
            <w:tcW w:w="1361" w:type="dxa"/>
            <w:vAlign w:val="center"/>
          </w:tcPr>
          <w:p>
            <w:pPr>
              <w:pStyle w:val="12"/>
            </w:pPr>
            <w:r>
              <w:t>157.96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157.96</w:t>
            </w:r>
          </w:p>
        </w:tc>
        <w:tc>
          <w:tcPr>
            <w:tcW w:w="1361" w:type="dxa"/>
            <w:vAlign w:val="center"/>
          </w:tcPr>
          <w:p>
            <w:pPr>
              <w:pStyle w:val="12"/>
            </w:pPr>
            <w:r>
              <w:t>157.96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2240704</w:t>
            </w:r>
          </w:p>
        </w:tc>
        <w:tc>
          <w:tcPr>
            <w:tcW w:w="4535" w:type="dxa"/>
            <w:vAlign w:val="center"/>
          </w:tcPr>
          <w:p>
            <w:pPr>
              <w:pStyle w:val="13"/>
            </w:pPr>
            <w:r>
              <w:t>自然灾害灾后重建补助</w:t>
            </w: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r>
              <w:t>163.16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3899.30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385.19</w:t>
            </w:r>
          </w:p>
        </w:tc>
        <w:tc>
          <w:tcPr>
            <w:tcW w:w="1474" w:type="dxa"/>
            <w:vAlign w:val="center"/>
          </w:tcPr>
          <w:p>
            <w:pPr>
              <w:pStyle w:val="12"/>
            </w:pPr>
            <w:r>
              <w:t>385.19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65.06</w:t>
            </w:r>
          </w:p>
        </w:tc>
        <w:tc>
          <w:tcPr>
            <w:tcW w:w="1474" w:type="dxa"/>
            <w:vAlign w:val="center"/>
          </w:tcPr>
          <w:p>
            <w:pPr>
              <w:pStyle w:val="12"/>
            </w:pPr>
            <w:r>
              <w:t>65.06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3653.88</w:t>
            </w:r>
          </w:p>
        </w:tc>
        <w:tc>
          <w:tcPr>
            <w:tcW w:w="1474" w:type="dxa"/>
            <w:vAlign w:val="center"/>
          </w:tcPr>
          <w:p>
            <w:pPr>
              <w:pStyle w:val="12"/>
            </w:pPr>
            <w:r>
              <w:t>3653.88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157.96</w:t>
            </w:r>
          </w:p>
        </w:tc>
        <w:tc>
          <w:tcPr>
            <w:tcW w:w="1474" w:type="dxa"/>
            <w:vAlign w:val="center"/>
          </w:tcPr>
          <w:p>
            <w:pPr>
              <w:pStyle w:val="12"/>
            </w:pPr>
            <w:r>
              <w:t>157.96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163.16</w:t>
            </w:r>
          </w:p>
        </w:tc>
        <w:tc>
          <w:tcPr>
            <w:tcW w:w="1474" w:type="dxa"/>
            <w:vAlign w:val="center"/>
          </w:tcPr>
          <w:p>
            <w:pPr>
              <w:pStyle w:val="12"/>
            </w:pPr>
            <w:r>
              <w:t>163.16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3899.30</w:t>
            </w:r>
          </w:p>
        </w:tc>
        <w:tc>
          <w:tcPr>
            <w:tcW w:w="3402" w:type="dxa"/>
            <w:vAlign w:val="center"/>
          </w:tcPr>
          <w:p>
            <w:pPr>
              <w:pStyle w:val="15"/>
            </w:pPr>
            <w:r>
              <w:t>本年支出合计</w:t>
            </w:r>
          </w:p>
        </w:tc>
        <w:tc>
          <w:tcPr>
            <w:tcW w:w="1474" w:type="dxa"/>
            <w:vAlign w:val="center"/>
          </w:tcPr>
          <w:p>
            <w:pPr>
              <w:pStyle w:val="16"/>
            </w:pPr>
            <w:r>
              <w:t>4425.24</w:t>
            </w:r>
          </w:p>
        </w:tc>
        <w:tc>
          <w:tcPr>
            <w:tcW w:w="1474" w:type="dxa"/>
            <w:vAlign w:val="center"/>
          </w:tcPr>
          <w:p>
            <w:pPr>
              <w:pStyle w:val="16"/>
            </w:pPr>
            <w:r>
              <w:t>4425.24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525.95</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525.95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4425.24</w:t>
            </w:r>
          </w:p>
        </w:tc>
        <w:tc>
          <w:tcPr>
            <w:tcW w:w="3402" w:type="dxa"/>
            <w:vAlign w:val="center"/>
          </w:tcPr>
          <w:p>
            <w:pPr>
              <w:pStyle w:val="15"/>
            </w:pPr>
            <w:r>
              <w:t>支出总计</w:t>
            </w:r>
          </w:p>
        </w:tc>
        <w:tc>
          <w:tcPr>
            <w:tcW w:w="1474" w:type="dxa"/>
            <w:vAlign w:val="center"/>
          </w:tcPr>
          <w:p>
            <w:pPr>
              <w:pStyle w:val="16"/>
            </w:pPr>
            <w:r>
              <w:t>4425.24</w:t>
            </w:r>
          </w:p>
        </w:tc>
        <w:tc>
          <w:tcPr>
            <w:tcW w:w="1474" w:type="dxa"/>
            <w:vAlign w:val="center"/>
          </w:tcPr>
          <w:p>
            <w:pPr>
              <w:pStyle w:val="16"/>
            </w:pPr>
            <w:r>
              <w:t>4425.24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4425.24</w:t>
            </w:r>
          </w:p>
        </w:tc>
        <w:tc>
          <w:tcPr>
            <w:tcW w:w="2551" w:type="dxa"/>
            <w:vAlign w:val="center"/>
          </w:tcPr>
          <w:p>
            <w:pPr>
              <w:pStyle w:val="16"/>
            </w:pPr>
            <w:r>
              <w:t>2364.75</w:t>
            </w:r>
          </w:p>
        </w:tc>
        <w:tc>
          <w:tcPr>
            <w:tcW w:w="2551" w:type="dxa"/>
            <w:vAlign w:val="center"/>
          </w:tcPr>
          <w:p>
            <w:pPr>
              <w:pStyle w:val="16"/>
            </w:pPr>
            <w:r>
              <w:t>2060.50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385.19</w:t>
            </w:r>
          </w:p>
        </w:tc>
        <w:tc>
          <w:tcPr>
            <w:tcW w:w="2551" w:type="dxa"/>
            <w:vAlign w:val="center"/>
          </w:tcPr>
          <w:p>
            <w:pPr>
              <w:pStyle w:val="12"/>
            </w:pPr>
            <w:r>
              <w:t>385.19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385.19</w:t>
            </w:r>
          </w:p>
        </w:tc>
        <w:tc>
          <w:tcPr>
            <w:tcW w:w="2551" w:type="dxa"/>
            <w:vAlign w:val="center"/>
          </w:tcPr>
          <w:p>
            <w:pPr>
              <w:pStyle w:val="12"/>
            </w:pPr>
            <w:r>
              <w:t>385.19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55.60</w:t>
            </w:r>
          </w:p>
        </w:tc>
        <w:tc>
          <w:tcPr>
            <w:tcW w:w="2551" w:type="dxa"/>
            <w:vAlign w:val="center"/>
          </w:tcPr>
          <w:p>
            <w:pPr>
              <w:pStyle w:val="12"/>
            </w:pPr>
            <w:r>
              <w:t>55.60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136.54</w:t>
            </w:r>
          </w:p>
        </w:tc>
        <w:tc>
          <w:tcPr>
            <w:tcW w:w="2551" w:type="dxa"/>
            <w:vAlign w:val="center"/>
          </w:tcPr>
          <w:p>
            <w:pPr>
              <w:pStyle w:val="12"/>
            </w:pPr>
            <w:r>
              <w:t>136.54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193.05</w:t>
            </w:r>
          </w:p>
        </w:tc>
        <w:tc>
          <w:tcPr>
            <w:tcW w:w="2551" w:type="dxa"/>
            <w:vAlign w:val="center"/>
          </w:tcPr>
          <w:p>
            <w:pPr>
              <w:pStyle w:val="12"/>
            </w:pPr>
            <w:r>
              <w:t>193.05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65.06</w:t>
            </w:r>
          </w:p>
        </w:tc>
        <w:tc>
          <w:tcPr>
            <w:tcW w:w="2551" w:type="dxa"/>
            <w:vAlign w:val="center"/>
          </w:tcPr>
          <w:p>
            <w:pPr>
              <w:pStyle w:val="12"/>
            </w:pPr>
            <w:r>
              <w:t>65.06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65.06</w:t>
            </w:r>
          </w:p>
        </w:tc>
        <w:tc>
          <w:tcPr>
            <w:tcW w:w="2551" w:type="dxa"/>
            <w:vAlign w:val="center"/>
          </w:tcPr>
          <w:p>
            <w:pPr>
              <w:pStyle w:val="12"/>
            </w:pPr>
            <w:r>
              <w:t>65.06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65.06</w:t>
            </w:r>
          </w:p>
        </w:tc>
        <w:tc>
          <w:tcPr>
            <w:tcW w:w="2551" w:type="dxa"/>
            <w:vAlign w:val="center"/>
          </w:tcPr>
          <w:p>
            <w:pPr>
              <w:pStyle w:val="12"/>
            </w:pPr>
            <w:r>
              <w:t>65.06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3653.88</w:t>
            </w:r>
          </w:p>
        </w:tc>
        <w:tc>
          <w:tcPr>
            <w:tcW w:w="2551" w:type="dxa"/>
            <w:vAlign w:val="center"/>
          </w:tcPr>
          <w:p>
            <w:pPr>
              <w:pStyle w:val="12"/>
            </w:pPr>
            <w:r>
              <w:t>1756.54</w:t>
            </w:r>
          </w:p>
        </w:tc>
        <w:tc>
          <w:tcPr>
            <w:tcW w:w="2551" w:type="dxa"/>
            <w:vAlign w:val="center"/>
          </w:tcPr>
          <w:p>
            <w:pPr>
              <w:pStyle w:val="12"/>
            </w:pPr>
            <w:r>
              <w:t>1897.34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3384.09</w:t>
            </w:r>
          </w:p>
        </w:tc>
        <w:tc>
          <w:tcPr>
            <w:tcW w:w="2551" w:type="dxa"/>
            <w:vAlign w:val="center"/>
          </w:tcPr>
          <w:p>
            <w:pPr>
              <w:pStyle w:val="12"/>
            </w:pPr>
            <w:r>
              <w:t>1756.54</w:t>
            </w:r>
          </w:p>
        </w:tc>
        <w:tc>
          <w:tcPr>
            <w:tcW w:w="2551" w:type="dxa"/>
            <w:vAlign w:val="center"/>
          </w:tcPr>
          <w:p>
            <w:pPr>
              <w:pStyle w:val="12"/>
            </w:pPr>
            <w:r>
              <w:t>1627.55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399.34</w:t>
            </w:r>
          </w:p>
        </w:tc>
        <w:tc>
          <w:tcPr>
            <w:tcW w:w="2551" w:type="dxa"/>
            <w:vAlign w:val="center"/>
          </w:tcPr>
          <w:p>
            <w:pPr>
              <w:pStyle w:val="12"/>
            </w:pPr>
            <w:r>
              <w:t>399.34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14.55</w:t>
            </w:r>
          </w:p>
        </w:tc>
        <w:tc>
          <w:tcPr>
            <w:tcW w:w="2551" w:type="dxa"/>
            <w:vAlign w:val="center"/>
          </w:tcPr>
          <w:p>
            <w:pPr>
              <w:pStyle w:val="12"/>
            </w:pPr>
          </w:p>
        </w:tc>
        <w:tc>
          <w:tcPr>
            <w:tcW w:w="2551"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2140104</w:t>
            </w:r>
          </w:p>
        </w:tc>
        <w:tc>
          <w:tcPr>
            <w:tcW w:w="4535" w:type="dxa"/>
            <w:vAlign w:val="center"/>
          </w:tcPr>
          <w:p>
            <w:pPr>
              <w:pStyle w:val="13"/>
            </w:pPr>
            <w:r>
              <w:t>公路建设</w:t>
            </w:r>
          </w:p>
        </w:tc>
        <w:tc>
          <w:tcPr>
            <w:tcW w:w="2551" w:type="dxa"/>
            <w:vAlign w:val="center"/>
          </w:tcPr>
          <w:p>
            <w:pPr>
              <w:pStyle w:val="12"/>
            </w:pPr>
            <w:r>
              <w:t>1329.00</w:t>
            </w:r>
          </w:p>
        </w:tc>
        <w:tc>
          <w:tcPr>
            <w:tcW w:w="2551" w:type="dxa"/>
            <w:vAlign w:val="center"/>
          </w:tcPr>
          <w:p>
            <w:pPr>
              <w:pStyle w:val="12"/>
            </w:pPr>
          </w:p>
        </w:tc>
        <w:tc>
          <w:tcPr>
            <w:tcW w:w="2551" w:type="dxa"/>
            <w:vAlign w:val="center"/>
          </w:tcPr>
          <w:p>
            <w:pPr>
              <w:pStyle w:val="12"/>
            </w:pPr>
            <w:r>
              <w:t>1329.00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284.00</w:t>
            </w:r>
          </w:p>
        </w:tc>
        <w:tc>
          <w:tcPr>
            <w:tcW w:w="2551" w:type="dxa"/>
            <w:vAlign w:val="center"/>
          </w:tcPr>
          <w:p>
            <w:pPr>
              <w:pStyle w:val="12"/>
            </w:pPr>
          </w:p>
        </w:tc>
        <w:tc>
          <w:tcPr>
            <w:tcW w:w="2551" w:type="dxa"/>
            <w:vAlign w:val="center"/>
          </w:tcPr>
          <w:p>
            <w:pPr>
              <w:pStyle w:val="12"/>
            </w:pPr>
            <w:r>
              <w:t>284.00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1357.20</w:t>
            </w:r>
          </w:p>
        </w:tc>
        <w:tc>
          <w:tcPr>
            <w:tcW w:w="2551" w:type="dxa"/>
            <w:vAlign w:val="center"/>
          </w:tcPr>
          <w:p>
            <w:pPr>
              <w:pStyle w:val="12"/>
            </w:pPr>
            <w:r>
              <w:t>1357.20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269.79</w:t>
            </w:r>
          </w:p>
        </w:tc>
        <w:tc>
          <w:tcPr>
            <w:tcW w:w="2551" w:type="dxa"/>
            <w:vAlign w:val="center"/>
          </w:tcPr>
          <w:p>
            <w:pPr>
              <w:pStyle w:val="12"/>
            </w:pPr>
          </w:p>
        </w:tc>
        <w:tc>
          <w:tcPr>
            <w:tcW w:w="2551" w:type="dxa"/>
            <w:vAlign w:val="center"/>
          </w:tcPr>
          <w:p>
            <w:pPr>
              <w:pStyle w:val="12"/>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269.79</w:t>
            </w:r>
          </w:p>
        </w:tc>
        <w:tc>
          <w:tcPr>
            <w:tcW w:w="2551" w:type="dxa"/>
            <w:vAlign w:val="center"/>
          </w:tcPr>
          <w:p>
            <w:pPr>
              <w:pStyle w:val="12"/>
            </w:pPr>
          </w:p>
        </w:tc>
        <w:tc>
          <w:tcPr>
            <w:tcW w:w="2551" w:type="dxa"/>
            <w:vAlign w:val="center"/>
          </w:tcPr>
          <w:p>
            <w:pPr>
              <w:pStyle w:val="12"/>
            </w:pPr>
            <w:r>
              <w:t>269.79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157.96</w:t>
            </w:r>
          </w:p>
        </w:tc>
        <w:tc>
          <w:tcPr>
            <w:tcW w:w="2551" w:type="dxa"/>
            <w:vAlign w:val="center"/>
          </w:tcPr>
          <w:p>
            <w:pPr>
              <w:pStyle w:val="12"/>
            </w:pPr>
            <w:r>
              <w:t>157.96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157.96</w:t>
            </w:r>
          </w:p>
        </w:tc>
        <w:tc>
          <w:tcPr>
            <w:tcW w:w="2551" w:type="dxa"/>
            <w:vAlign w:val="center"/>
          </w:tcPr>
          <w:p>
            <w:pPr>
              <w:pStyle w:val="12"/>
            </w:pPr>
            <w:r>
              <w:t>157.96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157.96</w:t>
            </w:r>
          </w:p>
        </w:tc>
        <w:tc>
          <w:tcPr>
            <w:tcW w:w="2551" w:type="dxa"/>
            <w:vAlign w:val="center"/>
          </w:tcPr>
          <w:p>
            <w:pPr>
              <w:pStyle w:val="12"/>
            </w:pPr>
            <w:r>
              <w:t>157.96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163.16</w:t>
            </w:r>
          </w:p>
        </w:tc>
        <w:tc>
          <w:tcPr>
            <w:tcW w:w="2551" w:type="dxa"/>
            <w:vAlign w:val="center"/>
          </w:tcPr>
          <w:p>
            <w:pPr>
              <w:pStyle w:val="12"/>
            </w:pPr>
          </w:p>
        </w:tc>
        <w:tc>
          <w:tcPr>
            <w:tcW w:w="2551" w:type="dxa"/>
            <w:vAlign w:val="center"/>
          </w:tcPr>
          <w:p>
            <w:pPr>
              <w:pStyle w:val="12"/>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163.16</w:t>
            </w:r>
          </w:p>
        </w:tc>
        <w:tc>
          <w:tcPr>
            <w:tcW w:w="2551" w:type="dxa"/>
            <w:vAlign w:val="center"/>
          </w:tcPr>
          <w:p>
            <w:pPr>
              <w:pStyle w:val="12"/>
            </w:pPr>
          </w:p>
        </w:tc>
        <w:tc>
          <w:tcPr>
            <w:tcW w:w="2551" w:type="dxa"/>
            <w:vAlign w:val="center"/>
          </w:tcPr>
          <w:p>
            <w:pPr>
              <w:pStyle w:val="12"/>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2240704</w:t>
            </w:r>
          </w:p>
        </w:tc>
        <w:tc>
          <w:tcPr>
            <w:tcW w:w="4535" w:type="dxa"/>
            <w:vAlign w:val="center"/>
          </w:tcPr>
          <w:p>
            <w:pPr>
              <w:pStyle w:val="13"/>
            </w:pPr>
            <w:r>
              <w:t>自然灾害灾后重建补助</w:t>
            </w:r>
          </w:p>
        </w:tc>
        <w:tc>
          <w:tcPr>
            <w:tcW w:w="2551" w:type="dxa"/>
            <w:vAlign w:val="center"/>
          </w:tcPr>
          <w:p>
            <w:pPr>
              <w:pStyle w:val="12"/>
            </w:pPr>
            <w:r>
              <w:t>163.16</w:t>
            </w:r>
          </w:p>
        </w:tc>
        <w:tc>
          <w:tcPr>
            <w:tcW w:w="2551" w:type="dxa"/>
            <w:vAlign w:val="center"/>
          </w:tcPr>
          <w:p>
            <w:pPr>
              <w:pStyle w:val="12"/>
            </w:pPr>
          </w:p>
        </w:tc>
        <w:tc>
          <w:tcPr>
            <w:tcW w:w="2551" w:type="dxa"/>
            <w:vAlign w:val="center"/>
          </w:tcPr>
          <w:p>
            <w:pPr>
              <w:pStyle w:val="12"/>
            </w:pPr>
            <w:r>
              <w:t>163.16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2364.75</w:t>
            </w:r>
          </w:p>
        </w:tc>
        <w:tc>
          <w:tcPr>
            <w:tcW w:w="2551" w:type="dxa"/>
            <w:vAlign w:val="center"/>
          </w:tcPr>
          <w:p>
            <w:pPr>
              <w:pStyle w:val="16"/>
            </w:pPr>
            <w:r>
              <w:t>2239.50</w:t>
            </w:r>
          </w:p>
        </w:tc>
        <w:tc>
          <w:tcPr>
            <w:tcW w:w="2551" w:type="dxa"/>
            <w:vAlign w:val="center"/>
          </w:tcPr>
          <w:p>
            <w:pPr>
              <w:pStyle w:val="16"/>
            </w:pPr>
            <w:r>
              <w:t>125.25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2046.17</w:t>
            </w:r>
          </w:p>
        </w:tc>
        <w:tc>
          <w:tcPr>
            <w:tcW w:w="2551" w:type="dxa"/>
            <w:vAlign w:val="center"/>
          </w:tcPr>
          <w:p>
            <w:pPr>
              <w:pStyle w:val="12"/>
            </w:pPr>
            <w:r>
              <w:t>2046.17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774.68</w:t>
            </w:r>
          </w:p>
        </w:tc>
        <w:tc>
          <w:tcPr>
            <w:tcW w:w="2551" w:type="dxa"/>
            <w:vAlign w:val="center"/>
          </w:tcPr>
          <w:p>
            <w:pPr>
              <w:pStyle w:val="12"/>
            </w:pPr>
            <w:r>
              <w:t>774.68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127.75</w:t>
            </w:r>
          </w:p>
        </w:tc>
        <w:tc>
          <w:tcPr>
            <w:tcW w:w="2551" w:type="dxa"/>
            <w:vAlign w:val="center"/>
          </w:tcPr>
          <w:p>
            <w:pPr>
              <w:pStyle w:val="12"/>
            </w:pPr>
            <w:r>
              <w:t>127.75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19.93</w:t>
            </w:r>
          </w:p>
        </w:tc>
        <w:tc>
          <w:tcPr>
            <w:tcW w:w="2551" w:type="dxa"/>
            <w:vAlign w:val="center"/>
          </w:tcPr>
          <w:p>
            <w:pPr>
              <w:pStyle w:val="12"/>
            </w:pPr>
            <w:r>
              <w:t>19.93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696.29</w:t>
            </w:r>
          </w:p>
        </w:tc>
        <w:tc>
          <w:tcPr>
            <w:tcW w:w="2551" w:type="dxa"/>
            <w:vAlign w:val="center"/>
          </w:tcPr>
          <w:p>
            <w:pPr>
              <w:pStyle w:val="12"/>
            </w:pPr>
            <w:r>
              <w:t>696.29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193.05</w:t>
            </w:r>
          </w:p>
        </w:tc>
        <w:tc>
          <w:tcPr>
            <w:tcW w:w="2551" w:type="dxa"/>
            <w:vAlign w:val="center"/>
          </w:tcPr>
          <w:p>
            <w:pPr>
              <w:pStyle w:val="12"/>
            </w:pPr>
            <w:r>
              <w:t>193.05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65.06</w:t>
            </w:r>
          </w:p>
        </w:tc>
        <w:tc>
          <w:tcPr>
            <w:tcW w:w="2551" w:type="dxa"/>
            <w:vAlign w:val="center"/>
          </w:tcPr>
          <w:p>
            <w:pPr>
              <w:pStyle w:val="12"/>
            </w:pPr>
            <w:r>
              <w:t>65.06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11.46</w:t>
            </w:r>
          </w:p>
        </w:tc>
        <w:tc>
          <w:tcPr>
            <w:tcW w:w="2551" w:type="dxa"/>
            <w:vAlign w:val="center"/>
          </w:tcPr>
          <w:p>
            <w:pPr>
              <w:pStyle w:val="12"/>
            </w:pPr>
            <w:r>
              <w:t>11.46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157.96</w:t>
            </w:r>
          </w:p>
        </w:tc>
        <w:tc>
          <w:tcPr>
            <w:tcW w:w="2551" w:type="dxa"/>
            <w:vAlign w:val="center"/>
          </w:tcPr>
          <w:p>
            <w:pPr>
              <w:pStyle w:val="12"/>
            </w:pPr>
            <w:r>
              <w:t>157.96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125.25</w:t>
            </w:r>
          </w:p>
        </w:tc>
        <w:tc>
          <w:tcPr>
            <w:tcW w:w="2551" w:type="dxa"/>
            <w:vAlign w:val="center"/>
          </w:tcPr>
          <w:p>
            <w:pPr>
              <w:pStyle w:val="12"/>
            </w:pPr>
          </w:p>
        </w:tc>
        <w:tc>
          <w:tcPr>
            <w:tcW w:w="2551" w:type="dxa"/>
            <w:vAlign w:val="center"/>
          </w:tcPr>
          <w:p>
            <w:pPr>
              <w:pStyle w:val="12"/>
            </w:pPr>
            <w:r>
              <w:t>125.25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39.89</w:t>
            </w:r>
          </w:p>
        </w:tc>
        <w:tc>
          <w:tcPr>
            <w:tcW w:w="2551" w:type="dxa"/>
            <w:vAlign w:val="center"/>
          </w:tcPr>
          <w:p>
            <w:pPr>
              <w:pStyle w:val="12"/>
            </w:pPr>
          </w:p>
        </w:tc>
        <w:tc>
          <w:tcPr>
            <w:tcW w:w="2551" w:type="dxa"/>
            <w:vAlign w:val="center"/>
          </w:tcPr>
          <w:p>
            <w:pPr>
              <w:pStyle w:val="12"/>
            </w:pPr>
            <w:r>
              <w:t>39.89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16.15</w:t>
            </w:r>
          </w:p>
        </w:tc>
        <w:tc>
          <w:tcPr>
            <w:tcW w:w="2551" w:type="dxa"/>
            <w:vAlign w:val="center"/>
          </w:tcPr>
          <w:p>
            <w:pPr>
              <w:pStyle w:val="12"/>
            </w:pPr>
          </w:p>
        </w:tc>
        <w:tc>
          <w:tcPr>
            <w:tcW w:w="2551" w:type="dxa"/>
            <w:vAlign w:val="center"/>
          </w:tcPr>
          <w:p>
            <w:pPr>
              <w:pStyle w:val="12"/>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0.28</w:t>
            </w:r>
          </w:p>
        </w:tc>
        <w:tc>
          <w:tcPr>
            <w:tcW w:w="2551" w:type="dxa"/>
            <w:vAlign w:val="center"/>
          </w:tcPr>
          <w:p>
            <w:pPr>
              <w:pStyle w:val="12"/>
            </w:pPr>
          </w:p>
        </w:tc>
        <w:tc>
          <w:tcPr>
            <w:tcW w:w="2551" w:type="dxa"/>
            <w:vAlign w:val="center"/>
          </w:tcPr>
          <w:p>
            <w:pPr>
              <w:pStyle w:val="12"/>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19.73</w:t>
            </w:r>
          </w:p>
        </w:tc>
        <w:tc>
          <w:tcPr>
            <w:tcW w:w="2551" w:type="dxa"/>
            <w:vAlign w:val="center"/>
          </w:tcPr>
          <w:p>
            <w:pPr>
              <w:pStyle w:val="12"/>
            </w:pPr>
          </w:p>
        </w:tc>
        <w:tc>
          <w:tcPr>
            <w:tcW w:w="2551" w:type="dxa"/>
            <w:vAlign w:val="center"/>
          </w:tcPr>
          <w:p>
            <w:pPr>
              <w:pStyle w:val="12"/>
            </w:pPr>
            <w:r>
              <w:t>19.73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21.15</w:t>
            </w:r>
          </w:p>
        </w:tc>
        <w:tc>
          <w:tcPr>
            <w:tcW w:w="2551" w:type="dxa"/>
            <w:vAlign w:val="center"/>
          </w:tcPr>
          <w:p>
            <w:pPr>
              <w:pStyle w:val="12"/>
            </w:pPr>
          </w:p>
        </w:tc>
        <w:tc>
          <w:tcPr>
            <w:tcW w:w="2551" w:type="dxa"/>
            <w:vAlign w:val="center"/>
          </w:tcPr>
          <w:p>
            <w:pPr>
              <w:pStyle w:val="12"/>
            </w:pPr>
            <w:r>
              <w:t>21.15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4.62</w:t>
            </w:r>
          </w:p>
        </w:tc>
        <w:tc>
          <w:tcPr>
            <w:tcW w:w="2551" w:type="dxa"/>
            <w:vAlign w:val="center"/>
          </w:tcPr>
          <w:p>
            <w:pPr>
              <w:pStyle w:val="12"/>
            </w:pPr>
          </w:p>
        </w:tc>
        <w:tc>
          <w:tcPr>
            <w:tcW w:w="2551" w:type="dxa"/>
            <w:vAlign w:val="center"/>
          </w:tcPr>
          <w:p>
            <w:pPr>
              <w:pStyle w:val="12"/>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20.96</w:t>
            </w:r>
          </w:p>
        </w:tc>
        <w:tc>
          <w:tcPr>
            <w:tcW w:w="2551" w:type="dxa"/>
            <w:vAlign w:val="center"/>
          </w:tcPr>
          <w:p>
            <w:pPr>
              <w:pStyle w:val="12"/>
            </w:pPr>
          </w:p>
        </w:tc>
        <w:tc>
          <w:tcPr>
            <w:tcW w:w="2551" w:type="dxa"/>
            <w:vAlign w:val="center"/>
          </w:tcPr>
          <w:p>
            <w:pPr>
              <w:pStyle w:val="12"/>
            </w:pPr>
            <w:r>
              <w:t>20.96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193.33</w:t>
            </w:r>
          </w:p>
        </w:tc>
        <w:tc>
          <w:tcPr>
            <w:tcW w:w="2551" w:type="dxa"/>
            <w:vAlign w:val="center"/>
          </w:tcPr>
          <w:p>
            <w:pPr>
              <w:pStyle w:val="12"/>
            </w:pPr>
            <w:r>
              <w:t>193.33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190.43</w:t>
            </w:r>
          </w:p>
        </w:tc>
        <w:tc>
          <w:tcPr>
            <w:tcW w:w="2551" w:type="dxa"/>
            <w:vAlign w:val="center"/>
          </w:tcPr>
          <w:p>
            <w:pPr>
              <w:pStyle w:val="12"/>
            </w:pPr>
            <w:r>
              <w:t>190.43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21.43</w:t>
            </w:r>
          </w:p>
        </w:tc>
        <w:tc>
          <w:tcPr>
            <w:tcW w:w="2381" w:type="dxa"/>
            <w:vAlign w:val="center"/>
          </w:tcPr>
          <w:p>
            <w:pPr>
              <w:pStyle w:val="16"/>
            </w:pPr>
            <w:r>
              <w:t>21.43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21.43</w:t>
            </w:r>
          </w:p>
        </w:tc>
        <w:tc>
          <w:tcPr>
            <w:tcW w:w="2381" w:type="dxa"/>
            <w:vAlign w:val="center"/>
          </w:tcPr>
          <w:p>
            <w:pPr>
              <w:pStyle w:val="12"/>
            </w:pPr>
            <w:r>
              <w:t>21.43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21.15</w:t>
            </w:r>
          </w:p>
        </w:tc>
        <w:tc>
          <w:tcPr>
            <w:tcW w:w="2381" w:type="dxa"/>
            <w:vAlign w:val="center"/>
          </w:tcPr>
          <w:p>
            <w:pPr>
              <w:pStyle w:val="12"/>
            </w:pPr>
            <w:r>
              <w:t>21.15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21.15</w:t>
            </w:r>
          </w:p>
        </w:tc>
        <w:tc>
          <w:tcPr>
            <w:tcW w:w="2381" w:type="dxa"/>
            <w:vAlign w:val="center"/>
          </w:tcPr>
          <w:p>
            <w:pPr>
              <w:pStyle w:val="12"/>
            </w:pPr>
            <w:r>
              <w:t>21.15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0.28</w:t>
            </w:r>
          </w:p>
        </w:tc>
        <w:tc>
          <w:tcPr>
            <w:tcW w:w="2381" w:type="dxa"/>
            <w:vAlign w:val="center"/>
          </w:tcPr>
          <w:p>
            <w:pPr>
              <w:pStyle w:val="12"/>
            </w:pPr>
            <w:r>
              <w:t>0.28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保定市交通运输局徐水区分局2026年部门预算信息公开情况说明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保定市交通运输局徐水区分局2026年部门预算信息公开情况说明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按照《中华人民共和国预算法》、《地方预决算公开操作规程》和《关于进一步推进预算公开工作的实施意见》规定，现将保定市交通运输局徐水区分局2026年部门预算公开如下：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根据保定市徐水县人民政府办公室《关于印发&lt;徐水县交通运输局主要职责、内设机构和人员编制规定&gt;的通知》（徐政办[2010]71号），现将我局部门职责概况说明如下：</w:t>
      </w:r>
    </w:p>
    <w:p>
      <w:pPr>
        <w:pStyle w:val="18"/>
      </w:pPr>
      <w:r>
        <w:t>（一）根据区总体部署，拟定全区公路、水路交通发展规划、中长期规划和年度计划。</w:t>
      </w:r>
    </w:p>
    <w:p>
      <w:pPr>
        <w:pStyle w:val="18"/>
      </w:pPr>
      <w:r>
        <w:t>（二）负责全区公路、水路的运输行业管理和运输组织管理；负责全区营业性客货运输停车站（场）的行业管理；负责全区出租汽车管理。</w:t>
      </w:r>
    </w:p>
    <w:p>
      <w:pPr>
        <w:pStyle w:val="18"/>
      </w:pPr>
      <w:r>
        <w:t>（三）会同有关部门培育和管理交通运输市场和交通基础设施建设，引导交通运输业优化结构，协调发展。</w:t>
      </w:r>
    </w:p>
    <w:p>
      <w:pPr>
        <w:pStyle w:val="18"/>
      </w:pPr>
      <w:r>
        <w:t>（四）组织县乡公路及其设施的建设、养护、管理和规费稽征；负责全区道路运输市场、汽车维修市场、车辆技术检测、汽车驾驶学校和驾驶员工作的行业管理；指导和管理城乡客、货运输的衔接协调工作。</w:t>
      </w:r>
    </w:p>
    <w:p>
      <w:pPr>
        <w:pStyle w:val="18"/>
      </w:pPr>
      <w:r>
        <w:t>（五）负责全区车辆规费稽征；负责水上港航监督、船舶检验维修、救助打捞、通信导航、船舶代理、航道和港航设施建设使用岸线的行业管理。</w:t>
      </w:r>
    </w:p>
    <w:p>
      <w:pPr>
        <w:pStyle w:val="18"/>
      </w:pPr>
      <w:r>
        <w:t>（六）指导全区交通行业体制改革和企业管理；负责局属单位国有资产管理；组织全区交通系统内部审计工作。</w:t>
      </w:r>
    </w:p>
    <w:p>
      <w:pPr>
        <w:pStyle w:val="18"/>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pPr>
        <w:pStyle w:val="18"/>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pPr>
        <w:pStyle w:val="18"/>
      </w:pPr>
      <w:r>
        <w:t>（九）指导全区交通行业涉外工作，指导利用外资。</w:t>
      </w:r>
    </w:p>
    <w:p>
      <w:pPr>
        <w:pStyle w:val="18"/>
      </w:pPr>
      <w:r>
        <w:t>（十）承办区政府交办的其他事项。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保定市交通运输局徐水区分局本级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按照预算管理有关规定，目前部门预算的编制实行综合预算管理，即全部收入和支出都反映在预算中。保定市交通运输局徐水区分局机关及所属事业单位的收支包含在部门预算中。</w:t>
      </w:r>
    </w:p>
    <w:p>
      <w:pPr>
        <w:pStyle w:val="19"/>
      </w:pPr>
      <w:r>
        <w:t>1、收入说明</w:t>
      </w:r>
    </w:p>
    <w:p>
      <w:pPr>
        <w:pStyle w:val="19"/>
      </w:pPr>
      <w:r>
        <w:t>反映本部门当年全部收入。2026年预算收入4425.24万元，其中：一般公共预算收入3899.30万元，基金预算收入0.00万元，国有资本经营预算收入0.00万元，财政专户核拨收入0.00万元，单位资金收入0.00万元，上年结转结余525.95万元。</w:t>
      </w:r>
    </w:p>
    <w:p>
      <w:pPr>
        <w:pStyle w:val="19"/>
      </w:pPr>
      <w:r>
        <w:t>2、支出说明</w:t>
      </w:r>
    </w:p>
    <w:p>
      <w:pPr>
        <w:pStyle w:val="19"/>
      </w:pPr>
      <w:r>
        <w:t>收支预算总表支出栏、基本支出表、项目支出表按经济分类和支出功能分类科目编制，反映保定市交通运输局徐水区分局年度部门预算中支出预算的总体情况。2026年支出预算4425.24万元，其中基本支出2364.75万元，包括人员经费2239.50万元和日常公用经费125.25万元；项目支出2060.50万元，主要为水毁道路修缮及重建工程国债项目省级配套资金支出、交通运输领域专项资金支出、农村公路建设养护发展专项资金支出、农村道路客运补贴、城市交通发展奖励资金支出及保安保洁项目支出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4425.24万元，较2025年预算减少39.07万元，其中：基本支出增加116.08万元，主要为在职人员工资调增致预算支出增加项目支出减少155.15万元，主要为2026年安排的农村公路建设养护项目规模及数量减少致项目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2026年，我部门机关运行经费共计安排125.25万元，主要用于日常维修、办公用房水电费、办公用房取暖费、办公用房物业管理费等日常运行支出。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21.43万元，其中因公出国（境）费0.00万元；公务用车购置及运维费21.15万元（其中：公务用车购置费为0.00万元，公务用车运维费21.15万元)；公务接待费0.28万元。与2025年相比减少0.73万元，增减变化的主要原因是根据相关政策压减“三公”支出致预算安排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1.保障道路安全畅通</w:t>
      </w:r>
    </w:p>
    <w:p>
      <w:pPr>
        <w:pStyle w:val="23"/>
      </w:pPr>
      <w: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pPr>
        <w:pStyle w:val="23"/>
      </w:pPr>
      <w:r>
        <w:t>绩效指标：完成农村公路日常养护500公里，工程质量合格率达到100%；处置危桥不低于5座，处置安防灾害隐患路段长度不低于10公里；项目实施后较长时期对区域交通状况改善明显。</w:t>
      </w:r>
    </w:p>
    <w:p>
      <w:pPr>
        <w:pStyle w:val="23"/>
      </w:pPr>
      <w:r>
        <w:t>2.优先发展城市公交</w:t>
      </w:r>
    </w:p>
    <w:p>
      <w:pPr>
        <w:pStyle w:val="23"/>
      </w:pPr>
      <w:r>
        <w:t>绩效目标：指导全区城市公交行业的管理工作，保障行业安全稳定，完成城市客运行业数据报送、城市客运行业信息报送；进一步落实我区优先发展公共交通战略。</w:t>
      </w:r>
    </w:p>
    <w:p>
      <w:pPr>
        <w:pStyle w:val="23"/>
      </w:pPr>
      <w:r>
        <w:t>绩效指标：对我区110辆新能源公交电动车进行财政补贴，资金按进度及时拨付，工作完成率为100%。</w:t>
      </w:r>
    </w:p>
    <w:p>
      <w:pPr>
        <w:pStyle w:val="23"/>
      </w:pPr>
      <w:r>
        <w:t>3.提高事务处理能力</w:t>
      </w:r>
    </w:p>
    <w:p>
      <w:pPr>
        <w:pStyle w:val="23"/>
      </w:pPr>
      <w:r>
        <w:t>绩效目标：加强后勤保障、维持机关正常运转，提高事务性管理工作水平。</w:t>
      </w:r>
    </w:p>
    <w:p>
      <w:pPr>
        <w:pStyle w:val="23"/>
      </w:pPr>
      <w:r>
        <w:t>绩效指标：及时完成保安保洁、车辆租赁费用的资金支付，工作完成率为100%，服务对象满意率达90%以上。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1.完善制度建设和内控管理</w:t>
      </w:r>
    </w:p>
    <w:p>
      <w:pPr>
        <w:pStyle w:val="24"/>
      </w:pPr>
      <w:r>
        <w:t>在局党组的坚强领导下，制定我单位预算绩效管理有关制度办法、完善财务管理规定，建立健全绩效评价领导机构和工作机构，完善内部控制制度，将事前绩效评估和绩效自评制度化，科学确定全年预算绩效目标，客观评价年度完成情况，落实有关政策要求。</w:t>
      </w:r>
    </w:p>
    <w:p>
      <w:pPr>
        <w:pStyle w:val="24"/>
      </w:pPr>
      <w:r>
        <w:t>2.加强支出和绩效管理</w:t>
      </w:r>
    </w:p>
    <w:p>
      <w:pPr>
        <w:pStyle w:val="24"/>
      </w:pPr>
      <w: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pPr>
        <w:pStyle w:val="24"/>
      </w:pPr>
      <w:r>
        <w:t>3.规范财政资金、财务资产管理</w:t>
      </w:r>
    </w:p>
    <w:p>
      <w:pPr>
        <w:pStyle w:val="24"/>
      </w:pPr>
      <w: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pPr>
        <w:pStyle w:val="24"/>
      </w:pPr>
      <w:r>
        <w:t>4.加强培训、提高业务能力，强化宣传引导</w:t>
      </w:r>
    </w:p>
    <w:p>
      <w:pPr>
        <w:pStyle w:val="24"/>
        <w:sectPr>
          <w:pgSz w:w="16840" w:h="11900" w:orient="landscape"/>
          <w:pgMar w:top="1361" w:right="1020" w:bottom="1361" w:left="1020" w:header="720" w:footer="720" w:gutter="0"/>
          <w:cols w:space="720" w:num="1"/>
        </w:sectPr>
      </w:pPr>
      <w: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1、保安保洁劳务费绩效目标表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13062526P00023210307H</w:t>
            </w:r>
          </w:p>
        </w:tc>
        <w:tc>
          <w:tcPr>
            <w:tcW w:w="2835" w:type="dxa"/>
            <w:vAlign w:val="center"/>
          </w:tcPr>
          <w:p>
            <w:pPr>
              <w:pStyle w:val="11"/>
            </w:pPr>
            <w:r>
              <w:t>项目名称</w:t>
            </w:r>
          </w:p>
        </w:tc>
        <w:tc>
          <w:tcPr>
            <w:tcW w:w="6095" w:type="dxa"/>
            <w:gridSpan w:val="3"/>
            <w:vAlign w:val="center"/>
          </w:tcPr>
          <w:p>
            <w:pPr>
              <w:pStyle w:val="13"/>
            </w:pPr>
            <w:r>
              <w:t>保安保洁劳务费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14.55</w:t>
            </w:r>
          </w:p>
        </w:tc>
        <w:tc>
          <w:tcPr>
            <w:tcW w:w="2835" w:type="dxa"/>
            <w:vAlign w:val="center"/>
          </w:tcPr>
          <w:p>
            <w:pPr>
              <w:pStyle w:val="11"/>
            </w:pPr>
            <w:r>
              <w:t>其中：财政    资金</w:t>
            </w:r>
          </w:p>
        </w:tc>
        <w:tc>
          <w:tcPr>
            <w:tcW w:w="2551" w:type="dxa"/>
            <w:vAlign w:val="center"/>
          </w:tcPr>
          <w:p>
            <w:pPr>
              <w:pStyle w:val="13"/>
            </w:pPr>
            <w:r>
              <w:t>14.55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14.55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1.解决机关运行基本保障问题。</w:t>
            </w:r>
          </w:p>
          <w:p>
            <w:pPr>
              <w:pStyle w:val="13"/>
            </w:pPr>
            <w:r>
              <w:t>2.及时向劳务派遣公司支付6人的劳务费用，保障费用支付准确。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支付派遣劳务费人员数</w:t>
            </w:r>
          </w:p>
        </w:tc>
        <w:tc>
          <w:tcPr>
            <w:tcW w:w="5386" w:type="dxa"/>
            <w:vAlign w:val="center"/>
          </w:tcPr>
          <w:p>
            <w:pPr>
              <w:pStyle w:val="13"/>
            </w:pPr>
            <w:r>
              <w:t>考察派遣劳务人员数量</w:t>
            </w:r>
          </w:p>
        </w:tc>
        <w:tc>
          <w:tcPr>
            <w:tcW w:w="2268" w:type="dxa"/>
            <w:vAlign w:val="center"/>
          </w:tcPr>
          <w:p>
            <w:pPr>
              <w:pStyle w:val="13"/>
            </w:pPr>
            <w:r>
              <w:t>6人</w:t>
            </w:r>
          </w:p>
        </w:tc>
        <w:tc>
          <w:tcPr>
            <w:tcW w:w="1276" w:type="dxa"/>
            <w:vAlign w:val="center"/>
          </w:tcPr>
          <w:p>
            <w:pPr>
              <w:pStyle w:val="13"/>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费用支付准确率</w:t>
            </w:r>
          </w:p>
        </w:tc>
        <w:tc>
          <w:tcPr>
            <w:tcW w:w="5386" w:type="dxa"/>
            <w:vAlign w:val="center"/>
          </w:tcPr>
          <w:p>
            <w:pPr>
              <w:pStyle w:val="13"/>
            </w:pPr>
            <w:r>
              <w:t>考察费用支付准确情况</w:t>
            </w:r>
          </w:p>
        </w:tc>
        <w:tc>
          <w:tcPr>
            <w:tcW w:w="2268" w:type="dxa"/>
            <w:vAlign w:val="center"/>
          </w:tcPr>
          <w:p>
            <w:pPr>
              <w:pStyle w:val="13"/>
            </w:pPr>
            <w:r>
              <w:t>100%</w:t>
            </w:r>
          </w:p>
        </w:tc>
        <w:tc>
          <w:tcPr>
            <w:tcW w:w="1276" w:type="dxa"/>
            <w:vAlign w:val="center"/>
          </w:tcPr>
          <w:p>
            <w:pPr>
              <w:pStyle w:val="13"/>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费用支付完成及时率</w:t>
            </w:r>
          </w:p>
        </w:tc>
        <w:tc>
          <w:tcPr>
            <w:tcW w:w="5386" w:type="dxa"/>
            <w:vAlign w:val="center"/>
          </w:tcPr>
          <w:p>
            <w:pPr>
              <w:pStyle w:val="13"/>
            </w:pPr>
            <w:r>
              <w:t>考察费用支付完成及时情况</w:t>
            </w:r>
          </w:p>
        </w:tc>
        <w:tc>
          <w:tcPr>
            <w:tcW w:w="2268" w:type="dxa"/>
            <w:vAlign w:val="center"/>
          </w:tcPr>
          <w:p>
            <w:pPr>
              <w:pStyle w:val="13"/>
            </w:pPr>
            <w:r>
              <w:t>≥95%</w:t>
            </w:r>
          </w:p>
        </w:tc>
        <w:tc>
          <w:tcPr>
            <w:tcW w:w="1276" w:type="dxa"/>
            <w:vAlign w:val="center"/>
          </w:tcPr>
          <w:p>
            <w:pPr>
              <w:pStyle w:val="13"/>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14.55万元</w:t>
            </w:r>
          </w:p>
        </w:tc>
        <w:tc>
          <w:tcPr>
            <w:tcW w:w="1276" w:type="dxa"/>
            <w:vAlign w:val="center"/>
          </w:tcPr>
          <w:p>
            <w:pPr>
              <w:pStyle w:val="13"/>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机关运行保障率</w:t>
            </w:r>
          </w:p>
        </w:tc>
        <w:tc>
          <w:tcPr>
            <w:tcW w:w="5386" w:type="dxa"/>
            <w:vAlign w:val="center"/>
          </w:tcPr>
          <w:p>
            <w:pPr>
              <w:pStyle w:val="13"/>
            </w:pPr>
            <w:r>
              <w:t>考察职工对保障业务正常开展的情况</w:t>
            </w:r>
          </w:p>
        </w:tc>
        <w:tc>
          <w:tcPr>
            <w:tcW w:w="2268" w:type="dxa"/>
            <w:vAlign w:val="center"/>
          </w:tcPr>
          <w:p>
            <w:pPr>
              <w:pStyle w:val="13"/>
            </w:pPr>
            <w:r>
              <w:t>≥85%</w:t>
            </w:r>
          </w:p>
        </w:tc>
        <w:tc>
          <w:tcPr>
            <w:tcW w:w="1276" w:type="dxa"/>
            <w:vAlign w:val="center"/>
          </w:tcPr>
          <w:p>
            <w:pPr>
              <w:pStyle w:val="13"/>
            </w:pPr>
            <w:r>
              <w:t>保安保洁服务合同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劳务派遣人员满意率</w:t>
            </w:r>
          </w:p>
        </w:tc>
        <w:tc>
          <w:tcPr>
            <w:tcW w:w="5386" w:type="dxa"/>
            <w:vAlign w:val="center"/>
          </w:tcPr>
          <w:p>
            <w:pPr>
              <w:pStyle w:val="13"/>
            </w:pPr>
            <w:r>
              <w:t>劳务派遣人员满意情况</w:t>
            </w:r>
          </w:p>
        </w:tc>
        <w:tc>
          <w:tcPr>
            <w:tcW w:w="2268" w:type="dxa"/>
            <w:vAlign w:val="center"/>
          </w:tcPr>
          <w:p>
            <w:pPr>
              <w:pStyle w:val="13"/>
            </w:pPr>
            <w:r>
              <w:t>≥85%</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2、保定市徐水区水毁道路修缮工程国债项目省级配套绩效目标表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13062524P00001710541F</w:t>
            </w:r>
          </w:p>
        </w:tc>
        <w:tc>
          <w:tcPr>
            <w:tcW w:w="2835" w:type="dxa"/>
            <w:vAlign w:val="center"/>
          </w:tcPr>
          <w:p>
            <w:pPr>
              <w:pStyle w:val="11"/>
            </w:pPr>
            <w:r>
              <w:t>项目名称</w:t>
            </w:r>
          </w:p>
        </w:tc>
        <w:tc>
          <w:tcPr>
            <w:tcW w:w="6095" w:type="dxa"/>
            <w:gridSpan w:val="3"/>
            <w:vAlign w:val="center"/>
          </w:tcPr>
          <w:p>
            <w:pPr>
              <w:pStyle w:val="13"/>
            </w:pPr>
            <w:r>
              <w:t>保定市徐水区水毁道路修缮工程国债项目省级配套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91.57</w:t>
            </w:r>
          </w:p>
        </w:tc>
        <w:tc>
          <w:tcPr>
            <w:tcW w:w="2835" w:type="dxa"/>
            <w:vAlign w:val="center"/>
          </w:tcPr>
          <w:p>
            <w:pPr>
              <w:pStyle w:val="11"/>
            </w:pPr>
            <w:r>
              <w:t>其中：财政    资金</w:t>
            </w:r>
          </w:p>
        </w:tc>
        <w:tc>
          <w:tcPr>
            <w:tcW w:w="2551" w:type="dxa"/>
            <w:vAlign w:val="center"/>
          </w:tcPr>
          <w:p>
            <w:pPr>
              <w:pStyle w:val="13"/>
            </w:pPr>
            <w:r>
              <w:t>91.57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保定市徐水区水毁道路修缮工程国债项目省级配套</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91.57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1.恢复重建公路里程12公里。</w:t>
            </w:r>
          </w:p>
          <w:p>
            <w:pPr>
              <w:pStyle w:val="13"/>
            </w:pPr>
            <w:r>
              <w:t>2.对路基工程、路面工程、防护工程、交叉工程、排水工程、交通安全工程等进行恢复重建，确保公路正常通行，保障人民群众出行和运输需要。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恢复重建公路里程</w:t>
            </w:r>
          </w:p>
        </w:tc>
        <w:tc>
          <w:tcPr>
            <w:tcW w:w="5386" w:type="dxa"/>
            <w:vAlign w:val="center"/>
          </w:tcPr>
          <w:p>
            <w:pPr>
              <w:pStyle w:val="13"/>
            </w:pPr>
            <w:r>
              <w:t>反映实际完成恢复重建的公路里程（不含桥梁隧道部分）</w:t>
            </w:r>
          </w:p>
        </w:tc>
        <w:tc>
          <w:tcPr>
            <w:tcW w:w="2268" w:type="dxa"/>
            <w:vAlign w:val="center"/>
          </w:tcPr>
          <w:p>
            <w:pPr>
              <w:pStyle w:val="13"/>
            </w:pPr>
            <w:r>
              <w:t>≥12公里</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恢复工程投资额完成率</w:t>
            </w:r>
          </w:p>
        </w:tc>
        <w:tc>
          <w:tcPr>
            <w:tcW w:w="5386" w:type="dxa"/>
            <w:vAlign w:val="center"/>
          </w:tcPr>
          <w:p>
            <w:pPr>
              <w:pStyle w:val="13"/>
            </w:pPr>
            <w:r>
              <w:t>反映以货币计量的恢复项目实际完成的投资额占计划投资的比率</w:t>
            </w:r>
          </w:p>
        </w:tc>
        <w:tc>
          <w:tcPr>
            <w:tcW w:w="2268" w:type="dxa"/>
            <w:vAlign w:val="center"/>
          </w:tcPr>
          <w:p>
            <w:pPr>
              <w:pStyle w:val="13"/>
            </w:pPr>
            <w:r>
              <w:t>≥90%</w:t>
            </w:r>
          </w:p>
        </w:tc>
        <w:tc>
          <w:tcPr>
            <w:tcW w:w="1276" w:type="dxa"/>
            <w:vAlign w:val="center"/>
          </w:tcPr>
          <w:p>
            <w:pPr>
              <w:pStyle w:val="13"/>
            </w:pPr>
            <w:r>
              <w:t>工程决算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项目设计变更率</w:t>
            </w:r>
          </w:p>
        </w:tc>
        <w:tc>
          <w:tcPr>
            <w:tcW w:w="5386" w:type="dxa"/>
            <w:vAlign w:val="center"/>
          </w:tcPr>
          <w:p>
            <w:pPr>
              <w:pStyle w:val="13"/>
            </w:pPr>
            <w:r>
              <w:t>反映项目设计变更金额占项目总投资的比率</w:t>
            </w:r>
          </w:p>
        </w:tc>
        <w:tc>
          <w:tcPr>
            <w:tcW w:w="2268" w:type="dxa"/>
            <w:vAlign w:val="center"/>
          </w:tcPr>
          <w:p>
            <w:pPr>
              <w:pStyle w:val="13"/>
            </w:pPr>
            <w:r>
              <w:t>≤5%</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工程按时开工率</w:t>
            </w:r>
          </w:p>
        </w:tc>
        <w:tc>
          <w:tcPr>
            <w:tcW w:w="5386" w:type="dxa"/>
            <w:vAlign w:val="center"/>
          </w:tcPr>
          <w:p>
            <w:pPr>
              <w:pStyle w:val="13"/>
            </w:pPr>
            <w:r>
              <w:t>反映项目按时开工个数占项目包中项目个数的比率；仅含一条段（或一座桥梁、一个涵洞）的项目包，本指标值为100%。</w:t>
            </w:r>
          </w:p>
        </w:tc>
        <w:tc>
          <w:tcPr>
            <w:tcW w:w="2268" w:type="dxa"/>
            <w:vAlign w:val="center"/>
          </w:tcPr>
          <w:p>
            <w:pPr>
              <w:pStyle w:val="13"/>
            </w:pPr>
            <w:r>
              <w:t>100%</w:t>
            </w:r>
          </w:p>
        </w:tc>
        <w:tc>
          <w:tcPr>
            <w:tcW w:w="1276" w:type="dxa"/>
            <w:vAlign w:val="center"/>
          </w:tcPr>
          <w:p>
            <w:pPr>
              <w:pStyle w:val="13"/>
            </w:pPr>
            <w:r>
              <w:t>开工证明资料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公路路线部分建设单公里成本（万元）</w:t>
            </w:r>
          </w:p>
        </w:tc>
        <w:tc>
          <w:tcPr>
            <w:tcW w:w="5386" w:type="dxa"/>
            <w:vAlign w:val="center"/>
          </w:tcPr>
          <w:p>
            <w:pPr>
              <w:pStyle w:val="13"/>
            </w:pPr>
            <w:r>
              <w:t>反映公路路线部分（不含桥梁隧道）建设的单公里成本</w:t>
            </w:r>
          </w:p>
        </w:tc>
        <w:tc>
          <w:tcPr>
            <w:tcW w:w="2268" w:type="dxa"/>
            <w:vAlign w:val="center"/>
          </w:tcPr>
          <w:p>
            <w:pPr>
              <w:pStyle w:val="13"/>
            </w:pPr>
            <w:r>
              <w:t>≤180万元</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恢复通行能力情况</w:t>
            </w:r>
          </w:p>
        </w:tc>
        <w:tc>
          <w:tcPr>
            <w:tcW w:w="5386" w:type="dxa"/>
            <w:vAlign w:val="center"/>
          </w:tcPr>
          <w:p>
            <w:pPr>
              <w:pStyle w:val="13"/>
            </w:pPr>
            <w:r>
              <w:t>反映恢复重建后该路段（或区域内的相关路段）通行状况</w:t>
            </w:r>
          </w:p>
        </w:tc>
        <w:tc>
          <w:tcPr>
            <w:tcW w:w="2268" w:type="dxa"/>
            <w:vAlign w:val="center"/>
          </w:tcPr>
          <w:p>
            <w:pPr>
              <w:pStyle w:val="13"/>
            </w:pPr>
            <w:r>
              <w:t>达到或超过受灾前的通行能力</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≥5年</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反映通过问卷调查受益群体满意情况</w:t>
            </w:r>
          </w:p>
        </w:tc>
        <w:tc>
          <w:tcPr>
            <w:tcW w:w="2268" w:type="dxa"/>
            <w:vAlign w:val="center"/>
          </w:tcPr>
          <w:p>
            <w:pPr>
              <w:pStyle w:val="13"/>
            </w:pPr>
            <w:r>
              <w:t>≥90%</w:t>
            </w:r>
          </w:p>
        </w:tc>
        <w:tc>
          <w:tcPr>
            <w:tcW w:w="1276" w:type="dxa"/>
            <w:vAlign w:val="center"/>
          </w:tcPr>
          <w:p>
            <w:pPr>
              <w:pStyle w:val="13"/>
            </w:pPr>
            <w:r>
              <w:t>社会满意度调查报告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3、保定市徐水区水毁公路重建工程国债项目省级配套绩效目标表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13062524P000017105423</w:t>
            </w:r>
          </w:p>
        </w:tc>
        <w:tc>
          <w:tcPr>
            <w:tcW w:w="2835" w:type="dxa"/>
            <w:vAlign w:val="center"/>
          </w:tcPr>
          <w:p>
            <w:pPr>
              <w:pStyle w:val="11"/>
            </w:pPr>
            <w:r>
              <w:t>项目名称</w:t>
            </w:r>
          </w:p>
        </w:tc>
        <w:tc>
          <w:tcPr>
            <w:tcW w:w="6095" w:type="dxa"/>
            <w:gridSpan w:val="3"/>
            <w:vAlign w:val="center"/>
          </w:tcPr>
          <w:p>
            <w:pPr>
              <w:pStyle w:val="13"/>
            </w:pPr>
            <w:r>
              <w:t>保定市徐水区水毁公路重建工程国债项目省级配套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71.59</w:t>
            </w:r>
          </w:p>
        </w:tc>
        <w:tc>
          <w:tcPr>
            <w:tcW w:w="2835" w:type="dxa"/>
            <w:vAlign w:val="center"/>
          </w:tcPr>
          <w:p>
            <w:pPr>
              <w:pStyle w:val="11"/>
            </w:pPr>
            <w:r>
              <w:t>其中：财政    资金</w:t>
            </w:r>
          </w:p>
        </w:tc>
        <w:tc>
          <w:tcPr>
            <w:tcW w:w="2551" w:type="dxa"/>
            <w:vAlign w:val="center"/>
          </w:tcPr>
          <w:p>
            <w:pPr>
              <w:pStyle w:val="13"/>
            </w:pPr>
            <w:r>
              <w:t>71.59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保定市徐水区水毁公路重建工程国债项目省级配套</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71.59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1.恢复重建公路里程13.59公里。</w:t>
            </w:r>
          </w:p>
          <w:p>
            <w:pPr>
              <w:pStyle w:val="13"/>
            </w:pPr>
            <w:r>
              <w:t>2.对水毁灾后受损的路基、路面、防护、排水及交通安全设施等进行恢复重建，确保公路正常通行，保障人民群众出行和运输需要。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恢复重建公路里程</w:t>
            </w:r>
          </w:p>
        </w:tc>
        <w:tc>
          <w:tcPr>
            <w:tcW w:w="5386" w:type="dxa"/>
            <w:vAlign w:val="center"/>
          </w:tcPr>
          <w:p>
            <w:pPr>
              <w:pStyle w:val="13"/>
            </w:pPr>
            <w:r>
              <w:t>反映实际完成恢复重建的公路里程（不含桥梁隧道部分）</w:t>
            </w:r>
          </w:p>
        </w:tc>
        <w:tc>
          <w:tcPr>
            <w:tcW w:w="2268" w:type="dxa"/>
            <w:vAlign w:val="center"/>
          </w:tcPr>
          <w:p>
            <w:pPr>
              <w:pStyle w:val="13"/>
            </w:pPr>
            <w:r>
              <w:t>≥13.9公里</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重建工程投资额完成率</w:t>
            </w:r>
          </w:p>
        </w:tc>
        <w:tc>
          <w:tcPr>
            <w:tcW w:w="5386" w:type="dxa"/>
            <w:vAlign w:val="center"/>
          </w:tcPr>
          <w:p>
            <w:pPr>
              <w:pStyle w:val="13"/>
            </w:pPr>
            <w:r>
              <w:t>反映以货币计量的重建项目实际完成的投资额占计划投资的比率</w:t>
            </w:r>
          </w:p>
        </w:tc>
        <w:tc>
          <w:tcPr>
            <w:tcW w:w="2268" w:type="dxa"/>
            <w:vAlign w:val="center"/>
          </w:tcPr>
          <w:p>
            <w:pPr>
              <w:pStyle w:val="13"/>
            </w:pPr>
            <w:r>
              <w:t>≥90%</w:t>
            </w:r>
          </w:p>
        </w:tc>
        <w:tc>
          <w:tcPr>
            <w:tcW w:w="1276" w:type="dxa"/>
            <w:vAlign w:val="center"/>
          </w:tcPr>
          <w:p>
            <w:pPr>
              <w:pStyle w:val="13"/>
            </w:pPr>
            <w:r>
              <w:t>工程决算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项目设计变更率</w:t>
            </w:r>
          </w:p>
        </w:tc>
        <w:tc>
          <w:tcPr>
            <w:tcW w:w="5386" w:type="dxa"/>
            <w:vAlign w:val="center"/>
          </w:tcPr>
          <w:p>
            <w:pPr>
              <w:pStyle w:val="13"/>
            </w:pPr>
            <w:r>
              <w:t>反映项目设计变更金额占项目总投资的比率</w:t>
            </w:r>
          </w:p>
        </w:tc>
        <w:tc>
          <w:tcPr>
            <w:tcW w:w="2268" w:type="dxa"/>
            <w:vAlign w:val="center"/>
          </w:tcPr>
          <w:p>
            <w:pPr>
              <w:pStyle w:val="13"/>
            </w:pPr>
            <w:r>
              <w:t>≤5%</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反映工程完工的具体时间</w:t>
            </w:r>
          </w:p>
        </w:tc>
        <w:tc>
          <w:tcPr>
            <w:tcW w:w="2268" w:type="dxa"/>
            <w:vAlign w:val="center"/>
          </w:tcPr>
          <w:p>
            <w:pPr>
              <w:pStyle w:val="13"/>
            </w:pPr>
            <w:r>
              <w:t>2026年12月底</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反映项目按时完工个数占项目包中项目个数的比率；仅含一条段（或一座桥梁、一个涵洞）的项目包，本指标值为100%。</w:t>
            </w:r>
          </w:p>
        </w:tc>
        <w:tc>
          <w:tcPr>
            <w:tcW w:w="2268" w:type="dxa"/>
            <w:vAlign w:val="center"/>
          </w:tcPr>
          <w:p>
            <w:pPr>
              <w:pStyle w:val="13"/>
            </w:pPr>
            <w:r>
              <w:t>100%</w:t>
            </w:r>
          </w:p>
        </w:tc>
        <w:tc>
          <w:tcPr>
            <w:tcW w:w="1276" w:type="dxa"/>
            <w:vAlign w:val="center"/>
          </w:tcPr>
          <w:p>
            <w:pPr>
              <w:pStyle w:val="13"/>
            </w:pPr>
            <w:r>
              <w:t>完工证明资料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恢复通行能力情况</w:t>
            </w:r>
          </w:p>
        </w:tc>
        <w:tc>
          <w:tcPr>
            <w:tcW w:w="5386" w:type="dxa"/>
            <w:vAlign w:val="center"/>
          </w:tcPr>
          <w:p>
            <w:pPr>
              <w:pStyle w:val="13"/>
            </w:pPr>
            <w:r>
              <w:t>反映恢复重建后该路段（或区域内的相关路段）通行状况</w:t>
            </w:r>
          </w:p>
        </w:tc>
        <w:tc>
          <w:tcPr>
            <w:tcW w:w="2268" w:type="dxa"/>
            <w:vAlign w:val="center"/>
          </w:tcPr>
          <w:p>
            <w:pPr>
              <w:pStyle w:val="13"/>
            </w:pPr>
            <w:r>
              <w:t>达到或超过受灾前的通行能力</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≥5年</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反映通过问卷调查受益群体满意情况</w:t>
            </w:r>
          </w:p>
        </w:tc>
        <w:tc>
          <w:tcPr>
            <w:tcW w:w="2268" w:type="dxa"/>
            <w:vAlign w:val="center"/>
          </w:tcPr>
          <w:p>
            <w:pPr>
              <w:pStyle w:val="13"/>
            </w:pPr>
            <w:r>
              <w:t>≥90%</w:t>
            </w:r>
          </w:p>
        </w:tc>
        <w:tc>
          <w:tcPr>
            <w:tcW w:w="1276" w:type="dxa"/>
            <w:vAlign w:val="center"/>
          </w:tcPr>
          <w:p>
            <w:pPr>
              <w:pStyle w:val="13"/>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4、提前下达2025年交通运输领域专项资金（第一批）绩效目标表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13062525P00018610001L</w:t>
            </w:r>
          </w:p>
        </w:tc>
        <w:tc>
          <w:tcPr>
            <w:tcW w:w="2835" w:type="dxa"/>
            <w:vAlign w:val="center"/>
          </w:tcPr>
          <w:p>
            <w:pPr>
              <w:pStyle w:val="11"/>
            </w:pPr>
            <w:r>
              <w:t>项目名称</w:t>
            </w:r>
          </w:p>
        </w:tc>
        <w:tc>
          <w:tcPr>
            <w:tcW w:w="6095" w:type="dxa"/>
            <w:gridSpan w:val="3"/>
            <w:vAlign w:val="center"/>
          </w:tcPr>
          <w:p>
            <w:pPr>
              <w:pStyle w:val="13"/>
            </w:pPr>
            <w:r>
              <w:t>提前下达2025年交通运输领域专项资金（第一批）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93.00</w:t>
            </w:r>
          </w:p>
        </w:tc>
        <w:tc>
          <w:tcPr>
            <w:tcW w:w="2835" w:type="dxa"/>
            <w:vAlign w:val="center"/>
          </w:tcPr>
          <w:p>
            <w:pPr>
              <w:pStyle w:val="11"/>
            </w:pPr>
            <w:r>
              <w:t>其中：财政    资金</w:t>
            </w:r>
          </w:p>
        </w:tc>
        <w:tc>
          <w:tcPr>
            <w:tcW w:w="2551" w:type="dxa"/>
            <w:vAlign w:val="center"/>
          </w:tcPr>
          <w:p>
            <w:pPr>
              <w:pStyle w:val="13"/>
            </w:pPr>
            <w:r>
              <w:t>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提前下达2025年交通运输领域专项资金（第一批）</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93.00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1.完成“十四五”现代综合交通运输体系发展规划范围内的综合交通、公路、水运等年度建设任务。</w:t>
            </w:r>
            <w:r>
              <w:tab/>
            </w:r>
            <w:r>
              <w:tab/>
            </w:r>
            <w:r>
              <w:tab/>
            </w:r>
            <w:r>
              <w:tab/>
            </w:r>
            <w:r>
              <w:tab/>
            </w:r>
            <w:r>
              <w:tab/>
            </w:r>
          </w:p>
          <w:p>
            <w:pPr>
              <w:pStyle w:val="13"/>
            </w:pPr>
          </w:p>
          <w:p>
            <w:pPr>
              <w:pStyle w:val="13"/>
            </w:pPr>
            <w:r>
              <w:t>2.建设改造农村公路13公里。</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年度建设改造农村公路里程</w:t>
            </w:r>
          </w:p>
        </w:tc>
        <w:tc>
          <w:tcPr>
            <w:tcW w:w="5386" w:type="dxa"/>
            <w:vAlign w:val="center"/>
          </w:tcPr>
          <w:p>
            <w:pPr>
              <w:pStyle w:val="13"/>
            </w:pPr>
            <w:r>
              <w:t>年度建设改造农村公路里程情况</w:t>
            </w:r>
          </w:p>
        </w:tc>
        <w:tc>
          <w:tcPr>
            <w:tcW w:w="2268" w:type="dxa"/>
            <w:vAlign w:val="center"/>
          </w:tcPr>
          <w:p>
            <w:pPr>
              <w:pStyle w:val="13"/>
            </w:pPr>
            <w:r>
              <w:t>≤13公里</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完工项目验收合格情况</w:t>
            </w:r>
          </w:p>
        </w:tc>
        <w:tc>
          <w:tcPr>
            <w:tcW w:w="2268" w:type="dxa"/>
            <w:vAlign w:val="center"/>
          </w:tcPr>
          <w:p>
            <w:pPr>
              <w:pStyle w:val="13"/>
            </w:pPr>
            <w:r>
              <w:t>100%</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按期完成投资率</w:t>
            </w:r>
          </w:p>
        </w:tc>
        <w:tc>
          <w:tcPr>
            <w:tcW w:w="5386" w:type="dxa"/>
            <w:vAlign w:val="center"/>
          </w:tcPr>
          <w:p>
            <w:pPr>
              <w:pStyle w:val="13"/>
            </w:pPr>
            <w:r>
              <w:t>按期完成投资情况</w:t>
            </w:r>
          </w:p>
        </w:tc>
        <w:tc>
          <w:tcPr>
            <w:tcW w:w="2268" w:type="dxa"/>
            <w:vAlign w:val="center"/>
          </w:tcPr>
          <w:p>
            <w:pPr>
              <w:pStyle w:val="13"/>
            </w:pPr>
            <w:r>
              <w:t>100%</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项目支出符合概算批复的标准</w:t>
            </w:r>
          </w:p>
        </w:tc>
        <w:tc>
          <w:tcPr>
            <w:tcW w:w="5386" w:type="dxa"/>
            <w:vAlign w:val="center"/>
          </w:tcPr>
          <w:p>
            <w:pPr>
              <w:pStyle w:val="13"/>
            </w:pPr>
            <w:r>
              <w:t>项目支出符合概算批复的标准情况</w:t>
            </w:r>
          </w:p>
        </w:tc>
        <w:tc>
          <w:tcPr>
            <w:tcW w:w="2268" w:type="dxa"/>
            <w:vAlign w:val="center"/>
          </w:tcPr>
          <w:p>
            <w:pPr>
              <w:pStyle w:val="13"/>
            </w:pPr>
            <w:r>
              <w:t>705万元</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对项目周边区域经济发展的促进提高率</w:t>
            </w:r>
          </w:p>
        </w:tc>
        <w:tc>
          <w:tcPr>
            <w:tcW w:w="5386" w:type="dxa"/>
            <w:vAlign w:val="center"/>
          </w:tcPr>
          <w:p>
            <w:pPr>
              <w:pStyle w:val="13"/>
            </w:pPr>
            <w:r>
              <w:t>对项目周边区域经济发展的促进提高情况</w:t>
            </w:r>
          </w:p>
        </w:tc>
        <w:tc>
          <w:tcPr>
            <w:tcW w:w="2268" w:type="dxa"/>
            <w:vAlign w:val="center"/>
          </w:tcPr>
          <w:p>
            <w:pPr>
              <w:pStyle w:val="13"/>
            </w:pPr>
            <w:r>
              <w:t>≥1.8%</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公路安全水平提升率</w:t>
            </w:r>
          </w:p>
        </w:tc>
        <w:tc>
          <w:tcPr>
            <w:tcW w:w="5386" w:type="dxa"/>
            <w:vAlign w:val="center"/>
          </w:tcPr>
          <w:p>
            <w:pPr>
              <w:pStyle w:val="13"/>
            </w:pPr>
            <w:r>
              <w:t>公路安全水平提升情况</w:t>
            </w:r>
          </w:p>
        </w:tc>
        <w:tc>
          <w:tcPr>
            <w:tcW w:w="2268" w:type="dxa"/>
            <w:vAlign w:val="center"/>
          </w:tcPr>
          <w:p>
            <w:pPr>
              <w:pStyle w:val="13"/>
            </w:pPr>
            <w:r>
              <w:t>≥30%</w:t>
            </w:r>
          </w:p>
        </w:tc>
        <w:tc>
          <w:tcPr>
            <w:tcW w:w="1276" w:type="dxa"/>
            <w:vAlign w:val="center"/>
          </w:tcPr>
          <w:p>
            <w:pPr>
              <w:pStyle w:val="13"/>
            </w:pPr>
            <w:r>
              <w:t>保定市财政局关于提前下达2025年交通运输领域专项资金(第一批）的通知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改善通行服务水平群众满意度</w:t>
            </w:r>
          </w:p>
        </w:tc>
        <w:tc>
          <w:tcPr>
            <w:tcW w:w="5386" w:type="dxa"/>
            <w:vAlign w:val="center"/>
          </w:tcPr>
          <w:p>
            <w:pPr>
              <w:pStyle w:val="13"/>
            </w:pPr>
            <w:r>
              <w:t>改善通行服务水平群众满意度情况</w:t>
            </w:r>
          </w:p>
        </w:tc>
        <w:tc>
          <w:tcPr>
            <w:tcW w:w="2268" w:type="dxa"/>
            <w:vAlign w:val="center"/>
          </w:tcPr>
          <w:p>
            <w:pPr>
              <w:pStyle w:val="13"/>
            </w:pPr>
            <w:r>
              <w:t>≥80%</w:t>
            </w:r>
          </w:p>
        </w:tc>
        <w:tc>
          <w:tcPr>
            <w:tcW w:w="1276" w:type="dxa"/>
            <w:vAlign w:val="center"/>
          </w:tcPr>
          <w:p>
            <w:pPr>
              <w:pStyle w:val="13"/>
            </w:pPr>
            <w:r>
              <w:t>社会调查问卷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5、提前下达2026年交通运输领域专项资金预算（第一批）绩效目标表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13062526P00019210001K</w:t>
            </w:r>
          </w:p>
        </w:tc>
        <w:tc>
          <w:tcPr>
            <w:tcW w:w="2835" w:type="dxa"/>
            <w:vAlign w:val="center"/>
          </w:tcPr>
          <w:p>
            <w:pPr>
              <w:pStyle w:val="11"/>
            </w:pPr>
            <w:r>
              <w:t>项目名称</w:t>
            </w:r>
          </w:p>
        </w:tc>
        <w:tc>
          <w:tcPr>
            <w:tcW w:w="6095" w:type="dxa"/>
            <w:gridSpan w:val="3"/>
            <w:vAlign w:val="center"/>
          </w:tcPr>
          <w:p>
            <w:pPr>
              <w:pStyle w:val="13"/>
            </w:pPr>
            <w:r>
              <w:t>提前下达2026年交通运输领域专项资金预算（第一批）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1329.00</w:t>
            </w:r>
          </w:p>
        </w:tc>
        <w:tc>
          <w:tcPr>
            <w:tcW w:w="2835" w:type="dxa"/>
            <w:vAlign w:val="center"/>
          </w:tcPr>
          <w:p>
            <w:pPr>
              <w:pStyle w:val="11"/>
            </w:pPr>
            <w:r>
              <w:t>其中：财政    资金</w:t>
            </w:r>
          </w:p>
        </w:tc>
        <w:tc>
          <w:tcPr>
            <w:tcW w:w="2551" w:type="dxa"/>
            <w:vAlign w:val="center"/>
          </w:tcPr>
          <w:p>
            <w:pPr>
              <w:pStyle w:val="13"/>
            </w:pPr>
            <w:r>
              <w:t>1329.00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1329.00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1.年度全社会建设改造农村公路27公里，年度全社会村道安防工程建设完成5公里。</w:t>
            </w:r>
          </w:p>
          <w:p>
            <w:pPr>
              <w:pStyle w:val="13"/>
            </w:pPr>
            <w:r>
              <w:t>2.完成“十五五”现代综合交通运输体系发展规划范围内的综合交通、公路等年度建设任务。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年度全社会建设改造农村公路里程</w:t>
            </w:r>
          </w:p>
        </w:tc>
        <w:tc>
          <w:tcPr>
            <w:tcW w:w="5386" w:type="dxa"/>
            <w:vAlign w:val="center"/>
          </w:tcPr>
          <w:p>
            <w:pPr>
              <w:pStyle w:val="13"/>
            </w:pPr>
            <w:r>
              <w:t>年度全社会建设改造农村公路里程数</w:t>
            </w:r>
          </w:p>
        </w:tc>
        <w:tc>
          <w:tcPr>
            <w:tcW w:w="2268" w:type="dxa"/>
            <w:vAlign w:val="center"/>
          </w:tcPr>
          <w:p>
            <w:pPr>
              <w:pStyle w:val="13"/>
            </w:pPr>
            <w:r>
              <w:t>27公里</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年度全社会村道安防工程建设完成里程</w:t>
            </w:r>
          </w:p>
        </w:tc>
        <w:tc>
          <w:tcPr>
            <w:tcW w:w="5386" w:type="dxa"/>
            <w:vAlign w:val="center"/>
          </w:tcPr>
          <w:p>
            <w:pPr>
              <w:pStyle w:val="13"/>
            </w:pPr>
            <w:r>
              <w:t>年度全社会村道安防工程建设完成里程数</w:t>
            </w:r>
          </w:p>
        </w:tc>
        <w:tc>
          <w:tcPr>
            <w:tcW w:w="2268" w:type="dxa"/>
            <w:vAlign w:val="center"/>
          </w:tcPr>
          <w:p>
            <w:pPr>
              <w:pStyle w:val="13"/>
            </w:pPr>
            <w:r>
              <w:t>5公里</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资金使用合规性</w:t>
            </w:r>
          </w:p>
        </w:tc>
        <w:tc>
          <w:tcPr>
            <w:tcW w:w="5386" w:type="dxa"/>
            <w:vAlign w:val="center"/>
          </w:tcPr>
          <w:p>
            <w:pPr>
              <w:pStyle w:val="13"/>
            </w:pPr>
            <w:r>
              <w:t>资金使用合规情况</w:t>
            </w:r>
          </w:p>
        </w:tc>
        <w:tc>
          <w:tcPr>
            <w:tcW w:w="2268" w:type="dxa"/>
            <w:vAlign w:val="center"/>
          </w:tcPr>
          <w:p>
            <w:pPr>
              <w:pStyle w:val="13"/>
            </w:pPr>
            <w:r>
              <w:t>100%</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完工项目验收合格情况</w:t>
            </w:r>
          </w:p>
        </w:tc>
        <w:tc>
          <w:tcPr>
            <w:tcW w:w="2268" w:type="dxa"/>
            <w:vAlign w:val="center"/>
          </w:tcPr>
          <w:p>
            <w:pPr>
              <w:pStyle w:val="13"/>
            </w:pPr>
            <w:r>
              <w:t>100%</w:t>
            </w:r>
          </w:p>
        </w:tc>
        <w:tc>
          <w:tcPr>
            <w:tcW w:w="1276" w:type="dxa"/>
            <w:vAlign w:val="center"/>
          </w:tcPr>
          <w:p>
            <w:pPr>
              <w:pStyle w:val="13"/>
            </w:pPr>
            <w:r>
              <w:t>项目完工验收报告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按期完成投资</w:t>
            </w:r>
          </w:p>
        </w:tc>
        <w:tc>
          <w:tcPr>
            <w:tcW w:w="5386" w:type="dxa"/>
            <w:vAlign w:val="center"/>
          </w:tcPr>
          <w:p>
            <w:pPr>
              <w:pStyle w:val="13"/>
            </w:pPr>
            <w:r>
              <w:t>按期完成投资情况</w:t>
            </w:r>
          </w:p>
        </w:tc>
        <w:tc>
          <w:tcPr>
            <w:tcW w:w="2268" w:type="dxa"/>
            <w:vAlign w:val="center"/>
          </w:tcPr>
          <w:p>
            <w:pPr>
              <w:pStyle w:val="13"/>
            </w:pPr>
            <w:r>
              <w:t>100%</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项目支出符合概算批复的标准</w:t>
            </w:r>
          </w:p>
        </w:tc>
        <w:tc>
          <w:tcPr>
            <w:tcW w:w="5386" w:type="dxa"/>
            <w:vAlign w:val="center"/>
          </w:tcPr>
          <w:p>
            <w:pPr>
              <w:pStyle w:val="13"/>
            </w:pPr>
            <w:r>
              <w:t>项目支出符合概算批复的标准情况</w:t>
            </w:r>
          </w:p>
        </w:tc>
        <w:tc>
          <w:tcPr>
            <w:tcW w:w="2268" w:type="dxa"/>
            <w:vAlign w:val="center"/>
          </w:tcPr>
          <w:p>
            <w:pPr>
              <w:pStyle w:val="13"/>
            </w:pPr>
            <w:r>
              <w:t>100%</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新改建项目适应未来一定时期内交通需求</w:t>
            </w:r>
          </w:p>
        </w:tc>
        <w:tc>
          <w:tcPr>
            <w:tcW w:w="5386" w:type="dxa"/>
            <w:vAlign w:val="center"/>
          </w:tcPr>
          <w:p>
            <w:pPr>
              <w:pStyle w:val="13"/>
            </w:pPr>
            <w:r>
              <w:t>新改建项目适应未来一定时期内交通需求情况</w:t>
            </w:r>
          </w:p>
        </w:tc>
        <w:tc>
          <w:tcPr>
            <w:tcW w:w="2268" w:type="dxa"/>
            <w:vAlign w:val="center"/>
          </w:tcPr>
          <w:p>
            <w:pPr>
              <w:pStyle w:val="13"/>
            </w:pPr>
            <w:r>
              <w:t>100%</w:t>
            </w:r>
          </w:p>
        </w:tc>
        <w:tc>
          <w:tcPr>
            <w:tcW w:w="1276" w:type="dxa"/>
            <w:vAlign w:val="center"/>
          </w:tcPr>
          <w:p>
            <w:pPr>
              <w:pStyle w:val="13"/>
            </w:pPr>
            <w:r>
              <w:t>保定市财政局关于提前下达2026年交通运输领域专项资金预算（第一批）的通知 保财建【2025】61号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改善通行服务水平群众满意度</w:t>
            </w:r>
          </w:p>
        </w:tc>
        <w:tc>
          <w:tcPr>
            <w:tcW w:w="5386" w:type="dxa"/>
            <w:vAlign w:val="center"/>
          </w:tcPr>
          <w:p>
            <w:pPr>
              <w:pStyle w:val="13"/>
            </w:pPr>
            <w:r>
              <w:t>改善通行服务水平群众满意度情况</w:t>
            </w:r>
          </w:p>
        </w:tc>
        <w:tc>
          <w:tcPr>
            <w:tcW w:w="2268" w:type="dxa"/>
            <w:vAlign w:val="center"/>
          </w:tcPr>
          <w:p>
            <w:pPr>
              <w:pStyle w:val="13"/>
            </w:pPr>
            <w:r>
              <w:t>≥80%</w:t>
            </w:r>
          </w:p>
        </w:tc>
        <w:tc>
          <w:tcPr>
            <w:tcW w:w="1276" w:type="dxa"/>
            <w:vAlign w:val="center"/>
          </w:tcPr>
          <w:p>
            <w:pPr>
              <w:pStyle w:val="13"/>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6、提前下达2026年农村公路建设养护发展专项资金绩效目标表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13062526P00018610139W</w:t>
            </w:r>
          </w:p>
        </w:tc>
        <w:tc>
          <w:tcPr>
            <w:tcW w:w="2835" w:type="dxa"/>
            <w:vAlign w:val="center"/>
          </w:tcPr>
          <w:p>
            <w:pPr>
              <w:pStyle w:val="11"/>
            </w:pPr>
            <w:r>
              <w:t>项目名称</w:t>
            </w:r>
          </w:p>
        </w:tc>
        <w:tc>
          <w:tcPr>
            <w:tcW w:w="6095" w:type="dxa"/>
            <w:gridSpan w:val="3"/>
            <w:vAlign w:val="center"/>
          </w:tcPr>
          <w:p>
            <w:pPr>
              <w:pStyle w:val="13"/>
            </w:pPr>
            <w:r>
              <w:t>提前下达2026年农村公路建设养护发展专项资金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191.00</w:t>
            </w:r>
          </w:p>
        </w:tc>
        <w:tc>
          <w:tcPr>
            <w:tcW w:w="2835" w:type="dxa"/>
            <w:vAlign w:val="center"/>
          </w:tcPr>
          <w:p>
            <w:pPr>
              <w:pStyle w:val="11"/>
            </w:pPr>
            <w:r>
              <w:t>其中：财政    资金</w:t>
            </w:r>
          </w:p>
        </w:tc>
        <w:tc>
          <w:tcPr>
            <w:tcW w:w="2551" w:type="dxa"/>
            <w:vAlign w:val="center"/>
          </w:tcPr>
          <w:p>
            <w:pPr>
              <w:pStyle w:val="13"/>
            </w:pPr>
            <w:r>
              <w:t>191.00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用于农村公路养护支出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191.00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1.支持养护改造农村公路27公里</w:t>
            </w:r>
          </w:p>
          <w:p>
            <w:pPr>
              <w:pStyle w:val="13"/>
            </w:pPr>
            <w:r>
              <w:t>2.通过实施农村公路灾后恢复重建、养护工程和日常养护，进一步提高农村公路防灾减灾能力，全面提升农村公路技术状况水平，进一步提升农村公路通行能力。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支持养护改造农村公路里程</w:t>
            </w:r>
          </w:p>
        </w:tc>
        <w:tc>
          <w:tcPr>
            <w:tcW w:w="5386" w:type="dxa"/>
            <w:vAlign w:val="center"/>
          </w:tcPr>
          <w:p>
            <w:pPr>
              <w:pStyle w:val="13"/>
            </w:pPr>
            <w:r>
              <w:t>支持养护改造农村公路里程数</w:t>
            </w:r>
          </w:p>
        </w:tc>
        <w:tc>
          <w:tcPr>
            <w:tcW w:w="2268" w:type="dxa"/>
            <w:vAlign w:val="center"/>
          </w:tcPr>
          <w:p>
            <w:pPr>
              <w:pStyle w:val="13"/>
            </w:pPr>
            <w:r>
              <w:t>27公里</w:t>
            </w:r>
          </w:p>
        </w:tc>
        <w:tc>
          <w:tcPr>
            <w:tcW w:w="1276" w:type="dxa"/>
            <w:vAlign w:val="center"/>
          </w:tcPr>
          <w:p>
            <w:pPr>
              <w:pStyle w:val="13"/>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工程质量合格情况</w:t>
            </w:r>
          </w:p>
        </w:tc>
        <w:tc>
          <w:tcPr>
            <w:tcW w:w="2268" w:type="dxa"/>
            <w:vAlign w:val="center"/>
          </w:tcPr>
          <w:p>
            <w:pPr>
              <w:pStyle w:val="13"/>
            </w:pPr>
            <w:r>
              <w:t xml:space="preserve">100% </w:t>
            </w:r>
          </w:p>
        </w:tc>
        <w:tc>
          <w:tcPr>
            <w:tcW w:w="1276" w:type="dxa"/>
            <w:vAlign w:val="center"/>
          </w:tcPr>
          <w:p>
            <w:pPr>
              <w:pStyle w:val="13"/>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完成项目时间</w:t>
            </w:r>
          </w:p>
        </w:tc>
        <w:tc>
          <w:tcPr>
            <w:tcW w:w="5386" w:type="dxa"/>
            <w:vAlign w:val="center"/>
          </w:tcPr>
          <w:p>
            <w:pPr>
              <w:pStyle w:val="13"/>
            </w:pPr>
            <w:r>
              <w:t>完成项目时间情况</w:t>
            </w:r>
          </w:p>
        </w:tc>
        <w:tc>
          <w:tcPr>
            <w:tcW w:w="2268" w:type="dxa"/>
            <w:vAlign w:val="center"/>
          </w:tcPr>
          <w:p>
            <w:pPr>
              <w:pStyle w:val="13"/>
            </w:pPr>
            <w:r>
              <w:t>206年12月底前</w:t>
            </w:r>
          </w:p>
        </w:tc>
        <w:tc>
          <w:tcPr>
            <w:tcW w:w="1276" w:type="dxa"/>
            <w:vAlign w:val="center"/>
          </w:tcPr>
          <w:p>
            <w:pPr>
              <w:pStyle w:val="13"/>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工程项目造价</w:t>
            </w:r>
          </w:p>
        </w:tc>
        <w:tc>
          <w:tcPr>
            <w:tcW w:w="5386" w:type="dxa"/>
            <w:vAlign w:val="center"/>
          </w:tcPr>
          <w:p>
            <w:pPr>
              <w:pStyle w:val="13"/>
            </w:pPr>
            <w:r>
              <w:t>工程项目造价情况</w:t>
            </w:r>
          </w:p>
        </w:tc>
        <w:tc>
          <w:tcPr>
            <w:tcW w:w="2268" w:type="dxa"/>
            <w:vAlign w:val="center"/>
          </w:tcPr>
          <w:p>
            <w:pPr>
              <w:pStyle w:val="13"/>
            </w:pPr>
            <w:r>
              <w:t>≤191万元</w:t>
            </w:r>
          </w:p>
        </w:tc>
        <w:tc>
          <w:tcPr>
            <w:tcW w:w="1276" w:type="dxa"/>
            <w:vAlign w:val="center"/>
          </w:tcPr>
          <w:p>
            <w:pPr>
              <w:pStyle w:val="13"/>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≥3%</w:t>
            </w:r>
          </w:p>
        </w:tc>
        <w:tc>
          <w:tcPr>
            <w:tcW w:w="1276" w:type="dxa"/>
            <w:vAlign w:val="center"/>
          </w:tcPr>
          <w:p>
            <w:pPr>
              <w:pStyle w:val="13"/>
            </w:pPr>
            <w:r>
              <w:t>保定市财政局关于提前下达2026年农村公路建设养护发展专项资金的通知 保财建【2025】62号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社会公众和服务对象满意度</w:t>
            </w:r>
          </w:p>
        </w:tc>
        <w:tc>
          <w:tcPr>
            <w:tcW w:w="2268" w:type="dxa"/>
            <w:vAlign w:val="center"/>
          </w:tcPr>
          <w:p>
            <w:pPr>
              <w:pStyle w:val="13"/>
            </w:pPr>
            <w:r>
              <w:t>≥80%</w:t>
            </w:r>
          </w:p>
        </w:tc>
        <w:tc>
          <w:tcPr>
            <w:tcW w:w="1276" w:type="dxa"/>
            <w:vAlign w:val="center"/>
          </w:tcPr>
          <w:p>
            <w:pPr>
              <w:pStyle w:val="13"/>
            </w:pPr>
            <w:r>
              <w:t>社会调查问卷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7、下达2025年农村道路客运补贴、城市交通发展奖励资金（城市交通发展奖励）绩效目标表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13062525P00019110003N</w:t>
            </w:r>
          </w:p>
        </w:tc>
        <w:tc>
          <w:tcPr>
            <w:tcW w:w="2835" w:type="dxa"/>
            <w:vAlign w:val="center"/>
          </w:tcPr>
          <w:p>
            <w:pPr>
              <w:pStyle w:val="11"/>
            </w:pPr>
            <w:r>
              <w:t>项目名称</w:t>
            </w:r>
          </w:p>
        </w:tc>
        <w:tc>
          <w:tcPr>
            <w:tcW w:w="6095" w:type="dxa"/>
            <w:gridSpan w:val="3"/>
            <w:vAlign w:val="center"/>
          </w:tcPr>
          <w:p>
            <w:pPr>
              <w:pStyle w:val="13"/>
            </w:pPr>
            <w:r>
              <w:t>下达2025年农村道路客运补贴、城市交通发展奖励资金（城市交通发展奖励）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198.58</w:t>
            </w:r>
          </w:p>
        </w:tc>
        <w:tc>
          <w:tcPr>
            <w:tcW w:w="2835" w:type="dxa"/>
            <w:vAlign w:val="center"/>
          </w:tcPr>
          <w:p>
            <w:pPr>
              <w:pStyle w:val="11"/>
            </w:pPr>
            <w:r>
              <w:t>其中：财政    资金</w:t>
            </w:r>
          </w:p>
        </w:tc>
        <w:tc>
          <w:tcPr>
            <w:tcW w:w="2551" w:type="dxa"/>
            <w:vAlign w:val="center"/>
          </w:tcPr>
          <w:p>
            <w:pPr>
              <w:pStyle w:val="13"/>
            </w:pPr>
            <w:r>
              <w:t>198.58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198.58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1.支持本省国家公交都市建设和绿色货运配送示范城市建设。</w:t>
            </w:r>
          </w:p>
          <w:p>
            <w:pPr>
              <w:pStyle w:val="13"/>
            </w:pPr>
            <w:r>
              <w:t>2.支持城市交通领域新能源汽车运营，维护出租车行业稳定，支持公交行业发展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新能源出租车运营补贴车辆数</w:t>
            </w:r>
          </w:p>
        </w:tc>
        <w:tc>
          <w:tcPr>
            <w:tcW w:w="5386" w:type="dxa"/>
            <w:vAlign w:val="center"/>
          </w:tcPr>
          <w:p>
            <w:pPr>
              <w:pStyle w:val="13"/>
            </w:pPr>
            <w:r>
              <w:t>新能源出租车运营补贴车辆情况</w:t>
            </w:r>
          </w:p>
        </w:tc>
        <w:tc>
          <w:tcPr>
            <w:tcW w:w="2268" w:type="dxa"/>
            <w:vAlign w:val="center"/>
          </w:tcPr>
          <w:p>
            <w:pPr>
              <w:pStyle w:val="13"/>
            </w:pPr>
            <w:r>
              <w:t>27辆</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补贴资金发放准确率</w:t>
            </w:r>
          </w:p>
        </w:tc>
        <w:tc>
          <w:tcPr>
            <w:tcW w:w="5386" w:type="dxa"/>
            <w:vAlign w:val="center"/>
          </w:tcPr>
          <w:p>
            <w:pPr>
              <w:pStyle w:val="13"/>
            </w:pPr>
            <w:r>
              <w:t>补贴资金发放准确情况</w:t>
            </w:r>
          </w:p>
        </w:tc>
        <w:tc>
          <w:tcPr>
            <w:tcW w:w="2268" w:type="dxa"/>
            <w:vAlign w:val="center"/>
          </w:tcPr>
          <w:p>
            <w:pPr>
              <w:pStyle w:val="13"/>
            </w:pPr>
            <w:r>
              <w:t>100%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完成补贴发放率</w:t>
            </w:r>
          </w:p>
        </w:tc>
        <w:tc>
          <w:tcPr>
            <w:tcW w:w="5386" w:type="dxa"/>
            <w:vAlign w:val="center"/>
          </w:tcPr>
          <w:p>
            <w:pPr>
              <w:pStyle w:val="13"/>
            </w:pPr>
            <w:r>
              <w:t>完成补贴发放情况</w:t>
            </w:r>
          </w:p>
        </w:tc>
        <w:tc>
          <w:tcPr>
            <w:tcW w:w="2268" w:type="dxa"/>
            <w:vAlign w:val="center"/>
          </w:tcPr>
          <w:p>
            <w:pPr>
              <w:pStyle w:val="13"/>
            </w:pPr>
            <w:r>
              <w:t>100%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补贴政策所用资金</w:t>
            </w:r>
          </w:p>
        </w:tc>
        <w:tc>
          <w:tcPr>
            <w:tcW w:w="5386" w:type="dxa"/>
            <w:vAlign w:val="center"/>
          </w:tcPr>
          <w:p>
            <w:pPr>
              <w:pStyle w:val="13"/>
            </w:pPr>
            <w:r>
              <w:t>补贴政策所用资金情况</w:t>
            </w:r>
          </w:p>
        </w:tc>
        <w:tc>
          <w:tcPr>
            <w:tcW w:w="2268" w:type="dxa"/>
            <w:vAlign w:val="center"/>
          </w:tcPr>
          <w:p>
            <w:pPr>
              <w:pStyle w:val="13"/>
            </w:pPr>
            <w:r>
              <w:t>198.58万元</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≥80%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城市客运企业满意度</w:t>
            </w:r>
          </w:p>
        </w:tc>
        <w:tc>
          <w:tcPr>
            <w:tcW w:w="2268" w:type="dxa"/>
            <w:vAlign w:val="center"/>
          </w:tcPr>
          <w:p>
            <w:pPr>
              <w:pStyle w:val="13"/>
            </w:pPr>
            <w:r>
              <w:t>≥90%</w:t>
            </w:r>
          </w:p>
        </w:tc>
        <w:tc>
          <w:tcPr>
            <w:tcW w:w="1276" w:type="dxa"/>
            <w:vAlign w:val="center"/>
          </w:tcPr>
          <w:p>
            <w:pPr>
              <w:pStyle w:val="13"/>
            </w:pPr>
            <w:r>
              <w:t>社会满意度调查问卷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8、下达2025年农村道路客运补贴、城市交通发展奖励资金（农村道路客运）绩效目标表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13062525P000191100023</w:t>
            </w:r>
          </w:p>
        </w:tc>
        <w:tc>
          <w:tcPr>
            <w:tcW w:w="2835" w:type="dxa"/>
            <w:vAlign w:val="center"/>
          </w:tcPr>
          <w:p>
            <w:pPr>
              <w:pStyle w:val="11"/>
            </w:pPr>
            <w:r>
              <w:t>项目名称</w:t>
            </w:r>
          </w:p>
        </w:tc>
        <w:tc>
          <w:tcPr>
            <w:tcW w:w="6095" w:type="dxa"/>
            <w:gridSpan w:val="3"/>
            <w:vAlign w:val="center"/>
          </w:tcPr>
          <w:p>
            <w:pPr>
              <w:pStyle w:val="13"/>
            </w:pPr>
            <w:r>
              <w:t>下达2025年农村道路客运补贴、城市交通发展奖励资金（农村道路客运）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71.21</w:t>
            </w:r>
          </w:p>
        </w:tc>
        <w:tc>
          <w:tcPr>
            <w:tcW w:w="2835" w:type="dxa"/>
            <w:vAlign w:val="center"/>
          </w:tcPr>
          <w:p>
            <w:pPr>
              <w:pStyle w:val="11"/>
            </w:pPr>
            <w:r>
              <w:t>其中：财政    资金</w:t>
            </w:r>
          </w:p>
        </w:tc>
        <w:tc>
          <w:tcPr>
            <w:tcW w:w="2551" w:type="dxa"/>
            <w:vAlign w:val="center"/>
          </w:tcPr>
          <w:p>
            <w:pPr>
              <w:pStyle w:val="13"/>
            </w:pPr>
            <w:r>
              <w:t>71.21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71.21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1.推进城乡客运公共服务均等化，强化农村客运安全运营，为人民群众提供安全、便捷出行服务。</w:t>
            </w:r>
          </w:p>
          <w:p>
            <w:pPr>
              <w:pStyle w:val="13"/>
            </w:pPr>
            <w:r>
              <w:t>2.补贴运营的汽车客运站1个。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补贴运营的汽车客运站个数</w:t>
            </w:r>
          </w:p>
        </w:tc>
        <w:tc>
          <w:tcPr>
            <w:tcW w:w="5386" w:type="dxa"/>
            <w:vAlign w:val="center"/>
          </w:tcPr>
          <w:p>
            <w:pPr>
              <w:pStyle w:val="13"/>
            </w:pPr>
            <w:r>
              <w:t>补贴运营的汽车客运站情况</w:t>
            </w:r>
          </w:p>
        </w:tc>
        <w:tc>
          <w:tcPr>
            <w:tcW w:w="2268" w:type="dxa"/>
            <w:vAlign w:val="center"/>
          </w:tcPr>
          <w:p>
            <w:pPr>
              <w:pStyle w:val="13"/>
            </w:pPr>
            <w:r>
              <w:t>1个</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补贴资金发放准确率</w:t>
            </w:r>
          </w:p>
        </w:tc>
        <w:tc>
          <w:tcPr>
            <w:tcW w:w="5386" w:type="dxa"/>
            <w:vAlign w:val="center"/>
          </w:tcPr>
          <w:p>
            <w:pPr>
              <w:pStyle w:val="13"/>
            </w:pPr>
            <w:r>
              <w:t>补贴资金发放准确情况</w:t>
            </w:r>
          </w:p>
        </w:tc>
        <w:tc>
          <w:tcPr>
            <w:tcW w:w="2268" w:type="dxa"/>
            <w:vAlign w:val="center"/>
          </w:tcPr>
          <w:p>
            <w:pPr>
              <w:pStyle w:val="13"/>
            </w:pPr>
            <w:r>
              <w:t>100%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完成补贴发放率</w:t>
            </w:r>
          </w:p>
        </w:tc>
        <w:tc>
          <w:tcPr>
            <w:tcW w:w="5386" w:type="dxa"/>
            <w:vAlign w:val="center"/>
          </w:tcPr>
          <w:p>
            <w:pPr>
              <w:pStyle w:val="13"/>
            </w:pPr>
            <w:r>
              <w:t>完成补贴发放情况</w:t>
            </w:r>
          </w:p>
        </w:tc>
        <w:tc>
          <w:tcPr>
            <w:tcW w:w="2268" w:type="dxa"/>
            <w:vAlign w:val="center"/>
          </w:tcPr>
          <w:p>
            <w:pPr>
              <w:pStyle w:val="13"/>
            </w:pPr>
            <w:r>
              <w:t>100%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补贴政策所用资金</w:t>
            </w:r>
          </w:p>
        </w:tc>
        <w:tc>
          <w:tcPr>
            <w:tcW w:w="5386" w:type="dxa"/>
            <w:vAlign w:val="center"/>
          </w:tcPr>
          <w:p>
            <w:pPr>
              <w:pStyle w:val="13"/>
            </w:pPr>
            <w:r>
              <w:t>补贴政策所用资金情况</w:t>
            </w:r>
          </w:p>
        </w:tc>
        <w:tc>
          <w:tcPr>
            <w:tcW w:w="2268" w:type="dxa"/>
            <w:vAlign w:val="center"/>
          </w:tcPr>
          <w:p>
            <w:pPr>
              <w:pStyle w:val="13"/>
            </w:pPr>
            <w:r>
              <w:t>71.21万元</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≥80%</w:t>
            </w:r>
          </w:p>
        </w:tc>
        <w:tc>
          <w:tcPr>
            <w:tcW w:w="1276" w:type="dxa"/>
            <w:vAlign w:val="center"/>
          </w:tcPr>
          <w:p>
            <w:pPr>
              <w:pStyle w:val="13"/>
            </w:pPr>
            <w:r>
              <w:t>保定市财政局关于下达农村道路客运补贴、城市交通发展奖励资金的请示 保财建【2025】44号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社会满意度调查问卷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25.50</w:t>
            </w:r>
          </w:p>
        </w:tc>
        <w:tc>
          <w:tcPr>
            <w:tcW w:w="964" w:type="dxa"/>
            <w:vAlign w:val="center"/>
          </w:tcPr>
          <w:p>
            <w:pPr>
              <w:pStyle w:val="16"/>
            </w:pPr>
            <w:r>
              <w:t>25.50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保定市交通运输局徐水区分局本级小计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25.50</w:t>
            </w:r>
          </w:p>
        </w:tc>
        <w:tc>
          <w:tcPr>
            <w:tcW w:w="964" w:type="dxa"/>
            <w:vAlign w:val="center"/>
          </w:tcPr>
          <w:p>
            <w:pPr>
              <w:pStyle w:val="16"/>
            </w:pPr>
            <w:r>
              <w:t>25.50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终端机</w:t>
            </w:r>
          </w:p>
        </w:tc>
        <w:tc>
          <w:tcPr>
            <w:tcW w:w="1134" w:type="dxa"/>
            <w:vAlign w:val="center"/>
          </w:tcPr>
          <w:p>
            <w:pPr>
              <w:pStyle w:val="13"/>
            </w:pPr>
            <w:r>
              <w:t>A02010402</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其他文印设备</w:t>
            </w:r>
          </w:p>
        </w:tc>
        <w:tc>
          <w:tcPr>
            <w:tcW w:w="1134" w:type="dxa"/>
            <w:vAlign w:val="center"/>
          </w:tcPr>
          <w:p>
            <w:pPr>
              <w:pStyle w:val="13"/>
            </w:pPr>
            <w:r>
              <w:t>A02021299</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0.75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2.80</w:t>
            </w:r>
          </w:p>
        </w:tc>
        <w:tc>
          <w:tcPr>
            <w:tcW w:w="964" w:type="dxa"/>
            <w:vAlign w:val="center"/>
          </w:tcPr>
          <w:p>
            <w:pPr>
              <w:pStyle w:val="12"/>
            </w:pPr>
            <w:r>
              <w:t>2.80</w:t>
            </w:r>
          </w:p>
        </w:tc>
        <w:tc>
          <w:tcPr>
            <w:tcW w:w="964" w:type="dxa"/>
            <w:vAlign w:val="center"/>
          </w:tcPr>
          <w:p>
            <w:pPr>
              <w:pStyle w:val="12"/>
            </w:pPr>
            <w:r>
              <w:t>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5.10</w:t>
            </w:r>
          </w:p>
        </w:tc>
        <w:tc>
          <w:tcPr>
            <w:tcW w:w="964" w:type="dxa"/>
            <w:vAlign w:val="center"/>
          </w:tcPr>
          <w:p>
            <w:pPr>
              <w:pStyle w:val="12"/>
            </w:pPr>
            <w:r>
              <w:t>5.10</w:t>
            </w:r>
          </w:p>
        </w:tc>
        <w:tc>
          <w:tcPr>
            <w:tcW w:w="964" w:type="dxa"/>
            <w:vAlign w:val="center"/>
          </w:tcPr>
          <w:p>
            <w:pPr>
              <w:pStyle w:val="12"/>
            </w:pPr>
            <w:r>
              <w:t>5.10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78.77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12.60</w:t>
            </w:r>
          </w:p>
        </w:tc>
        <w:tc>
          <w:tcPr>
            <w:tcW w:w="964" w:type="dxa"/>
            <w:vAlign w:val="center"/>
          </w:tcPr>
          <w:p>
            <w:pPr>
              <w:pStyle w:val="12"/>
            </w:pPr>
            <w:r>
              <w:t>12.60</w:t>
            </w:r>
          </w:p>
        </w:tc>
        <w:tc>
          <w:tcPr>
            <w:tcW w:w="964" w:type="dxa"/>
            <w:vAlign w:val="center"/>
          </w:tcPr>
          <w:p>
            <w:pPr>
              <w:pStyle w:val="12"/>
            </w:pPr>
            <w:r>
              <w:t>12.60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保定市交通运输局徐水区分局（含所属单位）上年末固定资产金额为1760.18万元（详见下表）。本年度拟购置固定资产总额为2.50万元，已按要求列入政府采购预算，详见政府采购预算表。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348保定市交通运输局徐水区分局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1760.18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8792.65</w:t>
            </w:r>
          </w:p>
        </w:tc>
        <w:tc>
          <w:tcPr>
            <w:tcW w:w="2835" w:type="dxa"/>
            <w:vAlign w:val="center"/>
          </w:tcPr>
          <w:p>
            <w:pPr>
              <w:pStyle w:val="12"/>
            </w:pPr>
            <w:r>
              <w:t>1295.88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5347.25</w:t>
            </w:r>
          </w:p>
        </w:tc>
        <w:tc>
          <w:tcPr>
            <w:tcW w:w="2835" w:type="dxa"/>
            <w:vAlign w:val="center"/>
          </w:tcPr>
          <w:p>
            <w:pPr>
              <w:pStyle w:val="12"/>
            </w:pPr>
            <w:r>
              <w:t>1052.28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9</w:t>
            </w:r>
          </w:p>
        </w:tc>
        <w:tc>
          <w:tcPr>
            <w:tcW w:w="2835" w:type="dxa"/>
            <w:vAlign w:val="center"/>
          </w:tcPr>
          <w:p>
            <w:pPr>
              <w:pStyle w:val="12"/>
            </w:pPr>
            <w:r>
              <w:t>105.78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606</w:t>
            </w:r>
          </w:p>
        </w:tc>
        <w:tc>
          <w:tcPr>
            <w:tcW w:w="2835" w:type="dxa"/>
            <w:vAlign w:val="center"/>
          </w:tcPr>
          <w:p>
            <w:pPr>
              <w:pStyle w:val="12"/>
            </w:pPr>
            <w:r>
              <w:t>358.52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93861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TotalTime>2</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2026-03-04T12:24:00Z</dcterms:created>
  <dc:creator>Lenovo</dc:creator>
  <cp:lastModifiedBy>Lenovo</cp:lastModifiedBy>
  <dcterms:modified xsi:type="dcterms:W3CDTF">2026-03-09T07:13:59Z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66C79AA29F494099B51C354B79E179A3</vt:lpwstr>
  </property>
</Properties>
</file>