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4"/>
        <w:tabs>
          <w:tab w:val="right" w:leader="dot" w:pos="14572"/>
        </w:tabs>
      </w:pPr>
      <w:r>
        <w:fldChar w:fldCharType="begin"/>
      </w:r>
      <w:r>
        <w:instrText xml:space="preserve">TOC \o "2-2" \h \z \u</w:instrText>
      </w:r>
      <w:r>
        <w:fldChar w:fldCharType="separate"/>
      </w:r>
      <w:r>
        <w:fldChar w:fldCharType="begin"/>
      </w:r>
      <w:r>
        <w:instrText xml:space="preserve"> HYPERLINK \l _Toc17593 </w:instrText>
      </w:r>
      <w:r>
        <w:fldChar w:fldCharType="separate"/>
      </w:r>
      <w:r>
        <w:rPr>
          <w:rFonts w:ascii="方正小标宋_GBK" w:hAnsi="方正小标宋_GBK" w:eastAsia="方正小标宋_GBK" w:cs="方正小标宋_GBK"/>
        </w:rPr>
        <w:t>部门预算收支总表</w:t>
      </w:r>
      <w:r>
        <w:tab/>
      </w:r>
      <w:r>
        <w:fldChar w:fldCharType="begin"/>
      </w:r>
      <w:r>
        <w:instrText xml:space="preserve"> PAGEREF _Toc17593 \h </w:instrText>
      </w:r>
      <w:r>
        <w:fldChar w:fldCharType="separate"/>
      </w:r>
      <w:r>
        <w:t>1</w:t>
      </w:r>
      <w:r>
        <w:fldChar w:fldCharType="end"/>
      </w:r>
      <w:r>
        <w:fldChar w:fldCharType="end"/>
      </w:r>
    </w:p>
    <w:p>
      <w:pPr>
        <w:pStyle w:val="4"/>
        <w:tabs>
          <w:tab w:val="right" w:leader="dot" w:pos="14572"/>
        </w:tabs>
      </w:pPr>
      <w:r>
        <w:fldChar w:fldCharType="begin"/>
      </w:r>
      <w:r>
        <w:instrText xml:space="preserve"> HYPERLINK \l _Toc29558 </w:instrText>
      </w:r>
      <w:r>
        <w:fldChar w:fldCharType="separate"/>
      </w:r>
      <w:r>
        <w:rPr>
          <w:rFonts w:ascii="方正小标宋_GBK" w:hAnsi="方正小标宋_GBK" w:eastAsia="方正小标宋_GBK" w:cs="方正小标宋_GBK"/>
        </w:rPr>
        <w:t>部门预算收入总表</w:t>
      </w:r>
      <w:r>
        <w:tab/>
      </w:r>
      <w:r>
        <w:fldChar w:fldCharType="begin"/>
      </w:r>
      <w:r>
        <w:instrText xml:space="preserve"> PAGEREF _Toc29558 \h </w:instrText>
      </w:r>
      <w:r>
        <w:fldChar w:fldCharType="separate"/>
      </w:r>
      <w:r>
        <w:t>3</w:t>
      </w:r>
      <w:r>
        <w:fldChar w:fldCharType="end"/>
      </w:r>
      <w:r>
        <w:fldChar w:fldCharType="end"/>
      </w:r>
    </w:p>
    <w:p>
      <w:pPr>
        <w:pStyle w:val="4"/>
        <w:tabs>
          <w:tab w:val="right" w:leader="dot" w:pos="14572"/>
        </w:tabs>
      </w:pPr>
      <w:r>
        <w:fldChar w:fldCharType="begin"/>
      </w:r>
      <w:r>
        <w:instrText xml:space="preserve"> HYPERLINK \l _Toc13879 </w:instrText>
      </w:r>
      <w:r>
        <w:fldChar w:fldCharType="separate"/>
      </w:r>
      <w:r>
        <w:rPr>
          <w:rFonts w:ascii="方正小标宋_GBK" w:hAnsi="方正小标宋_GBK" w:eastAsia="方正小标宋_GBK" w:cs="方正小标宋_GBK"/>
        </w:rPr>
        <w:t>部门预算支出总表</w:t>
      </w:r>
      <w:r>
        <w:tab/>
      </w:r>
      <w:r>
        <w:fldChar w:fldCharType="begin"/>
      </w:r>
      <w:r>
        <w:instrText xml:space="preserve"> PAGEREF _Toc13879 \h </w:instrText>
      </w:r>
      <w:r>
        <w:fldChar w:fldCharType="separate"/>
      </w:r>
      <w:r>
        <w:t>8</w:t>
      </w:r>
      <w:r>
        <w:fldChar w:fldCharType="end"/>
      </w:r>
      <w:r>
        <w:fldChar w:fldCharType="end"/>
      </w:r>
    </w:p>
    <w:p>
      <w:pPr>
        <w:pStyle w:val="4"/>
        <w:tabs>
          <w:tab w:val="right" w:leader="dot" w:pos="14572"/>
        </w:tabs>
      </w:pPr>
      <w:r>
        <w:fldChar w:fldCharType="begin"/>
      </w:r>
      <w:r>
        <w:instrText xml:space="preserve"> HYPERLINK \l _Toc20855 </w:instrText>
      </w:r>
      <w:r>
        <w:fldChar w:fldCharType="separate"/>
      </w:r>
      <w:r>
        <w:rPr>
          <w:rFonts w:ascii="方正小标宋_GBK" w:hAnsi="方正小标宋_GBK" w:eastAsia="方正小标宋_GBK" w:cs="方正小标宋_GBK"/>
        </w:rPr>
        <w:t>部门预算财政拨款收支总表</w:t>
      </w:r>
      <w:r>
        <w:tab/>
      </w:r>
      <w:r>
        <w:fldChar w:fldCharType="begin"/>
      </w:r>
      <w:r>
        <w:instrText xml:space="preserve"> PAGEREF _Toc20855 \h </w:instrText>
      </w:r>
      <w:r>
        <w:fldChar w:fldCharType="separate"/>
      </w:r>
      <w:r>
        <w:t>12</w:t>
      </w:r>
      <w:r>
        <w:fldChar w:fldCharType="end"/>
      </w:r>
      <w:r>
        <w:fldChar w:fldCharType="end"/>
      </w:r>
    </w:p>
    <w:p>
      <w:pPr>
        <w:pStyle w:val="4"/>
        <w:tabs>
          <w:tab w:val="right" w:leader="dot" w:pos="14572"/>
        </w:tabs>
      </w:pPr>
      <w:r>
        <w:fldChar w:fldCharType="begin"/>
      </w:r>
      <w:r>
        <w:instrText xml:space="preserve"> HYPERLINK \l _Toc9180 </w:instrText>
      </w:r>
      <w:r>
        <w:fldChar w:fldCharType="separate"/>
      </w:r>
      <w:r>
        <w:rPr>
          <w:rFonts w:ascii="方正小标宋_GBK" w:hAnsi="方正小标宋_GBK" w:eastAsia="方正小标宋_GBK" w:cs="方正小标宋_GBK"/>
        </w:rPr>
        <w:t>部门预算一般公共预算财政拨款支出表</w:t>
      </w:r>
      <w:r>
        <w:tab/>
      </w:r>
      <w:r>
        <w:fldChar w:fldCharType="begin"/>
      </w:r>
      <w:r>
        <w:instrText xml:space="preserve"> PAGEREF _Toc9180 \h </w:instrText>
      </w:r>
      <w:r>
        <w:fldChar w:fldCharType="separate"/>
      </w:r>
      <w:r>
        <w:t>15</w:t>
      </w:r>
      <w:r>
        <w:fldChar w:fldCharType="end"/>
      </w:r>
      <w:r>
        <w:fldChar w:fldCharType="end"/>
      </w:r>
    </w:p>
    <w:p>
      <w:pPr>
        <w:pStyle w:val="4"/>
        <w:tabs>
          <w:tab w:val="right" w:leader="dot" w:pos="14572"/>
        </w:tabs>
      </w:pPr>
      <w:r>
        <w:fldChar w:fldCharType="begin"/>
      </w:r>
      <w:r>
        <w:instrText xml:space="preserve"> HYPERLINK \l _Toc5169 </w:instrText>
      </w:r>
      <w:r>
        <w:fldChar w:fldCharType="separate"/>
      </w:r>
      <w:r>
        <w:rPr>
          <w:rFonts w:ascii="方正小标宋_GBK" w:hAnsi="方正小标宋_GBK" w:eastAsia="方正小标宋_GBK" w:cs="方正小标宋_GBK"/>
        </w:rPr>
        <w:t>部门预算一般公共预算财政拨款基本支出表</w:t>
      </w:r>
      <w:r>
        <w:tab/>
      </w:r>
      <w:r>
        <w:fldChar w:fldCharType="begin"/>
      </w:r>
      <w:r>
        <w:instrText xml:space="preserve"> PAGEREF _Toc5169 \h </w:instrText>
      </w:r>
      <w:r>
        <w:fldChar w:fldCharType="separate"/>
      </w:r>
      <w:r>
        <w:t>18</w:t>
      </w:r>
      <w:r>
        <w:fldChar w:fldCharType="end"/>
      </w:r>
      <w:r>
        <w:fldChar w:fldCharType="end"/>
      </w:r>
    </w:p>
    <w:p>
      <w:pPr>
        <w:pStyle w:val="4"/>
        <w:tabs>
          <w:tab w:val="right" w:leader="dot" w:pos="14572"/>
        </w:tabs>
      </w:pPr>
      <w:r>
        <w:fldChar w:fldCharType="begin"/>
      </w:r>
      <w:r>
        <w:instrText xml:space="preserve"> HYPERLINK \l _Toc20695 </w:instrText>
      </w:r>
      <w:r>
        <w:fldChar w:fldCharType="separate"/>
      </w:r>
      <w:r>
        <w:rPr>
          <w:rFonts w:ascii="方正小标宋_GBK" w:hAnsi="方正小标宋_GBK" w:eastAsia="方正小标宋_GBK" w:cs="方正小标宋_GBK"/>
        </w:rPr>
        <w:t>部门预算政府性基金预算财政拨款支出表</w:t>
      </w:r>
      <w:r>
        <w:tab/>
      </w:r>
      <w:r>
        <w:fldChar w:fldCharType="begin"/>
      </w:r>
      <w:r>
        <w:instrText xml:space="preserve"> PAGEREF _Toc20695 \h </w:instrText>
      </w:r>
      <w:r>
        <w:fldChar w:fldCharType="separate"/>
      </w:r>
      <w:r>
        <w:t>20</w:t>
      </w:r>
      <w:r>
        <w:fldChar w:fldCharType="end"/>
      </w:r>
      <w:r>
        <w:fldChar w:fldCharType="end"/>
      </w:r>
    </w:p>
    <w:p>
      <w:pPr>
        <w:pStyle w:val="4"/>
        <w:tabs>
          <w:tab w:val="right" w:leader="dot" w:pos="14572"/>
        </w:tabs>
      </w:pPr>
      <w:r>
        <w:fldChar w:fldCharType="begin"/>
      </w:r>
      <w:r>
        <w:instrText xml:space="preserve"> HYPERLINK \l _Toc25956 </w:instrText>
      </w:r>
      <w:r>
        <w:fldChar w:fldCharType="separate"/>
      </w:r>
      <w:r>
        <w:rPr>
          <w:rFonts w:ascii="方正小标宋_GBK" w:hAnsi="方正小标宋_GBK" w:eastAsia="方正小标宋_GBK" w:cs="方正小标宋_GBK"/>
        </w:rPr>
        <w:t>部门预算国有资本经营预算财政拨款支出表</w:t>
      </w:r>
      <w:r>
        <w:tab/>
      </w:r>
      <w:r>
        <w:fldChar w:fldCharType="begin"/>
      </w:r>
      <w:r>
        <w:instrText xml:space="preserve"> PAGEREF _Toc25956 \h </w:instrText>
      </w:r>
      <w:r>
        <w:fldChar w:fldCharType="separate"/>
      </w:r>
      <w:r>
        <w:t>21</w:t>
      </w:r>
      <w:r>
        <w:fldChar w:fldCharType="end"/>
      </w:r>
      <w:r>
        <w:fldChar w:fldCharType="end"/>
      </w:r>
    </w:p>
    <w:p>
      <w:pPr>
        <w:pStyle w:val="4"/>
        <w:tabs>
          <w:tab w:val="right" w:leader="dot" w:pos="14572"/>
        </w:tabs>
      </w:pPr>
      <w:r>
        <w:fldChar w:fldCharType="begin"/>
      </w:r>
      <w:r>
        <w:instrText xml:space="preserve"> HYPERLINK \l _Toc11762 </w:instrText>
      </w:r>
      <w:r>
        <w:fldChar w:fldCharType="separate"/>
      </w:r>
      <w:r>
        <w:rPr>
          <w:rFonts w:ascii="方正小标宋_GBK" w:hAnsi="方正小标宋_GBK" w:eastAsia="方正小标宋_GBK" w:cs="方正小标宋_GBK"/>
        </w:rPr>
        <w:t>部门预算财政拨款“三公”经费支出表</w:t>
      </w:r>
      <w:r>
        <w:tab/>
      </w:r>
      <w:r>
        <w:fldChar w:fldCharType="begin"/>
      </w:r>
      <w:r>
        <w:instrText xml:space="preserve"> PAGEREF _Toc11762 \h </w:instrText>
      </w:r>
      <w:r>
        <w:fldChar w:fldCharType="separate"/>
      </w:r>
      <w:r>
        <w:t>22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2"/>
        <w:tabs>
          <w:tab w:val="right" w:leader="dot" w:pos="14572"/>
        </w:tabs>
      </w:pPr>
      <w:r>
        <w:fldChar w:fldCharType="begin"/>
      </w:r>
      <w:r>
        <w:instrText xml:space="preserve">TOC \o "3-3" \h \z \u</w:instrText>
      </w:r>
      <w:r>
        <w:fldChar w:fldCharType="separate"/>
      </w:r>
      <w:r>
        <w:fldChar w:fldCharType="begin"/>
      </w:r>
      <w:r>
        <w:instrText xml:space="preserve"> HYPERLINK \l _Toc8318 </w:instrText>
      </w:r>
      <w:r>
        <w:fldChar w:fldCharType="separate"/>
      </w:r>
      <w:r>
        <w:rPr>
          <w:rFonts w:ascii="黑体" w:hAnsi="黑体" w:eastAsia="黑体" w:cs="黑体"/>
        </w:rPr>
        <w:t>一、部门职责及机构设置情况</w:t>
      </w:r>
      <w:r>
        <w:tab/>
      </w:r>
      <w:r>
        <w:fldChar w:fldCharType="begin"/>
      </w:r>
      <w:r>
        <w:instrText xml:space="preserve"> PAGEREF _Toc8318 \h </w:instrText>
      </w:r>
      <w:r>
        <w:fldChar w:fldCharType="separate"/>
      </w:r>
      <w:r>
        <w:t>23</w:t>
      </w:r>
      <w:r>
        <w:fldChar w:fldCharType="end"/>
      </w:r>
      <w:r>
        <w:fldChar w:fldCharType="end"/>
      </w:r>
    </w:p>
    <w:p>
      <w:pPr>
        <w:pStyle w:val="2"/>
        <w:tabs>
          <w:tab w:val="right" w:leader="dot" w:pos="14572"/>
        </w:tabs>
      </w:pPr>
      <w:r>
        <w:fldChar w:fldCharType="begin"/>
      </w:r>
      <w:r>
        <w:instrText xml:space="preserve"> HYPERLINK \l _Toc13304 </w:instrText>
      </w:r>
      <w:r>
        <w:fldChar w:fldCharType="separate"/>
      </w:r>
      <w:r>
        <w:rPr>
          <w:rFonts w:ascii="黑体" w:hAnsi="黑体" w:eastAsia="黑体" w:cs="黑体"/>
        </w:rPr>
        <w:t>二、部门预算安排的总体情况</w:t>
      </w:r>
      <w:r>
        <w:tab/>
      </w:r>
      <w:r>
        <w:fldChar w:fldCharType="begin"/>
      </w:r>
      <w:r>
        <w:instrText xml:space="preserve"> PAGEREF _Toc13304 \h </w:instrText>
      </w:r>
      <w:r>
        <w:fldChar w:fldCharType="separate"/>
      </w:r>
      <w:r>
        <w:t>25</w:t>
      </w:r>
      <w:r>
        <w:fldChar w:fldCharType="end"/>
      </w:r>
      <w:r>
        <w:fldChar w:fldCharType="end"/>
      </w:r>
    </w:p>
    <w:p>
      <w:pPr>
        <w:pStyle w:val="2"/>
        <w:tabs>
          <w:tab w:val="right" w:leader="dot" w:pos="14572"/>
        </w:tabs>
      </w:pPr>
      <w:r>
        <w:fldChar w:fldCharType="begin"/>
      </w:r>
      <w:r>
        <w:instrText xml:space="preserve"> HYPERLINK \l _Toc29418 </w:instrText>
      </w:r>
      <w:r>
        <w:fldChar w:fldCharType="separate"/>
      </w:r>
      <w:r>
        <w:rPr>
          <w:rFonts w:ascii="黑体" w:hAnsi="黑体" w:eastAsia="黑体" w:cs="黑体"/>
        </w:rPr>
        <w:t>三、机关运行经费安排情况</w:t>
      </w:r>
      <w:r>
        <w:tab/>
      </w:r>
      <w:r>
        <w:fldChar w:fldCharType="begin"/>
      </w:r>
      <w:r>
        <w:instrText xml:space="preserve"> PAGEREF _Toc29418 \h </w:instrText>
      </w:r>
      <w:r>
        <w:fldChar w:fldCharType="separate"/>
      </w:r>
      <w:r>
        <w:t>27</w:t>
      </w:r>
      <w:r>
        <w:fldChar w:fldCharType="end"/>
      </w:r>
      <w:r>
        <w:fldChar w:fldCharType="end"/>
      </w:r>
    </w:p>
    <w:p>
      <w:pPr>
        <w:pStyle w:val="2"/>
        <w:tabs>
          <w:tab w:val="right" w:leader="dot" w:pos="14572"/>
        </w:tabs>
      </w:pPr>
      <w:r>
        <w:fldChar w:fldCharType="begin"/>
      </w:r>
      <w:r>
        <w:instrText xml:space="preserve"> HYPERLINK \l _Toc29608 </w:instrText>
      </w:r>
      <w:r>
        <w:fldChar w:fldCharType="separate"/>
      </w:r>
      <w:r>
        <w:rPr>
          <w:rFonts w:ascii="黑体" w:hAnsi="黑体" w:eastAsia="黑体" w:cs="黑体"/>
        </w:rPr>
        <w:t>四、财政拨款“三公”经费预算情况及增减变化原因</w:t>
      </w:r>
      <w:r>
        <w:tab/>
      </w:r>
      <w:r>
        <w:fldChar w:fldCharType="begin"/>
      </w:r>
      <w:r>
        <w:instrText xml:space="preserve"> PAGEREF _Toc29608 \h </w:instrText>
      </w:r>
      <w:r>
        <w:fldChar w:fldCharType="separate"/>
      </w:r>
      <w:r>
        <w:t>27</w:t>
      </w:r>
      <w:r>
        <w:fldChar w:fldCharType="end"/>
      </w:r>
      <w:r>
        <w:fldChar w:fldCharType="end"/>
      </w:r>
    </w:p>
    <w:p>
      <w:pPr>
        <w:pStyle w:val="2"/>
        <w:tabs>
          <w:tab w:val="right" w:leader="dot" w:pos="14572"/>
        </w:tabs>
      </w:pPr>
      <w:r>
        <w:fldChar w:fldCharType="begin"/>
      </w:r>
      <w:r>
        <w:instrText xml:space="preserve"> HYPERLINK \l _Toc31650 </w:instrText>
      </w:r>
      <w:r>
        <w:fldChar w:fldCharType="separate"/>
      </w:r>
      <w:r>
        <w:rPr>
          <w:rFonts w:ascii="黑体" w:hAnsi="黑体" w:eastAsia="黑体" w:cs="黑体"/>
        </w:rPr>
        <w:t>五、部门整体绩效目标</w:t>
      </w:r>
      <w:r>
        <w:tab/>
      </w:r>
      <w:r>
        <w:fldChar w:fldCharType="begin"/>
      </w:r>
      <w:r>
        <w:instrText xml:space="preserve"> PAGEREF _Toc31650 \h </w:instrText>
      </w:r>
      <w:r>
        <w:fldChar w:fldCharType="separate"/>
      </w:r>
      <w:r>
        <w:t>27</w:t>
      </w:r>
      <w:r>
        <w:fldChar w:fldCharType="end"/>
      </w:r>
      <w:r>
        <w:fldChar w:fldCharType="end"/>
      </w:r>
    </w:p>
    <w:p>
      <w:pPr>
        <w:pStyle w:val="2"/>
        <w:tabs>
          <w:tab w:val="right" w:leader="dot" w:pos="14572"/>
        </w:tabs>
      </w:pPr>
      <w:r>
        <w:fldChar w:fldCharType="begin"/>
      </w:r>
      <w:r>
        <w:instrText xml:space="preserve"> HYPERLINK \l _Toc15432 </w:instrText>
      </w:r>
      <w:r>
        <w:fldChar w:fldCharType="separate"/>
      </w:r>
      <w:r>
        <w:rPr>
          <w:rFonts w:ascii="黑体" w:hAnsi="黑体" w:eastAsia="黑体" w:cs="黑体"/>
        </w:rPr>
        <w:t>六、部门主管专项资金预算安排情况及绩效目标</w:t>
      </w:r>
      <w:r>
        <w:tab/>
      </w:r>
      <w:r>
        <w:fldChar w:fldCharType="begin"/>
      </w:r>
      <w:r>
        <w:instrText xml:space="preserve"> PAGEREF _Toc15432 \h </w:instrText>
      </w:r>
      <w:r>
        <w:fldChar w:fldCharType="separate"/>
      </w:r>
      <w:r>
        <w:t>31</w:t>
      </w:r>
      <w:r>
        <w:fldChar w:fldCharType="end"/>
      </w:r>
      <w:r>
        <w:fldChar w:fldCharType="end"/>
      </w:r>
    </w:p>
    <w:p>
      <w:pPr>
        <w:pStyle w:val="2"/>
        <w:tabs>
          <w:tab w:val="right" w:leader="dot" w:pos="14572"/>
        </w:tabs>
      </w:pPr>
      <w:r>
        <w:fldChar w:fldCharType="begin"/>
      </w:r>
      <w:r>
        <w:instrText xml:space="preserve"> HYPERLINK \l _Toc19210 </w:instrText>
      </w:r>
      <w:r>
        <w:fldChar w:fldCharType="separate"/>
      </w:r>
      <w:r>
        <w:rPr>
          <w:rFonts w:ascii="黑体" w:hAnsi="黑体" w:eastAsia="黑体" w:cs="黑体"/>
        </w:rPr>
        <w:t>七、部门项目预算安排情况及绩效目标</w:t>
      </w:r>
      <w:r>
        <w:tab/>
      </w:r>
      <w:r>
        <w:fldChar w:fldCharType="begin"/>
      </w:r>
      <w:r>
        <w:instrText xml:space="preserve"> PAGEREF _Toc19210 \h </w:instrText>
      </w:r>
      <w:r>
        <w:fldChar w:fldCharType="separate"/>
      </w:r>
      <w:r>
        <w:t>32</w:t>
      </w:r>
      <w:r>
        <w:fldChar w:fldCharType="end"/>
      </w:r>
      <w:r>
        <w:fldChar w:fldCharType="end"/>
      </w:r>
    </w:p>
    <w:p>
      <w:pPr>
        <w:pStyle w:val="2"/>
        <w:tabs>
          <w:tab w:val="right" w:leader="dot" w:pos="14572"/>
        </w:tabs>
      </w:pPr>
      <w:r>
        <w:fldChar w:fldCharType="begin"/>
      </w:r>
      <w:r>
        <w:instrText xml:space="preserve"> HYPERLINK \l _Toc23893 </w:instrText>
      </w:r>
      <w:r>
        <w:fldChar w:fldCharType="separate"/>
      </w:r>
      <w:r>
        <w:rPr>
          <w:rFonts w:ascii="黑体" w:hAnsi="黑体" w:eastAsia="黑体" w:cs="黑体"/>
        </w:rPr>
        <w:t>八、政府采购预算情况</w:t>
      </w:r>
      <w:r>
        <w:tab/>
      </w:r>
      <w:r>
        <w:fldChar w:fldCharType="begin"/>
      </w:r>
      <w:r>
        <w:instrText xml:space="preserve"> PAGEREF _Toc23893 \h </w:instrText>
      </w:r>
      <w:r>
        <w:fldChar w:fldCharType="separate"/>
      </w:r>
      <w:r>
        <w:t>125</w:t>
      </w:r>
      <w:r>
        <w:fldChar w:fldCharType="end"/>
      </w:r>
      <w:r>
        <w:fldChar w:fldCharType="end"/>
      </w:r>
    </w:p>
    <w:p>
      <w:pPr>
        <w:pStyle w:val="2"/>
        <w:tabs>
          <w:tab w:val="right" w:leader="dot" w:pos="14572"/>
        </w:tabs>
      </w:pPr>
      <w:r>
        <w:fldChar w:fldCharType="begin"/>
      </w:r>
      <w:r>
        <w:instrText xml:space="preserve"> HYPERLINK \l _Toc6317 </w:instrText>
      </w:r>
      <w:r>
        <w:fldChar w:fldCharType="separate"/>
      </w:r>
      <w:r>
        <w:rPr>
          <w:rFonts w:ascii="黑体" w:hAnsi="黑体" w:eastAsia="黑体" w:cs="黑体"/>
        </w:rPr>
        <w:t>九、国有资产信息</w:t>
      </w:r>
      <w:r>
        <w:tab/>
      </w:r>
      <w:r>
        <w:fldChar w:fldCharType="begin"/>
      </w:r>
      <w:r>
        <w:instrText xml:space="preserve"> PAGEREF _Toc6317 \h </w:instrText>
      </w:r>
      <w:r>
        <w:fldChar w:fldCharType="separate"/>
      </w:r>
      <w:r>
        <w:t>125</w:t>
      </w:r>
      <w:r>
        <w:fldChar w:fldCharType="end"/>
      </w:r>
      <w:r>
        <w:fldChar w:fldCharType="end"/>
      </w:r>
    </w:p>
    <w:p>
      <w:pPr>
        <w:pStyle w:val="2"/>
        <w:tabs>
          <w:tab w:val="right" w:leader="dot" w:pos="14572"/>
        </w:tabs>
      </w:pPr>
      <w:r>
        <w:fldChar w:fldCharType="begin"/>
      </w:r>
      <w:r>
        <w:instrText xml:space="preserve"> HYPERLINK \l _Toc17966 </w:instrText>
      </w:r>
      <w:r>
        <w:fldChar w:fldCharType="separate"/>
      </w:r>
      <w:r>
        <w:rPr>
          <w:rFonts w:ascii="黑体" w:hAnsi="黑体" w:eastAsia="黑体" w:cs="黑体"/>
        </w:rPr>
        <w:t>十、名词解释</w:t>
      </w:r>
      <w:r>
        <w:tab/>
      </w:r>
      <w:r>
        <w:fldChar w:fldCharType="begin"/>
      </w:r>
      <w:r>
        <w:instrText xml:space="preserve"> PAGEREF _Toc17966 \h </w:instrText>
      </w:r>
      <w:r>
        <w:fldChar w:fldCharType="separate"/>
      </w:r>
      <w:r>
        <w:t>126</w:t>
      </w:r>
      <w:r>
        <w:fldChar w:fldCharType="end"/>
      </w:r>
      <w:r>
        <w:fldChar w:fldCharType="end"/>
      </w:r>
    </w:p>
    <w:p>
      <w:pPr>
        <w:pStyle w:val="2"/>
        <w:tabs>
          <w:tab w:val="right" w:leader="dot" w:pos="14572"/>
        </w:tabs>
      </w:pPr>
      <w:r>
        <w:fldChar w:fldCharType="begin"/>
      </w:r>
      <w:r>
        <w:instrText xml:space="preserve"> HYPERLINK \l _Toc15488 </w:instrText>
      </w:r>
      <w:r>
        <w:fldChar w:fldCharType="separate"/>
      </w:r>
      <w:r>
        <w:rPr>
          <w:rFonts w:ascii="黑体" w:hAnsi="黑体" w:eastAsia="黑体" w:cs="黑体"/>
        </w:rPr>
        <w:t>十一、其他需要说明的事项</w:t>
      </w:r>
      <w:r>
        <w:tab/>
      </w:r>
      <w:r>
        <w:fldChar w:fldCharType="begin"/>
      </w:r>
      <w:r>
        <w:instrText xml:space="preserve"> PAGEREF _Toc15488 \h </w:instrText>
      </w:r>
      <w:r>
        <w:fldChar w:fldCharType="separate"/>
      </w:r>
      <w:r>
        <w:t>127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17593"/>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1269.71</w:t>
            </w:r>
          </w:p>
        </w:tc>
        <w:tc>
          <w:tcPr>
            <w:tcW w:w="4535" w:type="dxa"/>
            <w:vAlign w:val="center"/>
          </w:tcPr>
          <w:p>
            <w:pPr>
              <w:pStyle w:val="13"/>
            </w:pPr>
            <w:r>
              <w:t>一、一般公共服务支出</w:t>
            </w:r>
          </w:p>
        </w:tc>
        <w:tc>
          <w:tcPr>
            <w:tcW w:w="2126" w:type="dxa"/>
            <w:vAlign w:val="center"/>
          </w:tcPr>
          <w:p>
            <w:pPr>
              <w:pStyle w:val="12"/>
            </w:pPr>
            <w:r>
              <w:t>840.09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157.27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29.05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158.71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1269.71</w:t>
            </w:r>
          </w:p>
        </w:tc>
        <w:tc>
          <w:tcPr>
            <w:tcW w:w="4535" w:type="dxa"/>
            <w:vAlign w:val="center"/>
          </w:tcPr>
          <w:p>
            <w:pPr>
              <w:pStyle w:val="15"/>
            </w:pPr>
            <w:r>
              <w:t>本年支出合计</w:t>
            </w:r>
          </w:p>
        </w:tc>
        <w:tc>
          <w:tcPr>
            <w:tcW w:w="2126" w:type="dxa"/>
            <w:vAlign w:val="center"/>
          </w:tcPr>
          <w:p>
            <w:pPr>
              <w:pStyle w:val="16"/>
            </w:pPr>
            <w:r>
              <w:t>1269.71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1269.71</w:t>
            </w:r>
          </w:p>
        </w:tc>
        <w:tc>
          <w:tcPr>
            <w:tcW w:w="4535" w:type="dxa"/>
            <w:vAlign w:val="center"/>
          </w:tcPr>
          <w:p>
            <w:pPr>
              <w:pStyle w:val="15"/>
            </w:pPr>
            <w:r>
              <w:t>支出总计</w:t>
            </w:r>
          </w:p>
        </w:tc>
        <w:tc>
          <w:tcPr>
            <w:tcW w:w="2126" w:type="dxa"/>
            <w:vAlign w:val="center"/>
          </w:tcPr>
          <w:p>
            <w:pPr>
              <w:pStyle w:val="16"/>
            </w:pPr>
            <w:r>
              <w:t>1269.71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29558"/>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1269.71</w:t>
            </w:r>
          </w:p>
        </w:tc>
        <w:tc>
          <w:tcPr>
            <w:tcW w:w="1134" w:type="dxa"/>
            <w:vAlign w:val="center"/>
          </w:tcPr>
          <w:p>
            <w:pPr>
              <w:pStyle w:val="16"/>
            </w:pPr>
            <w:r>
              <w:t>1269.71</w:t>
            </w:r>
          </w:p>
        </w:tc>
        <w:tc>
          <w:tcPr>
            <w:tcW w:w="1134" w:type="dxa"/>
            <w:vAlign w:val="center"/>
          </w:tcPr>
          <w:p>
            <w:pPr>
              <w:pStyle w:val="16"/>
            </w:pPr>
            <w:r>
              <w:t>1269.71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840.09</w:t>
            </w:r>
          </w:p>
        </w:tc>
        <w:tc>
          <w:tcPr>
            <w:tcW w:w="1134" w:type="dxa"/>
            <w:vAlign w:val="center"/>
          </w:tcPr>
          <w:p>
            <w:pPr>
              <w:pStyle w:val="12"/>
            </w:pPr>
            <w:r>
              <w:t>840.09</w:t>
            </w:r>
          </w:p>
        </w:tc>
        <w:tc>
          <w:tcPr>
            <w:tcW w:w="1134" w:type="dxa"/>
            <w:vAlign w:val="center"/>
          </w:tcPr>
          <w:p>
            <w:pPr>
              <w:pStyle w:val="12"/>
            </w:pPr>
            <w:r>
              <w:t>840.09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829.19</w:t>
            </w:r>
          </w:p>
        </w:tc>
        <w:tc>
          <w:tcPr>
            <w:tcW w:w="1134" w:type="dxa"/>
            <w:vAlign w:val="center"/>
          </w:tcPr>
          <w:p>
            <w:pPr>
              <w:pStyle w:val="12"/>
            </w:pPr>
            <w:r>
              <w:t>829.19</w:t>
            </w:r>
          </w:p>
        </w:tc>
        <w:tc>
          <w:tcPr>
            <w:tcW w:w="1134" w:type="dxa"/>
            <w:vAlign w:val="center"/>
          </w:tcPr>
          <w:p>
            <w:pPr>
              <w:pStyle w:val="12"/>
            </w:pPr>
            <w:r>
              <w:t>829.19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361.26</w:t>
            </w:r>
          </w:p>
        </w:tc>
        <w:tc>
          <w:tcPr>
            <w:tcW w:w="1134" w:type="dxa"/>
            <w:vAlign w:val="center"/>
          </w:tcPr>
          <w:p>
            <w:pPr>
              <w:pStyle w:val="12"/>
            </w:pPr>
            <w:r>
              <w:t>361.26</w:t>
            </w:r>
          </w:p>
        </w:tc>
        <w:tc>
          <w:tcPr>
            <w:tcW w:w="1134" w:type="dxa"/>
            <w:vAlign w:val="center"/>
          </w:tcPr>
          <w:p>
            <w:pPr>
              <w:pStyle w:val="12"/>
            </w:pPr>
            <w:r>
              <w:t>361.26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r>
              <w:t>37.50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430.43</w:t>
            </w:r>
          </w:p>
        </w:tc>
        <w:tc>
          <w:tcPr>
            <w:tcW w:w="1134" w:type="dxa"/>
            <w:vAlign w:val="center"/>
          </w:tcPr>
          <w:p>
            <w:pPr>
              <w:pStyle w:val="12"/>
            </w:pPr>
            <w:r>
              <w:t>430.43</w:t>
            </w:r>
          </w:p>
        </w:tc>
        <w:tc>
          <w:tcPr>
            <w:tcW w:w="1134" w:type="dxa"/>
            <w:vAlign w:val="center"/>
          </w:tcPr>
          <w:p>
            <w:pPr>
              <w:pStyle w:val="12"/>
            </w:pPr>
            <w:r>
              <w:t>430.43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r>
              <w:t>1.50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r>
              <w:t>4.86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157.27</w:t>
            </w:r>
          </w:p>
        </w:tc>
        <w:tc>
          <w:tcPr>
            <w:tcW w:w="1134" w:type="dxa"/>
            <w:vAlign w:val="center"/>
          </w:tcPr>
          <w:p>
            <w:pPr>
              <w:pStyle w:val="12"/>
            </w:pPr>
            <w:r>
              <w:t>157.27</w:t>
            </w:r>
          </w:p>
        </w:tc>
        <w:tc>
          <w:tcPr>
            <w:tcW w:w="1134" w:type="dxa"/>
            <w:vAlign w:val="center"/>
          </w:tcPr>
          <w:p>
            <w:pPr>
              <w:pStyle w:val="12"/>
            </w:pPr>
            <w:r>
              <w:t>157.27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151.45</w:t>
            </w:r>
          </w:p>
        </w:tc>
        <w:tc>
          <w:tcPr>
            <w:tcW w:w="1134" w:type="dxa"/>
            <w:vAlign w:val="center"/>
          </w:tcPr>
          <w:p>
            <w:pPr>
              <w:pStyle w:val="12"/>
            </w:pPr>
            <w:r>
              <w:t>151.45</w:t>
            </w:r>
          </w:p>
        </w:tc>
        <w:tc>
          <w:tcPr>
            <w:tcW w:w="1134" w:type="dxa"/>
            <w:vAlign w:val="center"/>
          </w:tcPr>
          <w:p>
            <w:pPr>
              <w:pStyle w:val="12"/>
            </w:pPr>
            <w:r>
              <w:t>151.45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r>
              <w:t>19.63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22.54</w:t>
            </w:r>
          </w:p>
        </w:tc>
        <w:tc>
          <w:tcPr>
            <w:tcW w:w="1134" w:type="dxa"/>
            <w:vAlign w:val="center"/>
          </w:tcPr>
          <w:p>
            <w:pPr>
              <w:pStyle w:val="12"/>
            </w:pPr>
            <w:r>
              <w:t>22.54</w:t>
            </w:r>
          </w:p>
        </w:tc>
        <w:tc>
          <w:tcPr>
            <w:tcW w:w="1134" w:type="dxa"/>
            <w:vAlign w:val="center"/>
          </w:tcPr>
          <w:p>
            <w:pPr>
              <w:pStyle w:val="12"/>
            </w:pPr>
            <w:r>
              <w:t>22.54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85.26</w:t>
            </w:r>
          </w:p>
        </w:tc>
        <w:tc>
          <w:tcPr>
            <w:tcW w:w="1134" w:type="dxa"/>
            <w:vAlign w:val="center"/>
          </w:tcPr>
          <w:p>
            <w:pPr>
              <w:pStyle w:val="12"/>
            </w:pPr>
            <w:r>
              <w:t>85.26</w:t>
            </w:r>
          </w:p>
        </w:tc>
        <w:tc>
          <w:tcPr>
            <w:tcW w:w="1134" w:type="dxa"/>
            <w:vAlign w:val="center"/>
          </w:tcPr>
          <w:p>
            <w:pPr>
              <w:pStyle w:val="12"/>
            </w:pPr>
            <w:r>
              <w:t>85.26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24.02</w:t>
            </w:r>
          </w:p>
        </w:tc>
        <w:tc>
          <w:tcPr>
            <w:tcW w:w="1134" w:type="dxa"/>
            <w:vAlign w:val="center"/>
          </w:tcPr>
          <w:p>
            <w:pPr>
              <w:pStyle w:val="12"/>
            </w:pPr>
            <w:r>
              <w:t>24.02</w:t>
            </w:r>
          </w:p>
        </w:tc>
        <w:tc>
          <w:tcPr>
            <w:tcW w:w="1134" w:type="dxa"/>
            <w:vAlign w:val="center"/>
          </w:tcPr>
          <w:p>
            <w:pPr>
              <w:pStyle w:val="12"/>
            </w:pPr>
            <w:r>
              <w:t>24.02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5.82</w:t>
            </w:r>
          </w:p>
        </w:tc>
        <w:tc>
          <w:tcPr>
            <w:tcW w:w="1134" w:type="dxa"/>
            <w:vAlign w:val="center"/>
          </w:tcPr>
          <w:p>
            <w:pPr>
              <w:pStyle w:val="12"/>
            </w:pPr>
            <w:r>
              <w:t>5.82</w:t>
            </w:r>
          </w:p>
        </w:tc>
        <w:tc>
          <w:tcPr>
            <w:tcW w:w="1134" w:type="dxa"/>
            <w:vAlign w:val="center"/>
          </w:tcPr>
          <w:p>
            <w:pPr>
              <w:pStyle w:val="12"/>
            </w:pPr>
            <w:r>
              <w:t>5.82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5.82</w:t>
            </w:r>
          </w:p>
        </w:tc>
        <w:tc>
          <w:tcPr>
            <w:tcW w:w="1134" w:type="dxa"/>
            <w:vAlign w:val="center"/>
          </w:tcPr>
          <w:p>
            <w:pPr>
              <w:pStyle w:val="12"/>
            </w:pPr>
            <w:r>
              <w:t>5.82</w:t>
            </w:r>
          </w:p>
        </w:tc>
        <w:tc>
          <w:tcPr>
            <w:tcW w:w="1134" w:type="dxa"/>
            <w:vAlign w:val="center"/>
          </w:tcPr>
          <w:p>
            <w:pPr>
              <w:pStyle w:val="12"/>
            </w:pPr>
            <w:r>
              <w:t>5.82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29.05</w:t>
            </w:r>
          </w:p>
        </w:tc>
        <w:tc>
          <w:tcPr>
            <w:tcW w:w="1134" w:type="dxa"/>
            <w:vAlign w:val="center"/>
          </w:tcPr>
          <w:p>
            <w:pPr>
              <w:pStyle w:val="12"/>
            </w:pPr>
            <w:r>
              <w:t>29.05</w:t>
            </w:r>
          </w:p>
        </w:tc>
        <w:tc>
          <w:tcPr>
            <w:tcW w:w="1134" w:type="dxa"/>
            <w:vAlign w:val="center"/>
          </w:tcPr>
          <w:p>
            <w:pPr>
              <w:pStyle w:val="12"/>
            </w:pPr>
            <w:r>
              <w:t>29.05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29.05</w:t>
            </w:r>
          </w:p>
        </w:tc>
        <w:tc>
          <w:tcPr>
            <w:tcW w:w="1134" w:type="dxa"/>
            <w:vAlign w:val="center"/>
          </w:tcPr>
          <w:p>
            <w:pPr>
              <w:pStyle w:val="12"/>
            </w:pPr>
            <w:r>
              <w:t>29.05</w:t>
            </w:r>
          </w:p>
        </w:tc>
        <w:tc>
          <w:tcPr>
            <w:tcW w:w="1134" w:type="dxa"/>
            <w:vAlign w:val="center"/>
          </w:tcPr>
          <w:p>
            <w:pPr>
              <w:pStyle w:val="12"/>
            </w:pPr>
            <w:r>
              <w:t>29.05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29.05</w:t>
            </w:r>
          </w:p>
        </w:tc>
        <w:tc>
          <w:tcPr>
            <w:tcW w:w="1134" w:type="dxa"/>
            <w:vAlign w:val="center"/>
          </w:tcPr>
          <w:p>
            <w:pPr>
              <w:pStyle w:val="12"/>
            </w:pPr>
            <w:r>
              <w:t>29.05</w:t>
            </w:r>
          </w:p>
        </w:tc>
        <w:tc>
          <w:tcPr>
            <w:tcW w:w="1134" w:type="dxa"/>
            <w:vAlign w:val="center"/>
          </w:tcPr>
          <w:p>
            <w:pPr>
              <w:pStyle w:val="12"/>
            </w:pPr>
            <w:r>
              <w:t>29.05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r>
              <w:t>1.00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158.71</w:t>
            </w:r>
          </w:p>
        </w:tc>
        <w:tc>
          <w:tcPr>
            <w:tcW w:w="1134" w:type="dxa"/>
            <w:vAlign w:val="center"/>
          </w:tcPr>
          <w:p>
            <w:pPr>
              <w:pStyle w:val="12"/>
            </w:pPr>
            <w:r>
              <w:t>158.71</w:t>
            </w:r>
          </w:p>
        </w:tc>
        <w:tc>
          <w:tcPr>
            <w:tcW w:w="1134" w:type="dxa"/>
            <w:vAlign w:val="center"/>
          </w:tcPr>
          <w:p>
            <w:pPr>
              <w:pStyle w:val="12"/>
            </w:pPr>
            <w:r>
              <w:t>158.71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18.56</w:t>
            </w:r>
          </w:p>
        </w:tc>
        <w:tc>
          <w:tcPr>
            <w:tcW w:w="1134" w:type="dxa"/>
            <w:vAlign w:val="center"/>
          </w:tcPr>
          <w:p>
            <w:pPr>
              <w:pStyle w:val="12"/>
            </w:pPr>
            <w:r>
              <w:t>18.56</w:t>
            </w:r>
          </w:p>
        </w:tc>
        <w:tc>
          <w:tcPr>
            <w:tcW w:w="1134" w:type="dxa"/>
            <w:vAlign w:val="center"/>
          </w:tcPr>
          <w:p>
            <w:pPr>
              <w:pStyle w:val="12"/>
            </w:pPr>
            <w:r>
              <w:t>18.56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18.56</w:t>
            </w:r>
          </w:p>
        </w:tc>
        <w:tc>
          <w:tcPr>
            <w:tcW w:w="1134" w:type="dxa"/>
            <w:vAlign w:val="center"/>
          </w:tcPr>
          <w:p>
            <w:pPr>
              <w:pStyle w:val="12"/>
            </w:pPr>
            <w:r>
              <w:t>18.56</w:t>
            </w:r>
          </w:p>
        </w:tc>
        <w:tc>
          <w:tcPr>
            <w:tcW w:w="1134" w:type="dxa"/>
            <w:vAlign w:val="center"/>
          </w:tcPr>
          <w:p>
            <w:pPr>
              <w:pStyle w:val="12"/>
            </w:pPr>
            <w:r>
              <w:t>18.56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140.15</w:t>
            </w:r>
          </w:p>
        </w:tc>
        <w:tc>
          <w:tcPr>
            <w:tcW w:w="1134" w:type="dxa"/>
            <w:vAlign w:val="center"/>
          </w:tcPr>
          <w:p>
            <w:pPr>
              <w:pStyle w:val="12"/>
            </w:pPr>
            <w:r>
              <w:t>140.15</w:t>
            </w:r>
          </w:p>
        </w:tc>
        <w:tc>
          <w:tcPr>
            <w:tcW w:w="1134" w:type="dxa"/>
            <w:vAlign w:val="center"/>
          </w:tcPr>
          <w:p>
            <w:pPr>
              <w:pStyle w:val="12"/>
            </w:pPr>
            <w:r>
              <w:t>140.15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r>
              <w:t>30.00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110.15</w:t>
            </w:r>
          </w:p>
        </w:tc>
        <w:tc>
          <w:tcPr>
            <w:tcW w:w="1134" w:type="dxa"/>
            <w:vAlign w:val="center"/>
          </w:tcPr>
          <w:p>
            <w:pPr>
              <w:pStyle w:val="12"/>
            </w:pPr>
            <w:r>
              <w:t>110.15</w:t>
            </w:r>
          </w:p>
        </w:tc>
        <w:tc>
          <w:tcPr>
            <w:tcW w:w="1134" w:type="dxa"/>
            <w:vAlign w:val="center"/>
          </w:tcPr>
          <w:p>
            <w:pPr>
              <w:pStyle w:val="12"/>
            </w:pPr>
            <w:r>
              <w:t>110.15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220</w:t>
            </w:r>
          </w:p>
        </w:tc>
        <w:tc>
          <w:tcPr>
            <w:tcW w:w="1559" w:type="dxa"/>
            <w:vAlign w:val="center"/>
          </w:tcPr>
          <w:p>
            <w:pPr>
              <w:pStyle w:val="13"/>
            </w:pPr>
            <w:r>
              <w:t>自然资源海洋气象等支出</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22001</w:t>
            </w:r>
          </w:p>
        </w:tc>
        <w:tc>
          <w:tcPr>
            <w:tcW w:w="1559" w:type="dxa"/>
            <w:vAlign w:val="center"/>
          </w:tcPr>
          <w:p>
            <w:pPr>
              <w:pStyle w:val="13"/>
            </w:pPr>
            <w:r>
              <w:t>自然资源事务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2200102</w:t>
            </w:r>
          </w:p>
        </w:tc>
        <w:tc>
          <w:tcPr>
            <w:tcW w:w="1559" w:type="dxa"/>
            <w:vAlign w:val="center"/>
          </w:tcPr>
          <w:p>
            <w:pPr>
              <w:pStyle w:val="13"/>
            </w:pPr>
            <w:r>
              <w:t>一般行政管理事务</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r>
              <w:t>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r>
              <w:t>70.00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r>
              <w:t>0.93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13879"/>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1269.71</w:t>
            </w:r>
          </w:p>
        </w:tc>
        <w:tc>
          <w:tcPr>
            <w:tcW w:w="1361" w:type="dxa"/>
            <w:vAlign w:val="center"/>
          </w:tcPr>
          <w:p>
            <w:pPr>
              <w:pStyle w:val="16"/>
            </w:pPr>
            <w:r>
              <w:t>1042.19</w:t>
            </w:r>
          </w:p>
        </w:tc>
        <w:tc>
          <w:tcPr>
            <w:tcW w:w="1361" w:type="dxa"/>
            <w:vAlign w:val="center"/>
          </w:tcPr>
          <w:p>
            <w:pPr>
              <w:pStyle w:val="16"/>
            </w:pPr>
            <w:r>
              <w:t>227.52</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840.09</w:t>
            </w:r>
          </w:p>
        </w:tc>
        <w:tc>
          <w:tcPr>
            <w:tcW w:w="1361" w:type="dxa"/>
            <w:vAlign w:val="center"/>
          </w:tcPr>
          <w:p>
            <w:pPr>
              <w:pStyle w:val="12"/>
            </w:pPr>
            <w:r>
              <w:t>791.69</w:t>
            </w:r>
          </w:p>
        </w:tc>
        <w:tc>
          <w:tcPr>
            <w:tcW w:w="1361" w:type="dxa"/>
            <w:vAlign w:val="center"/>
          </w:tcPr>
          <w:p>
            <w:pPr>
              <w:pStyle w:val="12"/>
            </w:pPr>
            <w:r>
              <w:t>48.40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829.19</w:t>
            </w:r>
          </w:p>
        </w:tc>
        <w:tc>
          <w:tcPr>
            <w:tcW w:w="1361" w:type="dxa"/>
            <w:vAlign w:val="center"/>
          </w:tcPr>
          <w:p>
            <w:pPr>
              <w:pStyle w:val="12"/>
            </w:pPr>
            <w:r>
              <w:t>791.69</w:t>
            </w:r>
          </w:p>
        </w:tc>
        <w:tc>
          <w:tcPr>
            <w:tcW w:w="1361" w:type="dxa"/>
            <w:vAlign w:val="center"/>
          </w:tcPr>
          <w:p>
            <w:pPr>
              <w:pStyle w:val="12"/>
            </w:pPr>
            <w:r>
              <w:t>37.50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361.26</w:t>
            </w:r>
          </w:p>
        </w:tc>
        <w:tc>
          <w:tcPr>
            <w:tcW w:w="1361" w:type="dxa"/>
            <w:vAlign w:val="center"/>
          </w:tcPr>
          <w:p>
            <w:pPr>
              <w:pStyle w:val="12"/>
            </w:pPr>
            <w:r>
              <w:t>361.26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37.50</w:t>
            </w:r>
          </w:p>
        </w:tc>
        <w:tc>
          <w:tcPr>
            <w:tcW w:w="1361" w:type="dxa"/>
            <w:vAlign w:val="center"/>
          </w:tcPr>
          <w:p>
            <w:pPr>
              <w:pStyle w:val="12"/>
            </w:pPr>
          </w:p>
        </w:tc>
        <w:tc>
          <w:tcPr>
            <w:tcW w:w="1361" w:type="dxa"/>
            <w:vAlign w:val="center"/>
          </w:tcPr>
          <w:p>
            <w:pPr>
              <w:pStyle w:val="12"/>
            </w:pPr>
            <w:r>
              <w:t>37.50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430.43</w:t>
            </w:r>
          </w:p>
        </w:tc>
        <w:tc>
          <w:tcPr>
            <w:tcW w:w="1361" w:type="dxa"/>
            <w:vAlign w:val="center"/>
          </w:tcPr>
          <w:p>
            <w:pPr>
              <w:pStyle w:val="12"/>
            </w:pPr>
            <w:r>
              <w:t>430.43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r>
              <w:t>1.50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r>
              <w:t>4.86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157.27</w:t>
            </w:r>
          </w:p>
        </w:tc>
        <w:tc>
          <w:tcPr>
            <w:tcW w:w="1361" w:type="dxa"/>
            <w:vAlign w:val="center"/>
          </w:tcPr>
          <w:p>
            <w:pPr>
              <w:pStyle w:val="12"/>
            </w:pPr>
            <w:r>
              <w:t>151.45</w:t>
            </w:r>
          </w:p>
        </w:tc>
        <w:tc>
          <w:tcPr>
            <w:tcW w:w="1361" w:type="dxa"/>
            <w:vAlign w:val="center"/>
          </w:tcPr>
          <w:p>
            <w:pPr>
              <w:pStyle w:val="12"/>
            </w:pPr>
            <w:r>
              <w:t>5.82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151.45</w:t>
            </w:r>
          </w:p>
        </w:tc>
        <w:tc>
          <w:tcPr>
            <w:tcW w:w="1361" w:type="dxa"/>
            <w:vAlign w:val="center"/>
          </w:tcPr>
          <w:p>
            <w:pPr>
              <w:pStyle w:val="12"/>
            </w:pPr>
            <w:r>
              <w:t>151.45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19.63</w:t>
            </w:r>
          </w:p>
        </w:tc>
        <w:tc>
          <w:tcPr>
            <w:tcW w:w="1361" w:type="dxa"/>
            <w:vAlign w:val="center"/>
          </w:tcPr>
          <w:p>
            <w:pPr>
              <w:pStyle w:val="12"/>
            </w:pPr>
            <w:r>
              <w:t>19.63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22.54</w:t>
            </w:r>
          </w:p>
        </w:tc>
        <w:tc>
          <w:tcPr>
            <w:tcW w:w="1361" w:type="dxa"/>
            <w:vAlign w:val="center"/>
          </w:tcPr>
          <w:p>
            <w:pPr>
              <w:pStyle w:val="12"/>
            </w:pPr>
            <w:r>
              <w:t>22.54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85.26</w:t>
            </w:r>
          </w:p>
        </w:tc>
        <w:tc>
          <w:tcPr>
            <w:tcW w:w="1361" w:type="dxa"/>
            <w:vAlign w:val="center"/>
          </w:tcPr>
          <w:p>
            <w:pPr>
              <w:pStyle w:val="12"/>
            </w:pPr>
            <w:r>
              <w:t>85.26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24.02</w:t>
            </w:r>
          </w:p>
        </w:tc>
        <w:tc>
          <w:tcPr>
            <w:tcW w:w="1361" w:type="dxa"/>
            <w:vAlign w:val="center"/>
          </w:tcPr>
          <w:p>
            <w:pPr>
              <w:pStyle w:val="12"/>
            </w:pPr>
            <w:r>
              <w:t>24.02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5.82</w:t>
            </w:r>
          </w:p>
        </w:tc>
        <w:tc>
          <w:tcPr>
            <w:tcW w:w="1361" w:type="dxa"/>
            <w:vAlign w:val="center"/>
          </w:tcPr>
          <w:p>
            <w:pPr>
              <w:pStyle w:val="12"/>
            </w:pPr>
          </w:p>
        </w:tc>
        <w:tc>
          <w:tcPr>
            <w:tcW w:w="1361" w:type="dxa"/>
            <w:vAlign w:val="center"/>
          </w:tcPr>
          <w:p>
            <w:pPr>
              <w:pStyle w:val="12"/>
            </w:pPr>
            <w:r>
              <w:t>5.82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5.82</w:t>
            </w:r>
          </w:p>
        </w:tc>
        <w:tc>
          <w:tcPr>
            <w:tcW w:w="1361" w:type="dxa"/>
            <w:vAlign w:val="center"/>
          </w:tcPr>
          <w:p>
            <w:pPr>
              <w:pStyle w:val="12"/>
            </w:pPr>
          </w:p>
        </w:tc>
        <w:tc>
          <w:tcPr>
            <w:tcW w:w="1361" w:type="dxa"/>
            <w:vAlign w:val="center"/>
          </w:tcPr>
          <w:p>
            <w:pPr>
              <w:pStyle w:val="12"/>
            </w:pPr>
            <w:r>
              <w:t>5.82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29.05</w:t>
            </w:r>
          </w:p>
        </w:tc>
        <w:tc>
          <w:tcPr>
            <w:tcW w:w="1361" w:type="dxa"/>
            <w:vAlign w:val="center"/>
          </w:tcPr>
          <w:p>
            <w:pPr>
              <w:pStyle w:val="12"/>
            </w:pPr>
            <w:r>
              <w:t>29.05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29.05</w:t>
            </w:r>
          </w:p>
        </w:tc>
        <w:tc>
          <w:tcPr>
            <w:tcW w:w="1361" w:type="dxa"/>
            <w:vAlign w:val="center"/>
          </w:tcPr>
          <w:p>
            <w:pPr>
              <w:pStyle w:val="12"/>
            </w:pPr>
            <w:r>
              <w:t>29.05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29.05</w:t>
            </w:r>
          </w:p>
        </w:tc>
        <w:tc>
          <w:tcPr>
            <w:tcW w:w="1361" w:type="dxa"/>
            <w:vAlign w:val="center"/>
          </w:tcPr>
          <w:p>
            <w:pPr>
              <w:pStyle w:val="12"/>
            </w:pPr>
            <w:r>
              <w:t>29.05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r>
              <w:t>1.00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158.71</w:t>
            </w:r>
          </w:p>
        </w:tc>
        <w:tc>
          <w:tcPr>
            <w:tcW w:w="1361" w:type="dxa"/>
            <w:vAlign w:val="center"/>
          </w:tcPr>
          <w:p>
            <w:pPr>
              <w:pStyle w:val="12"/>
            </w:pPr>
          </w:p>
        </w:tc>
        <w:tc>
          <w:tcPr>
            <w:tcW w:w="1361" w:type="dxa"/>
            <w:vAlign w:val="center"/>
          </w:tcPr>
          <w:p>
            <w:pPr>
              <w:pStyle w:val="12"/>
            </w:pPr>
            <w:r>
              <w:t>158.71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18.56</w:t>
            </w:r>
          </w:p>
        </w:tc>
        <w:tc>
          <w:tcPr>
            <w:tcW w:w="1361" w:type="dxa"/>
            <w:vAlign w:val="center"/>
          </w:tcPr>
          <w:p>
            <w:pPr>
              <w:pStyle w:val="12"/>
            </w:pPr>
          </w:p>
        </w:tc>
        <w:tc>
          <w:tcPr>
            <w:tcW w:w="1361" w:type="dxa"/>
            <w:vAlign w:val="center"/>
          </w:tcPr>
          <w:p>
            <w:pPr>
              <w:pStyle w:val="12"/>
            </w:pPr>
            <w:r>
              <w:t>18.56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18.56</w:t>
            </w:r>
          </w:p>
        </w:tc>
        <w:tc>
          <w:tcPr>
            <w:tcW w:w="1361" w:type="dxa"/>
            <w:vAlign w:val="center"/>
          </w:tcPr>
          <w:p>
            <w:pPr>
              <w:pStyle w:val="12"/>
            </w:pPr>
          </w:p>
        </w:tc>
        <w:tc>
          <w:tcPr>
            <w:tcW w:w="1361" w:type="dxa"/>
            <w:vAlign w:val="center"/>
          </w:tcPr>
          <w:p>
            <w:pPr>
              <w:pStyle w:val="12"/>
            </w:pPr>
            <w:r>
              <w:t>18.56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140.15</w:t>
            </w:r>
          </w:p>
        </w:tc>
        <w:tc>
          <w:tcPr>
            <w:tcW w:w="1361" w:type="dxa"/>
            <w:vAlign w:val="center"/>
          </w:tcPr>
          <w:p>
            <w:pPr>
              <w:pStyle w:val="12"/>
            </w:pPr>
          </w:p>
        </w:tc>
        <w:tc>
          <w:tcPr>
            <w:tcW w:w="1361" w:type="dxa"/>
            <w:vAlign w:val="center"/>
          </w:tcPr>
          <w:p>
            <w:pPr>
              <w:pStyle w:val="12"/>
            </w:pPr>
            <w:r>
              <w:t>140.15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r>
              <w:t>30.00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110.15</w:t>
            </w:r>
          </w:p>
        </w:tc>
        <w:tc>
          <w:tcPr>
            <w:tcW w:w="1361" w:type="dxa"/>
            <w:vAlign w:val="center"/>
          </w:tcPr>
          <w:p>
            <w:pPr>
              <w:pStyle w:val="12"/>
            </w:pPr>
          </w:p>
        </w:tc>
        <w:tc>
          <w:tcPr>
            <w:tcW w:w="1361" w:type="dxa"/>
            <w:vAlign w:val="center"/>
          </w:tcPr>
          <w:p>
            <w:pPr>
              <w:pStyle w:val="12"/>
            </w:pPr>
            <w:r>
              <w:t>110.15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220</w:t>
            </w:r>
          </w:p>
        </w:tc>
        <w:tc>
          <w:tcPr>
            <w:tcW w:w="4535" w:type="dxa"/>
            <w:vAlign w:val="center"/>
          </w:tcPr>
          <w:p>
            <w:pPr>
              <w:pStyle w:val="13"/>
            </w:pPr>
            <w:r>
              <w:t>自然资源海洋气象等支出</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22001</w:t>
            </w:r>
          </w:p>
        </w:tc>
        <w:tc>
          <w:tcPr>
            <w:tcW w:w="4535" w:type="dxa"/>
            <w:vAlign w:val="center"/>
          </w:tcPr>
          <w:p>
            <w:pPr>
              <w:pStyle w:val="13"/>
            </w:pPr>
            <w:r>
              <w:t>自然资源事务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2200102</w:t>
            </w:r>
          </w:p>
        </w:tc>
        <w:tc>
          <w:tcPr>
            <w:tcW w:w="4535" w:type="dxa"/>
            <w:vAlign w:val="center"/>
          </w:tcPr>
          <w:p>
            <w:pPr>
              <w:pStyle w:val="13"/>
            </w:pPr>
            <w:r>
              <w:t>一般行政管理事务</w:t>
            </w: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r>
              <w:t>2.80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70.00</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70.00</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70.00</w:t>
            </w:r>
          </w:p>
        </w:tc>
        <w:tc>
          <w:tcPr>
            <w:tcW w:w="1361" w:type="dxa"/>
            <w:vAlign w:val="center"/>
          </w:tcPr>
          <w:p>
            <w:pPr>
              <w:pStyle w:val="12"/>
            </w:pPr>
            <w:r>
              <w:t>70.00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r>
              <w:t>0.93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20855"/>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1269.71</w:t>
            </w:r>
          </w:p>
        </w:tc>
        <w:tc>
          <w:tcPr>
            <w:tcW w:w="3402" w:type="dxa"/>
            <w:vAlign w:val="center"/>
          </w:tcPr>
          <w:p>
            <w:pPr>
              <w:pStyle w:val="13"/>
            </w:pPr>
            <w:r>
              <w:t>一、一般公共服务支出</w:t>
            </w:r>
          </w:p>
        </w:tc>
        <w:tc>
          <w:tcPr>
            <w:tcW w:w="1474" w:type="dxa"/>
            <w:vAlign w:val="center"/>
          </w:tcPr>
          <w:p>
            <w:pPr>
              <w:pStyle w:val="12"/>
            </w:pPr>
            <w:r>
              <w:t>840.09</w:t>
            </w:r>
          </w:p>
        </w:tc>
        <w:tc>
          <w:tcPr>
            <w:tcW w:w="1474" w:type="dxa"/>
            <w:vAlign w:val="center"/>
          </w:tcPr>
          <w:p>
            <w:pPr>
              <w:pStyle w:val="12"/>
            </w:pPr>
            <w:r>
              <w:t>840.09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4.86</w:t>
            </w:r>
          </w:p>
        </w:tc>
        <w:tc>
          <w:tcPr>
            <w:tcW w:w="1474" w:type="dxa"/>
            <w:vAlign w:val="center"/>
          </w:tcPr>
          <w:p>
            <w:pPr>
              <w:pStyle w:val="12"/>
            </w:pPr>
            <w:r>
              <w:t>4.86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157.27</w:t>
            </w:r>
          </w:p>
        </w:tc>
        <w:tc>
          <w:tcPr>
            <w:tcW w:w="1474" w:type="dxa"/>
            <w:vAlign w:val="center"/>
          </w:tcPr>
          <w:p>
            <w:pPr>
              <w:pStyle w:val="12"/>
            </w:pPr>
            <w:r>
              <w:t>157.27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29.05</w:t>
            </w:r>
          </w:p>
        </w:tc>
        <w:tc>
          <w:tcPr>
            <w:tcW w:w="1474" w:type="dxa"/>
            <w:vAlign w:val="center"/>
          </w:tcPr>
          <w:p>
            <w:pPr>
              <w:pStyle w:val="12"/>
            </w:pPr>
            <w:r>
              <w:t>29.05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1.00</w:t>
            </w:r>
          </w:p>
        </w:tc>
        <w:tc>
          <w:tcPr>
            <w:tcW w:w="1474" w:type="dxa"/>
            <w:vAlign w:val="center"/>
          </w:tcPr>
          <w:p>
            <w:pPr>
              <w:pStyle w:val="12"/>
            </w:pPr>
            <w:r>
              <w:t>1.00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158.71</w:t>
            </w:r>
          </w:p>
        </w:tc>
        <w:tc>
          <w:tcPr>
            <w:tcW w:w="1474" w:type="dxa"/>
            <w:vAlign w:val="center"/>
          </w:tcPr>
          <w:p>
            <w:pPr>
              <w:pStyle w:val="12"/>
            </w:pPr>
            <w:r>
              <w:t>158.71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r>
              <w:t>2.80</w:t>
            </w:r>
          </w:p>
        </w:tc>
        <w:tc>
          <w:tcPr>
            <w:tcW w:w="1474" w:type="dxa"/>
            <w:vAlign w:val="center"/>
          </w:tcPr>
          <w:p>
            <w:pPr>
              <w:pStyle w:val="12"/>
            </w:pPr>
            <w:r>
              <w:t>2.80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70.00</w:t>
            </w:r>
          </w:p>
        </w:tc>
        <w:tc>
          <w:tcPr>
            <w:tcW w:w="1474" w:type="dxa"/>
            <w:vAlign w:val="center"/>
          </w:tcPr>
          <w:p>
            <w:pPr>
              <w:pStyle w:val="12"/>
            </w:pPr>
            <w:r>
              <w:t>70.00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0.93</w:t>
            </w:r>
          </w:p>
        </w:tc>
        <w:tc>
          <w:tcPr>
            <w:tcW w:w="1474" w:type="dxa"/>
            <w:vAlign w:val="center"/>
          </w:tcPr>
          <w:p>
            <w:pPr>
              <w:pStyle w:val="12"/>
            </w:pPr>
            <w:r>
              <w:t>0.93</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1269.71</w:t>
            </w:r>
          </w:p>
        </w:tc>
        <w:tc>
          <w:tcPr>
            <w:tcW w:w="3402" w:type="dxa"/>
            <w:vAlign w:val="center"/>
          </w:tcPr>
          <w:p>
            <w:pPr>
              <w:pStyle w:val="15"/>
            </w:pPr>
            <w:r>
              <w:t>本年支出合计</w:t>
            </w:r>
          </w:p>
        </w:tc>
        <w:tc>
          <w:tcPr>
            <w:tcW w:w="1474" w:type="dxa"/>
            <w:vAlign w:val="center"/>
          </w:tcPr>
          <w:p>
            <w:pPr>
              <w:pStyle w:val="16"/>
            </w:pPr>
            <w:r>
              <w:t>1269.71</w:t>
            </w:r>
          </w:p>
        </w:tc>
        <w:tc>
          <w:tcPr>
            <w:tcW w:w="1474" w:type="dxa"/>
            <w:vAlign w:val="center"/>
          </w:tcPr>
          <w:p>
            <w:pPr>
              <w:pStyle w:val="16"/>
            </w:pPr>
            <w:r>
              <w:t>1269.71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1269.71</w:t>
            </w:r>
          </w:p>
        </w:tc>
        <w:tc>
          <w:tcPr>
            <w:tcW w:w="3402" w:type="dxa"/>
            <w:vAlign w:val="center"/>
          </w:tcPr>
          <w:p>
            <w:pPr>
              <w:pStyle w:val="15"/>
            </w:pPr>
            <w:r>
              <w:t>支出总计</w:t>
            </w:r>
          </w:p>
        </w:tc>
        <w:tc>
          <w:tcPr>
            <w:tcW w:w="1474" w:type="dxa"/>
            <w:vAlign w:val="center"/>
          </w:tcPr>
          <w:p>
            <w:pPr>
              <w:pStyle w:val="16"/>
            </w:pPr>
            <w:r>
              <w:t>1269.71</w:t>
            </w:r>
          </w:p>
        </w:tc>
        <w:tc>
          <w:tcPr>
            <w:tcW w:w="1474" w:type="dxa"/>
            <w:vAlign w:val="center"/>
          </w:tcPr>
          <w:p>
            <w:pPr>
              <w:pStyle w:val="16"/>
            </w:pPr>
            <w:r>
              <w:t>1269.71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9180"/>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1269.71</w:t>
            </w:r>
          </w:p>
        </w:tc>
        <w:tc>
          <w:tcPr>
            <w:tcW w:w="2551" w:type="dxa"/>
            <w:vAlign w:val="center"/>
          </w:tcPr>
          <w:p>
            <w:pPr>
              <w:pStyle w:val="16"/>
            </w:pPr>
            <w:r>
              <w:t>1042.19</w:t>
            </w:r>
          </w:p>
        </w:tc>
        <w:tc>
          <w:tcPr>
            <w:tcW w:w="2551" w:type="dxa"/>
            <w:vAlign w:val="center"/>
          </w:tcPr>
          <w:p>
            <w:pPr>
              <w:pStyle w:val="16"/>
            </w:pPr>
            <w:r>
              <w:t>227.52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840.09</w:t>
            </w:r>
          </w:p>
        </w:tc>
        <w:tc>
          <w:tcPr>
            <w:tcW w:w="2551" w:type="dxa"/>
            <w:vAlign w:val="center"/>
          </w:tcPr>
          <w:p>
            <w:pPr>
              <w:pStyle w:val="12"/>
            </w:pPr>
            <w:r>
              <w:t>791.69</w:t>
            </w:r>
          </w:p>
        </w:tc>
        <w:tc>
          <w:tcPr>
            <w:tcW w:w="2551" w:type="dxa"/>
            <w:vAlign w:val="center"/>
          </w:tcPr>
          <w:p>
            <w:pPr>
              <w:pStyle w:val="12"/>
            </w:pPr>
            <w:r>
              <w:t>48.40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829.19</w:t>
            </w:r>
          </w:p>
        </w:tc>
        <w:tc>
          <w:tcPr>
            <w:tcW w:w="2551" w:type="dxa"/>
            <w:vAlign w:val="center"/>
          </w:tcPr>
          <w:p>
            <w:pPr>
              <w:pStyle w:val="12"/>
            </w:pPr>
            <w:r>
              <w:t>791.69</w:t>
            </w:r>
          </w:p>
        </w:tc>
        <w:tc>
          <w:tcPr>
            <w:tcW w:w="2551" w:type="dxa"/>
            <w:vAlign w:val="center"/>
          </w:tcPr>
          <w:p>
            <w:pPr>
              <w:pStyle w:val="12"/>
            </w:pPr>
            <w:r>
              <w:t>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361.26</w:t>
            </w:r>
          </w:p>
        </w:tc>
        <w:tc>
          <w:tcPr>
            <w:tcW w:w="2551" w:type="dxa"/>
            <w:vAlign w:val="center"/>
          </w:tcPr>
          <w:p>
            <w:pPr>
              <w:pStyle w:val="12"/>
            </w:pPr>
            <w:r>
              <w:t>361.26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37.50</w:t>
            </w:r>
          </w:p>
        </w:tc>
        <w:tc>
          <w:tcPr>
            <w:tcW w:w="2551" w:type="dxa"/>
            <w:vAlign w:val="center"/>
          </w:tcPr>
          <w:p>
            <w:pPr>
              <w:pStyle w:val="12"/>
            </w:pPr>
          </w:p>
        </w:tc>
        <w:tc>
          <w:tcPr>
            <w:tcW w:w="2551" w:type="dxa"/>
            <w:vAlign w:val="center"/>
          </w:tcPr>
          <w:p>
            <w:pPr>
              <w:pStyle w:val="12"/>
            </w:pPr>
            <w:r>
              <w:t>37.50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430.43</w:t>
            </w:r>
          </w:p>
        </w:tc>
        <w:tc>
          <w:tcPr>
            <w:tcW w:w="2551" w:type="dxa"/>
            <w:vAlign w:val="center"/>
          </w:tcPr>
          <w:p>
            <w:pPr>
              <w:pStyle w:val="12"/>
            </w:pPr>
            <w:r>
              <w:t>430.43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1.50</w:t>
            </w:r>
          </w:p>
        </w:tc>
        <w:tc>
          <w:tcPr>
            <w:tcW w:w="2551" w:type="dxa"/>
            <w:vAlign w:val="center"/>
          </w:tcPr>
          <w:p>
            <w:pPr>
              <w:pStyle w:val="12"/>
            </w:pPr>
          </w:p>
        </w:tc>
        <w:tc>
          <w:tcPr>
            <w:tcW w:w="2551"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4.86</w:t>
            </w:r>
          </w:p>
        </w:tc>
        <w:tc>
          <w:tcPr>
            <w:tcW w:w="2551" w:type="dxa"/>
            <w:vAlign w:val="center"/>
          </w:tcPr>
          <w:p>
            <w:pPr>
              <w:pStyle w:val="12"/>
            </w:pPr>
          </w:p>
        </w:tc>
        <w:tc>
          <w:tcPr>
            <w:tcW w:w="2551" w:type="dxa"/>
            <w:vAlign w:val="center"/>
          </w:tcPr>
          <w:p>
            <w:pPr>
              <w:pStyle w:val="12"/>
            </w:pPr>
            <w:r>
              <w:t>4.86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157.27</w:t>
            </w:r>
          </w:p>
        </w:tc>
        <w:tc>
          <w:tcPr>
            <w:tcW w:w="2551" w:type="dxa"/>
            <w:vAlign w:val="center"/>
          </w:tcPr>
          <w:p>
            <w:pPr>
              <w:pStyle w:val="12"/>
            </w:pPr>
            <w:r>
              <w:t>151.45</w:t>
            </w:r>
          </w:p>
        </w:tc>
        <w:tc>
          <w:tcPr>
            <w:tcW w:w="2551" w:type="dxa"/>
            <w:vAlign w:val="center"/>
          </w:tcPr>
          <w:p>
            <w:pPr>
              <w:pStyle w:val="12"/>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151.45</w:t>
            </w:r>
          </w:p>
        </w:tc>
        <w:tc>
          <w:tcPr>
            <w:tcW w:w="2551" w:type="dxa"/>
            <w:vAlign w:val="center"/>
          </w:tcPr>
          <w:p>
            <w:pPr>
              <w:pStyle w:val="12"/>
            </w:pPr>
            <w:r>
              <w:t>151.45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19.63</w:t>
            </w:r>
          </w:p>
        </w:tc>
        <w:tc>
          <w:tcPr>
            <w:tcW w:w="2551" w:type="dxa"/>
            <w:vAlign w:val="center"/>
          </w:tcPr>
          <w:p>
            <w:pPr>
              <w:pStyle w:val="12"/>
            </w:pPr>
            <w:r>
              <w:t>19.63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22.54</w:t>
            </w:r>
          </w:p>
        </w:tc>
        <w:tc>
          <w:tcPr>
            <w:tcW w:w="2551" w:type="dxa"/>
            <w:vAlign w:val="center"/>
          </w:tcPr>
          <w:p>
            <w:pPr>
              <w:pStyle w:val="12"/>
            </w:pPr>
            <w:r>
              <w:t>22.54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85.26</w:t>
            </w:r>
          </w:p>
        </w:tc>
        <w:tc>
          <w:tcPr>
            <w:tcW w:w="2551" w:type="dxa"/>
            <w:vAlign w:val="center"/>
          </w:tcPr>
          <w:p>
            <w:pPr>
              <w:pStyle w:val="12"/>
            </w:pPr>
            <w:r>
              <w:t>85.26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24.02</w:t>
            </w:r>
          </w:p>
        </w:tc>
        <w:tc>
          <w:tcPr>
            <w:tcW w:w="2551" w:type="dxa"/>
            <w:vAlign w:val="center"/>
          </w:tcPr>
          <w:p>
            <w:pPr>
              <w:pStyle w:val="12"/>
            </w:pPr>
            <w:r>
              <w:t>24.02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5.82</w:t>
            </w:r>
          </w:p>
        </w:tc>
        <w:tc>
          <w:tcPr>
            <w:tcW w:w="2551" w:type="dxa"/>
            <w:vAlign w:val="center"/>
          </w:tcPr>
          <w:p>
            <w:pPr>
              <w:pStyle w:val="12"/>
            </w:pPr>
          </w:p>
        </w:tc>
        <w:tc>
          <w:tcPr>
            <w:tcW w:w="2551" w:type="dxa"/>
            <w:vAlign w:val="center"/>
          </w:tcPr>
          <w:p>
            <w:pPr>
              <w:pStyle w:val="12"/>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5.82</w:t>
            </w:r>
          </w:p>
        </w:tc>
        <w:tc>
          <w:tcPr>
            <w:tcW w:w="2551" w:type="dxa"/>
            <w:vAlign w:val="center"/>
          </w:tcPr>
          <w:p>
            <w:pPr>
              <w:pStyle w:val="12"/>
            </w:pPr>
          </w:p>
        </w:tc>
        <w:tc>
          <w:tcPr>
            <w:tcW w:w="2551" w:type="dxa"/>
            <w:vAlign w:val="center"/>
          </w:tcPr>
          <w:p>
            <w:pPr>
              <w:pStyle w:val="12"/>
            </w:pPr>
            <w:r>
              <w:t>5.82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29.05</w:t>
            </w:r>
          </w:p>
        </w:tc>
        <w:tc>
          <w:tcPr>
            <w:tcW w:w="2551" w:type="dxa"/>
            <w:vAlign w:val="center"/>
          </w:tcPr>
          <w:p>
            <w:pPr>
              <w:pStyle w:val="12"/>
            </w:pPr>
            <w:r>
              <w:t>29.05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29.05</w:t>
            </w:r>
          </w:p>
        </w:tc>
        <w:tc>
          <w:tcPr>
            <w:tcW w:w="2551" w:type="dxa"/>
            <w:vAlign w:val="center"/>
          </w:tcPr>
          <w:p>
            <w:pPr>
              <w:pStyle w:val="12"/>
            </w:pPr>
            <w:r>
              <w:t>29.05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29.05</w:t>
            </w:r>
          </w:p>
        </w:tc>
        <w:tc>
          <w:tcPr>
            <w:tcW w:w="2551" w:type="dxa"/>
            <w:vAlign w:val="center"/>
          </w:tcPr>
          <w:p>
            <w:pPr>
              <w:pStyle w:val="12"/>
            </w:pPr>
            <w:r>
              <w:t>29.05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158.71</w:t>
            </w:r>
          </w:p>
        </w:tc>
        <w:tc>
          <w:tcPr>
            <w:tcW w:w="2551" w:type="dxa"/>
            <w:vAlign w:val="center"/>
          </w:tcPr>
          <w:p>
            <w:pPr>
              <w:pStyle w:val="12"/>
            </w:pPr>
          </w:p>
        </w:tc>
        <w:tc>
          <w:tcPr>
            <w:tcW w:w="2551" w:type="dxa"/>
            <w:vAlign w:val="center"/>
          </w:tcPr>
          <w:p>
            <w:pPr>
              <w:pStyle w:val="12"/>
            </w:pPr>
            <w:r>
              <w:t>158.71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18.56</w:t>
            </w:r>
          </w:p>
        </w:tc>
        <w:tc>
          <w:tcPr>
            <w:tcW w:w="2551" w:type="dxa"/>
            <w:vAlign w:val="center"/>
          </w:tcPr>
          <w:p>
            <w:pPr>
              <w:pStyle w:val="12"/>
            </w:pPr>
          </w:p>
        </w:tc>
        <w:tc>
          <w:tcPr>
            <w:tcW w:w="2551" w:type="dxa"/>
            <w:vAlign w:val="center"/>
          </w:tcPr>
          <w:p>
            <w:pPr>
              <w:pStyle w:val="12"/>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18.56</w:t>
            </w:r>
          </w:p>
        </w:tc>
        <w:tc>
          <w:tcPr>
            <w:tcW w:w="2551" w:type="dxa"/>
            <w:vAlign w:val="center"/>
          </w:tcPr>
          <w:p>
            <w:pPr>
              <w:pStyle w:val="12"/>
            </w:pPr>
          </w:p>
        </w:tc>
        <w:tc>
          <w:tcPr>
            <w:tcW w:w="2551" w:type="dxa"/>
            <w:vAlign w:val="center"/>
          </w:tcPr>
          <w:p>
            <w:pPr>
              <w:pStyle w:val="12"/>
            </w:pPr>
            <w:r>
              <w:t>18.56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140.15</w:t>
            </w:r>
          </w:p>
        </w:tc>
        <w:tc>
          <w:tcPr>
            <w:tcW w:w="2551" w:type="dxa"/>
            <w:vAlign w:val="center"/>
          </w:tcPr>
          <w:p>
            <w:pPr>
              <w:pStyle w:val="12"/>
            </w:pPr>
          </w:p>
        </w:tc>
        <w:tc>
          <w:tcPr>
            <w:tcW w:w="2551" w:type="dxa"/>
            <w:vAlign w:val="center"/>
          </w:tcPr>
          <w:p>
            <w:pPr>
              <w:pStyle w:val="12"/>
            </w:pPr>
            <w:r>
              <w:t>140.15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110.15</w:t>
            </w:r>
          </w:p>
        </w:tc>
        <w:tc>
          <w:tcPr>
            <w:tcW w:w="2551" w:type="dxa"/>
            <w:vAlign w:val="center"/>
          </w:tcPr>
          <w:p>
            <w:pPr>
              <w:pStyle w:val="12"/>
            </w:pPr>
          </w:p>
        </w:tc>
        <w:tc>
          <w:tcPr>
            <w:tcW w:w="2551" w:type="dxa"/>
            <w:vAlign w:val="center"/>
          </w:tcPr>
          <w:p>
            <w:pPr>
              <w:pStyle w:val="12"/>
            </w:pPr>
            <w:r>
              <w:t>110.15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220</w:t>
            </w:r>
          </w:p>
        </w:tc>
        <w:tc>
          <w:tcPr>
            <w:tcW w:w="4535" w:type="dxa"/>
            <w:vAlign w:val="center"/>
          </w:tcPr>
          <w:p>
            <w:pPr>
              <w:pStyle w:val="13"/>
            </w:pPr>
            <w:r>
              <w:t>自然资源海洋气象等支出</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22001</w:t>
            </w:r>
          </w:p>
        </w:tc>
        <w:tc>
          <w:tcPr>
            <w:tcW w:w="4535" w:type="dxa"/>
            <w:vAlign w:val="center"/>
          </w:tcPr>
          <w:p>
            <w:pPr>
              <w:pStyle w:val="13"/>
            </w:pPr>
            <w:r>
              <w:t>自然资源事务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2200102</w:t>
            </w:r>
          </w:p>
        </w:tc>
        <w:tc>
          <w:tcPr>
            <w:tcW w:w="4535" w:type="dxa"/>
            <w:vAlign w:val="center"/>
          </w:tcPr>
          <w:p>
            <w:pPr>
              <w:pStyle w:val="13"/>
            </w:pPr>
            <w:r>
              <w:t>一般行政管理事务</w:t>
            </w:r>
          </w:p>
        </w:tc>
        <w:tc>
          <w:tcPr>
            <w:tcW w:w="2551" w:type="dxa"/>
            <w:vAlign w:val="center"/>
          </w:tcPr>
          <w:p>
            <w:pPr>
              <w:pStyle w:val="12"/>
            </w:pPr>
            <w:r>
              <w:t>2.80</w:t>
            </w:r>
          </w:p>
        </w:tc>
        <w:tc>
          <w:tcPr>
            <w:tcW w:w="2551" w:type="dxa"/>
            <w:vAlign w:val="center"/>
          </w:tcPr>
          <w:p>
            <w:pPr>
              <w:pStyle w:val="12"/>
            </w:pPr>
          </w:p>
        </w:tc>
        <w:tc>
          <w:tcPr>
            <w:tcW w:w="2551" w:type="dxa"/>
            <w:vAlign w:val="center"/>
          </w:tcPr>
          <w:p>
            <w:pPr>
              <w:pStyle w:val="12"/>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70.00</w:t>
            </w:r>
          </w:p>
        </w:tc>
        <w:tc>
          <w:tcPr>
            <w:tcW w:w="2551" w:type="dxa"/>
            <w:vAlign w:val="center"/>
          </w:tcPr>
          <w:p>
            <w:pPr>
              <w:pStyle w:val="12"/>
            </w:pPr>
            <w:r>
              <w:t>70.00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70.00</w:t>
            </w:r>
          </w:p>
        </w:tc>
        <w:tc>
          <w:tcPr>
            <w:tcW w:w="2551" w:type="dxa"/>
            <w:vAlign w:val="center"/>
          </w:tcPr>
          <w:p>
            <w:pPr>
              <w:pStyle w:val="12"/>
            </w:pPr>
            <w:r>
              <w:t>70.00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70.00</w:t>
            </w:r>
          </w:p>
        </w:tc>
        <w:tc>
          <w:tcPr>
            <w:tcW w:w="2551" w:type="dxa"/>
            <w:vAlign w:val="center"/>
          </w:tcPr>
          <w:p>
            <w:pPr>
              <w:pStyle w:val="12"/>
            </w:pPr>
            <w:r>
              <w:t>70.00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5169"/>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1042.19</w:t>
            </w:r>
          </w:p>
        </w:tc>
        <w:tc>
          <w:tcPr>
            <w:tcW w:w="2551" w:type="dxa"/>
            <w:vAlign w:val="center"/>
          </w:tcPr>
          <w:p>
            <w:pPr>
              <w:pStyle w:val="16"/>
            </w:pPr>
            <w:r>
              <w:t>968.17</w:t>
            </w:r>
          </w:p>
        </w:tc>
        <w:tc>
          <w:tcPr>
            <w:tcW w:w="2551" w:type="dxa"/>
            <w:vAlign w:val="center"/>
          </w:tcPr>
          <w:p>
            <w:pPr>
              <w:pStyle w:val="16"/>
            </w:pPr>
            <w:r>
              <w:t>74.03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921.81</w:t>
            </w:r>
          </w:p>
        </w:tc>
        <w:tc>
          <w:tcPr>
            <w:tcW w:w="2551" w:type="dxa"/>
            <w:vAlign w:val="center"/>
          </w:tcPr>
          <w:p>
            <w:pPr>
              <w:pStyle w:val="12"/>
            </w:pPr>
            <w:r>
              <w:t>921.81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310.28</w:t>
            </w:r>
          </w:p>
        </w:tc>
        <w:tc>
          <w:tcPr>
            <w:tcW w:w="2551" w:type="dxa"/>
            <w:vAlign w:val="center"/>
          </w:tcPr>
          <w:p>
            <w:pPr>
              <w:pStyle w:val="12"/>
            </w:pPr>
            <w:r>
              <w:t>310.28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125.61</w:t>
            </w:r>
          </w:p>
        </w:tc>
        <w:tc>
          <w:tcPr>
            <w:tcW w:w="2551" w:type="dxa"/>
            <w:vAlign w:val="center"/>
          </w:tcPr>
          <w:p>
            <w:pPr>
              <w:pStyle w:val="12"/>
            </w:pPr>
            <w:r>
              <w:t>125.61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59.59</w:t>
            </w:r>
          </w:p>
        </w:tc>
        <w:tc>
          <w:tcPr>
            <w:tcW w:w="2551" w:type="dxa"/>
            <w:vAlign w:val="center"/>
          </w:tcPr>
          <w:p>
            <w:pPr>
              <w:pStyle w:val="12"/>
            </w:pPr>
            <w:r>
              <w:t>59.59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213.83</w:t>
            </w:r>
          </w:p>
        </w:tc>
        <w:tc>
          <w:tcPr>
            <w:tcW w:w="2551" w:type="dxa"/>
            <w:vAlign w:val="center"/>
          </w:tcPr>
          <w:p>
            <w:pPr>
              <w:pStyle w:val="12"/>
            </w:pPr>
            <w:r>
              <w:t>213.83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85.26</w:t>
            </w:r>
          </w:p>
        </w:tc>
        <w:tc>
          <w:tcPr>
            <w:tcW w:w="2551" w:type="dxa"/>
            <w:vAlign w:val="center"/>
          </w:tcPr>
          <w:p>
            <w:pPr>
              <w:pStyle w:val="12"/>
            </w:pPr>
            <w:r>
              <w:t>85.26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24.02</w:t>
            </w:r>
          </w:p>
        </w:tc>
        <w:tc>
          <w:tcPr>
            <w:tcW w:w="2551" w:type="dxa"/>
            <w:vAlign w:val="center"/>
          </w:tcPr>
          <w:p>
            <w:pPr>
              <w:pStyle w:val="12"/>
            </w:pPr>
            <w:r>
              <w:t>24.02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29.05</w:t>
            </w:r>
          </w:p>
        </w:tc>
        <w:tc>
          <w:tcPr>
            <w:tcW w:w="2551" w:type="dxa"/>
            <w:vAlign w:val="center"/>
          </w:tcPr>
          <w:p>
            <w:pPr>
              <w:pStyle w:val="12"/>
            </w:pPr>
            <w:r>
              <w:t>29.05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4.18</w:t>
            </w:r>
          </w:p>
        </w:tc>
        <w:tc>
          <w:tcPr>
            <w:tcW w:w="2551" w:type="dxa"/>
            <w:vAlign w:val="center"/>
          </w:tcPr>
          <w:p>
            <w:pPr>
              <w:pStyle w:val="12"/>
            </w:pPr>
            <w:r>
              <w:t>4.18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70.00</w:t>
            </w:r>
          </w:p>
        </w:tc>
        <w:tc>
          <w:tcPr>
            <w:tcW w:w="2551" w:type="dxa"/>
            <w:vAlign w:val="center"/>
          </w:tcPr>
          <w:p>
            <w:pPr>
              <w:pStyle w:val="12"/>
            </w:pPr>
            <w:r>
              <w:t>70.00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74.03</w:t>
            </w:r>
          </w:p>
        </w:tc>
        <w:tc>
          <w:tcPr>
            <w:tcW w:w="2551" w:type="dxa"/>
            <w:vAlign w:val="center"/>
          </w:tcPr>
          <w:p>
            <w:pPr>
              <w:pStyle w:val="12"/>
            </w:pPr>
          </w:p>
        </w:tc>
        <w:tc>
          <w:tcPr>
            <w:tcW w:w="2551" w:type="dxa"/>
            <w:vAlign w:val="center"/>
          </w:tcPr>
          <w:p>
            <w:pPr>
              <w:pStyle w:val="12"/>
            </w:pPr>
            <w:r>
              <w:t>74.03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18.47</w:t>
            </w:r>
          </w:p>
        </w:tc>
        <w:tc>
          <w:tcPr>
            <w:tcW w:w="2551" w:type="dxa"/>
            <w:vAlign w:val="center"/>
          </w:tcPr>
          <w:p>
            <w:pPr>
              <w:pStyle w:val="12"/>
            </w:pPr>
          </w:p>
        </w:tc>
        <w:tc>
          <w:tcPr>
            <w:tcW w:w="2551" w:type="dxa"/>
            <w:vAlign w:val="center"/>
          </w:tcPr>
          <w:p>
            <w:pPr>
              <w:pStyle w:val="12"/>
            </w:pPr>
            <w:r>
              <w:t>18.47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8.22</w:t>
            </w:r>
          </w:p>
        </w:tc>
        <w:tc>
          <w:tcPr>
            <w:tcW w:w="2551" w:type="dxa"/>
            <w:vAlign w:val="center"/>
          </w:tcPr>
          <w:p>
            <w:pPr>
              <w:pStyle w:val="12"/>
            </w:pPr>
          </w:p>
        </w:tc>
        <w:tc>
          <w:tcPr>
            <w:tcW w:w="2551" w:type="dxa"/>
            <w:vAlign w:val="center"/>
          </w:tcPr>
          <w:p>
            <w:pPr>
              <w:pStyle w:val="12"/>
            </w:pPr>
            <w:r>
              <w:t>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4.57</w:t>
            </w:r>
          </w:p>
        </w:tc>
        <w:tc>
          <w:tcPr>
            <w:tcW w:w="2551" w:type="dxa"/>
            <w:vAlign w:val="center"/>
          </w:tcPr>
          <w:p>
            <w:pPr>
              <w:pStyle w:val="12"/>
            </w:pPr>
          </w:p>
        </w:tc>
        <w:tc>
          <w:tcPr>
            <w:tcW w:w="2551" w:type="dxa"/>
            <w:vAlign w:val="center"/>
          </w:tcPr>
          <w:p>
            <w:pPr>
              <w:pStyle w:val="12"/>
            </w:pPr>
            <w:r>
              <w:t>4.57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8.69</w:t>
            </w:r>
          </w:p>
        </w:tc>
        <w:tc>
          <w:tcPr>
            <w:tcW w:w="2551" w:type="dxa"/>
            <w:vAlign w:val="center"/>
          </w:tcPr>
          <w:p>
            <w:pPr>
              <w:pStyle w:val="12"/>
            </w:pPr>
          </w:p>
        </w:tc>
        <w:tc>
          <w:tcPr>
            <w:tcW w:w="2551" w:type="dxa"/>
            <w:vAlign w:val="center"/>
          </w:tcPr>
          <w:p>
            <w:pPr>
              <w:pStyle w:val="12"/>
            </w:pPr>
            <w:r>
              <w:t>8.69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11.75</w:t>
            </w:r>
          </w:p>
        </w:tc>
        <w:tc>
          <w:tcPr>
            <w:tcW w:w="2551" w:type="dxa"/>
            <w:vAlign w:val="center"/>
          </w:tcPr>
          <w:p>
            <w:pPr>
              <w:pStyle w:val="12"/>
            </w:pPr>
          </w:p>
        </w:tc>
        <w:tc>
          <w:tcPr>
            <w:tcW w:w="2551" w:type="dxa"/>
            <w:vAlign w:val="center"/>
          </w:tcPr>
          <w:p>
            <w:pPr>
              <w:pStyle w:val="12"/>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11.94</w:t>
            </w:r>
          </w:p>
        </w:tc>
        <w:tc>
          <w:tcPr>
            <w:tcW w:w="2551" w:type="dxa"/>
            <w:vAlign w:val="center"/>
          </w:tcPr>
          <w:p>
            <w:pPr>
              <w:pStyle w:val="12"/>
            </w:pPr>
          </w:p>
        </w:tc>
        <w:tc>
          <w:tcPr>
            <w:tcW w:w="2551" w:type="dxa"/>
            <w:vAlign w:val="center"/>
          </w:tcPr>
          <w:p>
            <w:pPr>
              <w:pStyle w:val="12"/>
            </w:pPr>
            <w:r>
              <w:t>11.94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10.39</w:t>
            </w:r>
          </w:p>
        </w:tc>
        <w:tc>
          <w:tcPr>
            <w:tcW w:w="2551" w:type="dxa"/>
            <w:vAlign w:val="center"/>
          </w:tcPr>
          <w:p>
            <w:pPr>
              <w:pStyle w:val="12"/>
            </w:pPr>
          </w:p>
        </w:tc>
        <w:tc>
          <w:tcPr>
            <w:tcW w:w="2551" w:type="dxa"/>
            <w:vAlign w:val="center"/>
          </w:tcPr>
          <w:p>
            <w:pPr>
              <w:pStyle w:val="12"/>
            </w:pPr>
            <w:r>
              <w:t>10.39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46.35</w:t>
            </w:r>
          </w:p>
        </w:tc>
        <w:tc>
          <w:tcPr>
            <w:tcW w:w="2551" w:type="dxa"/>
            <w:vAlign w:val="center"/>
          </w:tcPr>
          <w:p>
            <w:pPr>
              <w:pStyle w:val="12"/>
            </w:pPr>
            <w:r>
              <w:t>46.35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41.63</w:t>
            </w:r>
          </w:p>
        </w:tc>
        <w:tc>
          <w:tcPr>
            <w:tcW w:w="2551" w:type="dxa"/>
            <w:vAlign w:val="center"/>
          </w:tcPr>
          <w:p>
            <w:pPr>
              <w:pStyle w:val="12"/>
            </w:pPr>
            <w:r>
              <w:t>41.63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4.72</w:t>
            </w:r>
          </w:p>
        </w:tc>
        <w:tc>
          <w:tcPr>
            <w:tcW w:w="2551" w:type="dxa"/>
            <w:vAlign w:val="center"/>
          </w:tcPr>
          <w:p>
            <w:pPr>
              <w:pStyle w:val="12"/>
            </w:pPr>
            <w:r>
              <w:t>4.72</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20695"/>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25956"/>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11762"/>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11.75</w:t>
            </w:r>
          </w:p>
        </w:tc>
        <w:tc>
          <w:tcPr>
            <w:tcW w:w="2381" w:type="dxa"/>
            <w:vAlign w:val="center"/>
          </w:tcPr>
          <w:p>
            <w:pPr>
              <w:pStyle w:val="16"/>
            </w:pPr>
            <w:r>
              <w:t>11.75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保定市徐水区东釜山乡人民政府2026年部门预算信息公开情况说明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保定市徐水区东釜山乡人民政府2026年部门预算信息公开情况说明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按照《中华人民共和国预算法》、《地方预决算公开操作规程》和《关于进一步推进预算公开工作的实施意见》规定，现将保定市徐水区东釜山乡人民政府2026年部门预算公开如下：</w:t>
      </w:r>
    </w:p>
    <w:p>
      <w:pPr>
        <w:spacing w:before="10" w:after="10" w:line="360" w:lineRule="auto"/>
        <w:ind w:firstLine="640"/>
        <w:jc w:val="left"/>
        <w:outlineLvl w:val="2"/>
      </w:pPr>
      <w:bookmarkStart w:id="9" w:name="_Toc8318"/>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根据《保定市徐水区东釜山乡人民政府职能配置、内设机构和人员编制规定》， 保定市徐水区东釜山乡人民政府的主要职责是：</w:t>
      </w:r>
    </w:p>
    <w:p>
      <w:pPr>
        <w:pStyle w:val="18"/>
      </w:pPr>
      <w:r>
        <w:t>根据中共保定市徐水区委办公室、保定市徐水区人民政府办公室印发《保定市徐水区东釜山乡乡主要责任、机构设置和人员编制规定》的通知（徐办字[2024]35号），现将我乡部门概况说明如下：</w:t>
      </w:r>
    </w:p>
    <w:p>
      <w:pPr>
        <w:pStyle w:val="18"/>
      </w:pPr>
      <w:r>
        <w:t>(1)、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pPr>
        <w:pStyle w:val="18"/>
      </w:pPr>
      <w:r>
        <w:t>(2)、加强党对基层治理的全面领导，统筹抓好基层党建工作和基层党组织各项制度建设。推进全面从严治党，强化“两个责任”，确保党的路线方针政策在基层得到全面贯彻落实。</w:t>
      </w:r>
    </w:p>
    <w:p>
      <w:pPr>
        <w:pStyle w:val="18"/>
      </w:pPr>
      <w:r>
        <w:t>(3)、讨论和决定本乡镇经济建设、政治建设、文化建设社会建设、生态文明建设和党的建设以及乡村振兴中的重大问题。</w:t>
      </w:r>
    </w:p>
    <w:p>
      <w:pPr>
        <w:pStyle w:val="18"/>
      </w:pPr>
      <w:r>
        <w:t>(4)、组织召开本级人民代表大会，充分行使重大事项决定权、监督权和任免权，做好人大代表工作，联系选民、反映群众意见和要求。</w:t>
      </w:r>
    </w:p>
    <w:p>
      <w:pPr>
        <w:pStyle w:val="18"/>
      </w:pPr>
      <w:r>
        <w:t>(5)、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pPr>
        <w:pStyle w:val="18"/>
      </w:pPr>
      <w:r>
        <w:t>(6)、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pPr>
        <w:pStyle w:val="18"/>
      </w:pPr>
      <w:r>
        <w:t>(7)、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pPr>
        <w:pStyle w:val="18"/>
      </w:pPr>
      <w:r>
        <w:t>(8)、加强乡镇党委自身建设和村党组织建设，以及其他隶属乡镇党委的党组织建设，抓好发展党员工作，加强党员队伍建设。维护和执行党的纪律，监督党员干部和其他任何工作人员严格遵守国家法律法规。</w:t>
      </w:r>
    </w:p>
    <w:p>
      <w:pPr>
        <w:pStyle w:val="18"/>
      </w:pPr>
      <w:r>
        <w:t>(9)、按照干部管理权限，负责对干部的教育、培训、选拔考核和监督工作。协助管理上级有关部门驻乡镇单位的干部。做好人才服务工作。</w:t>
      </w:r>
    </w:p>
    <w:p>
      <w:pPr>
        <w:pStyle w:val="18"/>
      </w:pPr>
      <w:r>
        <w:t>(10)、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pPr>
        <w:pStyle w:val="18"/>
      </w:pPr>
      <w:r>
        <w:t>(11)、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pPr>
        <w:pStyle w:val="18"/>
      </w:pPr>
      <w:r>
        <w:t>(12)、承办上级党委、人大、政府交办的其他事项。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保定市徐水区东釜山乡人民政府本级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13304"/>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按照预算管理有关规定，目前部门预算的编制实行综合预算管理，即全部收入和支出都反映在预算中。保定市徐水区东釜山乡人民政府机关及所属事业单位的收支包含在部门预算中。</w:t>
      </w:r>
    </w:p>
    <w:p>
      <w:pPr>
        <w:pStyle w:val="19"/>
      </w:pPr>
      <w:r>
        <w:t>1、收入说明</w:t>
      </w:r>
    </w:p>
    <w:p>
      <w:pPr>
        <w:pStyle w:val="19"/>
      </w:pPr>
      <w:r>
        <w:t>反映本部门当年全部收入。2026年预算收入1269.71万元，其中：一般公共预算收入1269.71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东釜山乡人民政府年度部门预算中支出预算的总体情况。2026年支出预算1269.71万元，其中基本支出1042.19万元，包括人员经费968.17万元和日常公用经费74.03万元；项目支出227.52万元，主要为《安全生产信息员经费》0.65万元；《村党组织活动经费》12.4万元；《村级组织办公经费》32.75万元；《大气污染防治工作经费》1万元；《党建工作经费》1.5万元；《地震群测群防岗位津贴》0.28万元；《东釜山乡2026年公益岗位补助及保险项目》18.56万元；《防火护林员工资补助经费》2.8万元；《服务群众专项经费》65万元；《纪检保障经费》4.4万元；《人大工作经费》3万元；《团委综合事务管理经费》2万元；《退役军人公益岗人员工资》5.82万元；《维稳经费》1万元；《下沉工作队综合经费》8万元；《乡镇武装工作经费》3万元；《选任专职人民调解员经费》4.86万元；《政府机关维护运行经费》22.5万元；《关于提前下达2026年中央农村综合改革转移支付预算的通知》30万元；《南陈庄烈士陵园祭扫活动和日常维护管理所需资金》3万元；《提前下达2026年基层三馆一站免费开放运行保障经费省级资金》0.5万元；《提前下达2026年中央支持地方公共文化服务体系建设补助资金-“三馆一站”免费开放补助资金》3万元；《“三馆一站”免费开放补助资金》1.5万元。；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1269.71万元，较2025年预算增加131.97万元，其中：基本支出增加103.12万元，主要为主要为主要为2026年人员比2025年人员有所增加。项目支出增加28.85万元，主要为项目支出增加28.85万元，主要为2026年项目金额有所变动，主要为项目增加《关于提前下达2026年中央农村综合改革转移支付预算的通知》30万元。。预计下年使用的单位资金结余增加0.00万元。</w:t>
      </w:r>
    </w:p>
    <w:p>
      <w:pPr>
        <w:numPr>
          <w:ilvl w:val="0"/>
          <w:numId w:val="1"/>
        </w:numPr>
        <w:spacing w:before="10" w:after="10" w:line="360" w:lineRule="auto"/>
        <w:ind w:left="-160" w:leftChars="0" w:firstLine="640" w:firstLineChars="0"/>
        <w:jc w:val="left"/>
        <w:outlineLvl w:val="2"/>
        <w:rPr>
          <w:rFonts w:ascii="黑体" w:hAnsi="黑体" w:eastAsia="黑体" w:cs="黑体"/>
          <w:color w:val="000000"/>
          <w:sz w:val="32"/>
        </w:rPr>
      </w:pPr>
      <w:bookmarkStart w:id="11" w:name="_Toc29418"/>
      <w:r>
        <w:rPr>
          <w:rFonts w:ascii="黑体" w:hAnsi="黑体" w:eastAsia="黑体" w:cs="黑体"/>
          <w:color w:val="000000"/>
          <w:sz w:val="32"/>
        </w:rPr>
        <w:t>机关运行经费安排情况</w:t>
      </w:r>
      <w:bookmarkEnd w:id="11"/>
    </w:p>
    <w:p>
      <w:pPr>
        <w:pStyle w:val="26"/>
        <w:rPr>
          <w:rFonts w:ascii="黑体" w:hAnsi="黑体" w:eastAsia="黑体" w:cs="黑体"/>
          <w:color w:val="000000"/>
          <w:sz w:val="32"/>
        </w:rPr>
      </w:pPr>
      <w:r>
        <w:t>2026年，我</w:t>
      </w:r>
      <w:r>
        <w:rPr>
          <w:rFonts w:hint="eastAsia"/>
          <w:lang w:val="en-US" w:eastAsia="zh-CN"/>
        </w:rPr>
        <w:t>部门</w:t>
      </w:r>
      <w:r>
        <w:t>机关运行经费共计安排74.03万元，主要用于日常维修、办公用房水电费、办公用房取暖费、办公用房物业管理费等日常运行支出。</w:t>
      </w:r>
      <w:bookmarkStart w:id="20" w:name="_GoBack"/>
      <w:bookmarkEnd w:id="20"/>
    </w:p>
    <w:p>
      <w:pPr>
        <w:pStyle w:val="20"/>
      </w:pPr>
    </w:p>
    <w:p>
      <w:pPr>
        <w:spacing w:before="10" w:after="10" w:line="360" w:lineRule="auto"/>
        <w:ind w:firstLine="640"/>
        <w:jc w:val="left"/>
        <w:outlineLvl w:val="2"/>
      </w:pPr>
      <w:bookmarkStart w:id="12" w:name="_Toc29608"/>
      <w:r>
        <w:rPr>
          <w:rFonts w:ascii="黑体" w:hAnsi="黑体" w:eastAsia="黑体" w:cs="黑体"/>
          <w:color w:val="000000"/>
          <w:sz w:val="32"/>
        </w:rPr>
        <w:t>四、财政拨款“三公”经费预算情况及增减变化原因</w:t>
      </w:r>
      <w:bookmarkEnd w:id="12"/>
    </w:p>
    <w:p>
      <w:pPr>
        <w:pStyle w:val="21"/>
      </w:pPr>
      <w:r>
        <w:t>2026年，我部门财政拨款“三公”经费预算安排11.75万元，其中因公出国（境）费0.00万元；公务用车购置及运维费11.75万元（其中：公务用车购置费为0.00万元，公务用车运维费11.75万元)；公务接待费0.00万元。与2025年相比减少0.40万元，增减变化的主要原因是执行例行节约政策，缩减经费支出。</w:t>
      </w:r>
    </w:p>
    <w:p>
      <w:pPr>
        <w:spacing w:before="10" w:after="10" w:line="360" w:lineRule="auto"/>
        <w:ind w:firstLine="640"/>
        <w:jc w:val="left"/>
        <w:outlineLvl w:val="2"/>
      </w:pPr>
      <w:bookmarkStart w:id="13" w:name="_Toc31650"/>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紧紧围绕区委、区政府的重要部署，深入贯彻落实党的二十届四中全会精神和习近平新时代中国特色社会主义思想，全面提升党建工作，加强党风廉政建设；推进规模化农业生产,着力改善农业生产条件，加快结构调整，因地制宜，科学规划，不断壮大产业规模；推动执法大队行使乡村管理综合执法事项；健全信访综治网络平台，全面推进“四个覆盖”，充分发挥综治平台作用，强化矛盾纠纷排查化解工作，打造和谐稳定的社会环境；积极服务保障雄安新区建设；扎实推进大气污染防治工作，统筹安排扬尘治理、秸杆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等各项工作，努力实现全乡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（一）社会管理强规范、为民服务高效率</w:t>
      </w:r>
    </w:p>
    <w:p>
      <w:pPr>
        <w:pStyle w:val="23"/>
      </w:pPr>
      <w:r>
        <w:t>绩效目标：保障村级组织正常运转，其他两委干部绩效补贴发放及时，充分调动两委干部积极性。保障党组织日常活动，提高党员综合素质，保障村综合服务站运转。</w:t>
      </w:r>
    </w:p>
    <w:p>
      <w:pPr>
        <w:pStyle w:val="23"/>
      </w:pPr>
      <w:r>
        <w:t>绩效指标：服务群众工作任务完成率在90%以上，通过服务群众工作，使社会稳定水平切实得到提高；党员受教育学习620人次，党员先锋模范作用发挥充分；村级组织办公经费拨付率90以上；</w:t>
      </w:r>
    </w:p>
    <w:p>
      <w:pPr>
        <w:pStyle w:val="23"/>
      </w:pPr>
      <w:r>
        <w:t>（二）乡镇综合事务管理，保障正常运转</w:t>
      </w:r>
    </w:p>
    <w:p>
      <w:pPr>
        <w:pStyle w:val="23"/>
      </w:pPr>
      <w:r>
        <w:t>绩效目标：协调维护社会稳定和国家安全，以创建和谐稳定的社会环境为目标。扎实做好人大、党建、纪检、团委等各项工作，保障机关工作正常运转，财政资金使用效益。</w:t>
      </w:r>
    </w:p>
    <w:p>
      <w:pPr>
        <w:pStyle w:val="23"/>
      </w:pPr>
      <w:r>
        <w:t>绩效指标：调解案件成功率达到95%以上；协调督导事项化解率85%以上；稳定水平提高。保障工作明显提升；综合事务管理工作完成率达到90%以上；受益对象满意度达到85%以上。</w:t>
      </w:r>
    </w:p>
    <w:p>
      <w:pPr>
        <w:pStyle w:val="23"/>
      </w:pPr>
      <w:r>
        <w:t>（三）落实安全生产诚信管理</w:t>
      </w:r>
    </w:p>
    <w:p>
      <w:pPr>
        <w:pStyle w:val="23"/>
      </w:pPr>
      <w:r>
        <w:t>绩效目标：对重点行业和作业场所职业卫生安全生产加强行政执法监察；开展重大危险源执法检查工作；开展安全事故检查及安全生产宣传教育活动；促进企业全面落实安全生产诚信管理。</w:t>
      </w:r>
    </w:p>
    <w:p>
      <w:pPr>
        <w:pStyle w:val="23"/>
      </w:pPr>
      <w:r>
        <w:t>绩效指标：安全生产信息员设置覆盖镇所有村；安全生产信息员补助发放完成率达到95%以上；享受安全生产信息员补助人员对补助发放情况的满意程度达到90%以上。</w:t>
      </w:r>
    </w:p>
    <w:p>
      <w:pPr>
        <w:pStyle w:val="23"/>
      </w:pPr>
      <w:r>
        <w:t>（四）实现乡村地震安全建设常态化</w:t>
      </w:r>
    </w:p>
    <w:p>
      <w:pPr>
        <w:pStyle w:val="23"/>
      </w:pPr>
      <w:r>
        <w:t>绩效目标：实现乡村地震安全建设常态化，提高防震减灾宣传效果，提升社会公众防震避险意识和技能。</w:t>
      </w:r>
    </w:p>
    <w:p>
      <w:pPr>
        <w:pStyle w:val="23"/>
      </w:pPr>
      <w:r>
        <w:t>绩效指标：地震群测群防队伍覆盖全乡各村；地震群测群防岗位津贴发放完成率达到95%以上享受地震群测群防岗位津贴人员对津贴发放情况的满意程度达到90%以上。</w:t>
      </w:r>
    </w:p>
    <w:p>
      <w:pPr>
        <w:pStyle w:val="23"/>
      </w:pPr>
      <w:r>
        <w:t>（五）加强地方武装力量</w:t>
      </w:r>
    </w:p>
    <w:p>
      <w:pPr>
        <w:pStyle w:val="23"/>
      </w:pPr>
      <w:r>
        <w:t>绩效目标：规范本镇武装部基础设施建设，不断提升遂行任务能力；保障本单位的民兵训练，征兵等工作的正常开展，圆满完成上级交给的各项工作任务。</w:t>
      </w:r>
    </w:p>
    <w:p>
      <w:pPr>
        <w:pStyle w:val="23"/>
      </w:pPr>
      <w:r>
        <w:t>绩效指标：组织民兵训练次数大于等于1次，民兵训练出勤率达到90%；民兵训练工作完成及时率到90%。</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（一）强化政治理论武装，健全完善制度机制</w:t>
      </w:r>
    </w:p>
    <w:p>
      <w:pPr>
        <w:pStyle w:val="24"/>
      </w:pPr>
      <w:r>
        <w:t>坚持把学习贯彻习近平新时代中国特色社会主义思想和党的二十届四中全会精神作为首要政治任务，全面落实省委十届四次全会、十届五次全会决策部署，根据中央和省委省政府全面实施预算绩效管理的意见，以及我省预算绩效管理相关要求，明确所内人员管理层级、岗位职责权限、权力运行规章制度，切实做到分事行权、分岗设权、分级授权、并定期轮岗，对补贴资金、公用经费使用的资料审核明确专人负责，多人复核的审批程序，确保资金使用多个监督换环节。</w:t>
      </w:r>
    </w:p>
    <w:p>
      <w:pPr>
        <w:pStyle w:val="24"/>
      </w:pPr>
      <w:r>
        <w:t>（二）加强预算支出管理，确保支出进度达标</w:t>
      </w:r>
    </w:p>
    <w:p>
      <w:pPr>
        <w:pStyle w:val="24"/>
      </w:pPr>
      <w:r>
        <w:t>规范财务报销手续，加强预算管理，严格遵守《中华人民共和国预算法》，牢固树立过紧日子的思想，压缩一般性支出，严格控制“三公”经费支出，切实把有限的财政资金用在刃上。</w:t>
      </w:r>
    </w:p>
    <w:p>
      <w:pPr>
        <w:pStyle w:val="24"/>
      </w:pPr>
      <w:r>
        <w:t>（三）加强绩效运行监控，确保绩效目标实现</w:t>
      </w:r>
    </w:p>
    <w:p>
      <w:pPr>
        <w:pStyle w:val="24"/>
      </w:pPr>
      <w:r>
        <w:t>按照“谁支出、谁负责”的原则，完善用款计划管理，适时采取相应措施警示督促、纠偏纠错，促进预算绩效目标和绩效监控各项工作。</w:t>
      </w:r>
    </w:p>
    <w:p>
      <w:pPr>
        <w:pStyle w:val="24"/>
      </w:pPr>
      <w:r>
        <w:t>（四）做好绩效自评，确保自评工作取得实效</w:t>
      </w:r>
    </w:p>
    <w:p>
      <w:pPr>
        <w:pStyle w:val="24"/>
      </w:pPr>
      <w:r>
        <w:t>细化自评内容，确保自评工作取得实效。评价内容包括预算执行情况、年度总体绩效目标完成清洁、绩效指标完成情况等，并对未完成绩效目标的或者完成情况较差的逐条分析原因并提出改进措施，有效提升绩效自评约束力。</w:t>
      </w:r>
    </w:p>
    <w:p>
      <w:pPr>
        <w:pStyle w:val="24"/>
      </w:pPr>
      <w:r>
        <w:t>（五）规范财务资产管理，确保资金安全高效</w:t>
      </w:r>
    </w:p>
    <w:p>
      <w:pPr>
        <w:pStyle w:val="24"/>
      </w:pPr>
      <w:r>
        <w:t>把乡资金监管与预算管理相结合，通过进一步细化预算编制，加强预算执行管理。把补助性资金监管与政策落实相结合，确保各项补贴政策的贯彻落实。把财政监督与发挥资金效益相结合，对乡镇财政资金使用实行事前、事中、事后全过程监管，确保资金安全高效。</w:t>
      </w:r>
    </w:p>
    <w:p>
      <w:pPr>
        <w:pStyle w:val="24"/>
      </w:pPr>
      <w:r>
        <w:t>（六）加强内部监督管理，确保资金安全有效</w:t>
      </w:r>
    </w:p>
    <w:p>
      <w:pPr>
        <w:pStyle w:val="24"/>
      </w:pPr>
      <w:r>
        <w:t>配合区财政局做好财政监督工作，并注重建立健全内部控制的监督检查制度，通过日常监督和专项监督，检查内部控制实施过程中存在的突出问题、管理漏洞和薄弱环节，进一步改进和加强内部控制，强化自我监督、自我约束的自觉性，促进内控机制的不断完善。</w:t>
      </w:r>
    </w:p>
    <w:p>
      <w:pPr>
        <w:pStyle w:val="24"/>
      </w:pPr>
      <w:r>
        <w:t>（七）加强宣传培训调研，确保绩效目标实现</w:t>
      </w:r>
    </w:p>
    <w:p>
      <w:pPr>
        <w:pStyle w:val="24"/>
        <w:sectPr>
          <w:pgSz w:w="16840" w:h="11900" w:orient="landscape"/>
          <w:pgMar w:top="1361" w:right="1020" w:bottom="1361" w:left="1020" w:header="720" w:footer="720" w:gutter="0"/>
          <w:cols w:space="720" w:num="1"/>
        </w:sectPr>
      </w:pPr>
      <w:r>
        <w:t>一是加强业务知识培训，使广大财政干部及时了解新知识、掌握新政策，不断提高履职能力；二是加强政策法规培训。认真开展财政普法教育宣传工作，提高财政干部依法行政、文明服务的自觉性；三是加强思想政治培训。开展理想信念教育，着力加强财政干部思想理论素养，提高政治认识。</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15432"/>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19210"/>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13062526P00008110053H</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1.保障“三馆一站”工作有序进行，保障资金1.5万元，开展文化活动次数不少于3次。</w:t>
            </w:r>
          </w:p>
          <w:p>
            <w:pPr>
              <w:pStyle w:val="13"/>
            </w:pPr>
            <w:r>
              <w:t>2.保障公共文化服务场所免费开放运行，群众满意度达到90%以上。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≥3次</w:t>
            </w:r>
          </w:p>
        </w:tc>
        <w:tc>
          <w:tcPr>
            <w:tcW w:w="1276" w:type="dxa"/>
            <w:vAlign w:val="center"/>
          </w:tcPr>
          <w:p>
            <w:pPr>
              <w:pStyle w:val="13"/>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≥85%</w:t>
            </w:r>
          </w:p>
        </w:tc>
        <w:tc>
          <w:tcPr>
            <w:tcW w:w="1276" w:type="dxa"/>
            <w:vAlign w:val="center"/>
          </w:tcPr>
          <w:p>
            <w:pPr>
              <w:pStyle w:val="13"/>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≥85%</w:t>
            </w:r>
          </w:p>
        </w:tc>
        <w:tc>
          <w:tcPr>
            <w:tcW w:w="1276" w:type="dxa"/>
            <w:vAlign w:val="center"/>
          </w:tcPr>
          <w:p>
            <w:pPr>
              <w:pStyle w:val="13"/>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≤1.5万元</w:t>
            </w:r>
          </w:p>
        </w:tc>
        <w:tc>
          <w:tcPr>
            <w:tcW w:w="1276" w:type="dxa"/>
            <w:vAlign w:val="center"/>
          </w:tcPr>
          <w:p>
            <w:pPr>
              <w:pStyle w:val="13"/>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财教[2020]156号《中央对地方公共图书馆，美术馆，文化馆（站）免费开放补助资金管理办法》和项目实施方案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满意度调查问卷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13062526P00023210257K</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0.65</w:t>
            </w:r>
          </w:p>
        </w:tc>
        <w:tc>
          <w:tcPr>
            <w:tcW w:w="2835" w:type="dxa"/>
            <w:vAlign w:val="center"/>
          </w:tcPr>
          <w:p>
            <w:pPr>
              <w:pStyle w:val="11"/>
            </w:pPr>
            <w:r>
              <w:t>其中：财政    资金</w:t>
            </w:r>
          </w:p>
        </w:tc>
        <w:tc>
          <w:tcPr>
            <w:tcW w:w="2551" w:type="dxa"/>
            <w:vAlign w:val="center"/>
          </w:tcPr>
          <w:p>
            <w:pPr>
              <w:pStyle w:val="13"/>
            </w:pPr>
            <w:r>
              <w:t>0.65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该项资金主要用于安全生产信息员经费支出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0.65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1.2026年此项经费0.65万元，用于发放13名安全生产信息员津贴，由乡镇按季度支付。</w:t>
            </w:r>
          </w:p>
          <w:p>
            <w:pPr>
              <w:pStyle w:val="13"/>
            </w:pPr>
            <w:r>
              <w:t>2.加强基层安全生产保障能力的建设，确保满足安全生产工作的实际需要，进一步加大安全生产延伸到基层，掌握全区的安全生产动态。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全区各乡镇设立安全生产信息员总人数</w:t>
            </w:r>
          </w:p>
        </w:tc>
        <w:tc>
          <w:tcPr>
            <w:tcW w:w="2268" w:type="dxa"/>
            <w:vAlign w:val="center"/>
          </w:tcPr>
          <w:p>
            <w:pPr>
              <w:pStyle w:val="13"/>
            </w:pPr>
            <w:r>
              <w:t>13人</w:t>
            </w:r>
          </w:p>
        </w:tc>
        <w:tc>
          <w:tcPr>
            <w:tcW w:w="1276" w:type="dxa"/>
            <w:vAlign w:val="center"/>
          </w:tcPr>
          <w:p>
            <w:pPr>
              <w:pStyle w:val="13"/>
            </w:pPr>
            <w:r>
              <w:t>徐水县人民政府办公室关于印发《徐水县关于设立村级（社区）安全生产信息员的实施意见》的通知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13062526P00016210092C</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12.40</w:t>
            </w:r>
          </w:p>
        </w:tc>
        <w:tc>
          <w:tcPr>
            <w:tcW w:w="2835" w:type="dxa"/>
            <w:vAlign w:val="center"/>
          </w:tcPr>
          <w:p>
            <w:pPr>
              <w:pStyle w:val="11"/>
            </w:pPr>
            <w:r>
              <w:t>其中：财政    资金</w:t>
            </w:r>
          </w:p>
        </w:tc>
        <w:tc>
          <w:tcPr>
            <w:tcW w:w="2551" w:type="dxa"/>
            <w:vAlign w:val="center"/>
          </w:tcPr>
          <w:p>
            <w:pPr>
              <w:pStyle w:val="13"/>
            </w:pPr>
            <w:r>
              <w:t>12.40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该资金用于本项目支出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3.10</w:t>
            </w:r>
          </w:p>
        </w:tc>
        <w:tc>
          <w:tcPr>
            <w:tcW w:w="2835" w:type="dxa"/>
            <w:vAlign w:val="center"/>
          </w:tcPr>
          <w:p>
            <w:pPr>
              <w:pStyle w:val="14"/>
            </w:pPr>
            <w:r>
              <w:t>6.20</w:t>
            </w:r>
          </w:p>
        </w:tc>
        <w:tc>
          <w:tcPr>
            <w:tcW w:w="2551" w:type="dxa"/>
            <w:vAlign w:val="center"/>
          </w:tcPr>
          <w:p>
            <w:pPr>
              <w:pStyle w:val="14"/>
            </w:pPr>
            <w:r>
              <w:t>9.30</w:t>
            </w:r>
          </w:p>
        </w:tc>
        <w:tc>
          <w:tcPr>
            <w:tcW w:w="3544" w:type="dxa"/>
            <w:gridSpan w:val="2"/>
            <w:vAlign w:val="center"/>
          </w:tcPr>
          <w:p>
            <w:pPr>
              <w:pStyle w:val="14"/>
            </w:pPr>
            <w:r>
              <w:t>12.40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1.通过实施此项目，使得村内党员活动正常开展，强化基层组织党的建设工作。</w:t>
            </w:r>
          </w:p>
          <w:p>
            <w:pPr>
              <w:pStyle w:val="13"/>
            </w:pPr>
            <w:r>
              <w:t>2.及时拨付村党组织活动经费，保障村党组织各项活动次数2次以上</w:t>
            </w:r>
          </w:p>
          <w:p>
            <w:pPr>
              <w:pStyle w:val="13"/>
            </w:pPr>
            <w:r>
              <w:t>3.对辖区内620名党员进行培训，组织活动，每年控制在12.4万元，提高农村党员的综合素质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党组织开展各项活动的次数</w:t>
            </w:r>
          </w:p>
        </w:tc>
        <w:tc>
          <w:tcPr>
            <w:tcW w:w="2268" w:type="dxa"/>
            <w:vAlign w:val="center"/>
          </w:tcPr>
          <w:p>
            <w:pPr>
              <w:pStyle w:val="13"/>
            </w:pPr>
            <w:r>
              <w:t>≥2次</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辖区内党员的数量</w:t>
            </w:r>
          </w:p>
        </w:tc>
        <w:tc>
          <w:tcPr>
            <w:tcW w:w="2268" w:type="dxa"/>
            <w:vAlign w:val="center"/>
          </w:tcPr>
          <w:p>
            <w:pPr>
              <w:pStyle w:val="13"/>
            </w:pPr>
            <w:r>
              <w:t>620人</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13062526P000162100905</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32.75</w:t>
            </w:r>
          </w:p>
        </w:tc>
        <w:tc>
          <w:tcPr>
            <w:tcW w:w="2835" w:type="dxa"/>
            <w:vAlign w:val="center"/>
          </w:tcPr>
          <w:p>
            <w:pPr>
              <w:pStyle w:val="11"/>
            </w:pPr>
            <w:r>
              <w:t>其中：财政    资金</w:t>
            </w:r>
          </w:p>
        </w:tc>
        <w:tc>
          <w:tcPr>
            <w:tcW w:w="2551" w:type="dxa"/>
            <w:vAlign w:val="center"/>
          </w:tcPr>
          <w:p>
            <w:pPr>
              <w:pStyle w:val="13"/>
            </w:pPr>
            <w:r>
              <w:t>32.75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该资金用于本项目支出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8.19</w:t>
            </w:r>
          </w:p>
        </w:tc>
        <w:tc>
          <w:tcPr>
            <w:tcW w:w="2835" w:type="dxa"/>
            <w:vAlign w:val="center"/>
          </w:tcPr>
          <w:p>
            <w:pPr>
              <w:pStyle w:val="14"/>
            </w:pPr>
            <w:r>
              <w:t>16.38</w:t>
            </w:r>
          </w:p>
        </w:tc>
        <w:tc>
          <w:tcPr>
            <w:tcW w:w="2551" w:type="dxa"/>
            <w:vAlign w:val="center"/>
          </w:tcPr>
          <w:p>
            <w:pPr>
              <w:pStyle w:val="14"/>
            </w:pPr>
            <w:r>
              <w:t>24.56</w:t>
            </w:r>
          </w:p>
        </w:tc>
        <w:tc>
          <w:tcPr>
            <w:tcW w:w="3544" w:type="dxa"/>
            <w:gridSpan w:val="2"/>
            <w:vAlign w:val="center"/>
          </w:tcPr>
          <w:p>
            <w:pPr>
              <w:pStyle w:val="14"/>
            </w:pPr>
            <w:r>
              <w:t>32.75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2.达到全乡13个村必要的办公用品费、办公设施维护费、水电暖费、报刊征订费等正常维持。全年需要32.75万元的资金保障</w:t>
            </w:r>
          </w:p>
          <w:p>
            <w:pPr>
              <w:pStyle w:val="13"/>
            </w:pPr>
            <w:r>
              <w:t>3.正确使用村级组织办公经费用于村内公益事业,达到90%以上的群众满意。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13个</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≤32.75万元</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《中共河北省委组织部、河北省财政厅&lt;关于提高村级组织运转保障水平的意见的通知&gt;的通知》冀组发[2018]14号文件；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13062526P00015410105R</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1.项目资金1万元，用于保障本乡镇2026年大气污染防治工作，降低辖区内大气污染指数。</w:t>
            </w:r>
            <w:r>
              <w:tab/>
            </w:r>
            <w:r>
              <w:tab/>
            </w:r>
            <w:r>
              <w:tab/>
            </w:r>
            <w:r>
              <w:tab/>
            </w:r>
            <w:r>
              <w:tab/>
            </w:r>
            <w:r>
              <w:tab/>
            </w:r>
          </w:p>
          <w:p>
            <w:pPr>
              <w:pStyle w:val="13"/>
            </w:pPr>
          </w:p>
          <w:p>
            <w:pPr>
              <w:pStyle w:val="13"/>
            </w:pPr>
            <w:r>
              <w:t>2.保护和改善环境，防治大气污染，保障公众健康，推进生态文明建设。</w:t>
            </w:r>
            <w:r>
              <w:tab/>
            </w:r>
            <w:r>
              <w:tab/>
            </w:r>
            <w:r>
              <w:tab/>
            </w:r>
            <w:r>
              <w:tab/>
            </w:r>
            <w:r>
              <w:tab/>
            </w:r>
            <w:r>
              <w:tab/>
            </w:r>
          </w:p>
          <w:p>
            <w:pPr>
              <w:pStyle w:val="13"/>
            </w:pPr>
          </w:p>
          <w:p>
            <w:pPr>
              <w:pStyle w:val="13"/>
            </w:pPr>
            <w:r>
              <w:t>3.组织开展大气污染防治宣传活动不少于5次，宣传覆盖率达到100%.</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反映针对大气污染防治的宣传次数情况</w:t>
            </w:r>
          </w:p>
        </w:tc>
        <w:tc>
          <w:tcPr>
            <w:tcW w:w="2268" w:type="dxa"/>
            <w:vAlign w:val="center"/>
          </w:tcPr>
          <w:p>
            <w:pPr>
              <w:pStyle w:val="13"/>
            </w:pPr>
            <w:r>
              <w:t>≥5次</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反映参与防治大气污染工作人数情况</w:t>
            </w:r>
          </w:p>
        </w:tc>
        <w:tc>
          <w:tcPr>
            <w:tcW w:w="2268" w:type="dxa"/>
            <w:vAlign w:val="center"/>
          </w:tcPr>
          <w:p>
            <w:pPr>
              <w:pStyle w:val="13"/>
            </w:pPr>
            <w:r>
              <w:t>≥20人</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大反映气污染防治宣传覆盖村数占总村数比重情况</w:t>
            </w:r>
          </w:p>
        </w:tc>
        <w:tc>
          <w:tcPr>
            <w:tcW w:w="2268" w:type="dxa"/>
            <w:vAlign w:val="center"/>
          </w:tcPr>
          <w:p>
            <w:pPr>
              <w:pStyle w:val="13"/>
            </w:pPr>
            <w:r>
              <w:t>100%</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反映大气污染防治宣传工作按计划时间完成的比例情况</w:t>
            </w:r>
          </w:p>
        </w:tc>
        <w:tc>
          <w:tcPr>
            <w:tcW w:w="2268" w:type="dxa"/>
            <w:vAlign w:val="center"/>
          </w:tcPr>
          <w:p>
            <w:pPr>
              <w:pStyle w:val="13"/>
            </w:pPr>
            <w:r>
              <w:t>100%</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≤1万元</w:t>
            </w:r>
          </w:p>
        </w:tc>
        <w:tc>
          <w:tcPr>
            <w:tcW w:w="1276" w:type="dxa"/>
            <w:vAlign w:val="center"/>
          </w:tcPr>
          <w:p>
            <w:pPr>
              <w:pStyle w:val="13"/>
            </w:pPr>
            <w:r>
              <w:t>依据保定市徐水区大气污染防治工作领导小组办公室关于转发《河北省2021年大气污染综合治理工作方案的通知》的通知（徐大气办[2021]73号）及三重一大会议纪要</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反映环境保护意识提高情况</w:t>
            </w:r>
          </w:p>
        </w:tc>
        <w:tc>
          <w:tcPr>
            <w:tcW w:w="2268" w:type="dxa"/>
            <w:vAlign w:val="center"/>
          </w:tcPr>
          <w:p>
            <w:pPr>
              <w:pStyle w:val="13"/>
            </w:pPr>
            <w:r>
              <w:t>≥85%</w:t>
            </w:r>
          </w:p>
        </w:tc>
        <w:tc>
          <w:tcPr>
            <w:tcW w:w="1276" w:type="dxa"/>
            <w:vAlign w:val="center"/>
          </w:tcPr>
          <w:p>
            <w:pPr>
              <w:pStyle w:val="13"/>
            </w:pPr>
            <w:r>
              <w:t>依据满意度问卷调查</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反映辖区村民满意程度</w:t>
            </w:r>
          </w:p>
        </w:tc>
        <w:tc>
          <w:tcPr>
            <w:tcW w:w="2268" w:type="dxa"/>
            <w:vAlign w:val="center"/>
          </w:tcPr>
          <w:p>
            <w:pPr>
              <w:pStyle w:val="13"/>
            </w:pPr>
            <w:r>
              <w:t>≥90%</w:t>
            </w:r>
          </w:p>
        </w:tc>
        <w:tc>
          <w:tcPr>
            <w:tcW w:w="1276" w:type="dxa"/>
            <w:vAlign w:val="center"/>
          </w:tcPr>
          <w:p>
            <w:pPr>
              <w:pStyle w:val="13"/>
            </w:pPr>
            <w:r>
              <w:t>依据满意度问卷调查</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13062526P000024103410</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1.20</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1.推动本乡各项党建工作通过考核，各项党建工作及时完成，提高党建工作在我乡范围内所覆盖比率。</w:t>
            </w:r>
          </w:p>
          <w:p>
            <w:pPr>
              <w:pStyle w:val="13"/>
            </w:pPr>
            <w:r>
              <w:t>2.提升党建创建水平，组织开展基层党组织活动，党组织覆盖和工作覆盖明显提升，增强基层政治功能和组织能力。</w:t>
            </w:r>
            <w:r>
              <w:tab/>
            </w:r>
            <w:r>
              <w:tab/>
            </w:r>
            <w:r>
              <w:tab/>
            </w:r>
            <w:r>
              <w:tab/>
            </w:r>
            <w:r>
              <w:tab/>
            </w:r>
            <w:r>
              <w:tab/>
            </w:r>
          </w:p>
          <w:p>
            <w:pPr>
              <w:pStyle w:val="13"/>
            </w:pPr>
          </w:p>
          <w:p>
            <w:pPr>
              <w:pStyle w:val="13"/>
            </w:pPr>
            <w:r>
              <w:t>3.组织开展日常党员活动不少于5次，定期集中培训，提升党员综合素质，发挥党的引领示范作用，做好2026年党建工作。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全年组织开展党员活动次数</w:t>
            </w:r>
          </w:p>
        </w:tc>
        <w:tc>
          <w:tcPr>
            <w:tcW w:w="2268" w:type="dxa"/>
            <w:vAlign w:val="center"/>
          </w:tcPr>
          <w:p>
            <w:pPr>
              <w:pStyle w:val="13"/>
            </w:pPr>
            <w:r>
              <w:t>≥5次</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≥100人</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各项党建工作是否通过考核</w:t>
            </w:r>
          </w:p>
        </w:tc>
        <w:tc>
          <w:tcPr>
            <w:tcW w:w="2268" w:type="dxa"/>
            <w:vAlign w:val="center"/>
          </w:tcPr>
          <w:p>
            <w:pPr>
              <w:pStyle w:val="13"/>
            </w:pPr>
            <w:r>
              <w:t>≥90%</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各项党建工作及时完成情况</w:t>
            </w:r>
          </w:p>
        </w:tc>
        <w:tc>
          <w:tcPr>
            <w:tcW w:w="2268" w:type="dxa"/>
            <w:vAlign w:val="center"/>
          </w:tcPr>
          <w:p>
            <w:pPr>
              <w:pStyle w:val="13"/>
            </w:pPr>
            <w:r>
              <w:t>≥90%</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≤1.5万元</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反映党员违纪通报情况</w:t>
            </w:r>
          </w:p>
        </w:tc>
        <w:tc>
          <w:tcPr>
            <w:tcW w:w="2268" w:type="dxa"/>
            <w:vAlign w:val="center"/>
          </w:tcPr>
          <w:p>
            <w:pPr>
              <w:pStyle w:val="13"/>
            </w:pPr>
            <w:r>
              <w:t>≤2次</w:t>
            </w:r>
          </w:p>
        </w:tc>
        <w:tc>
          <w:tcPr>
            <w:tcW w:w="1276" w:type="dxa"/>
            <w:vAlign w:val="center"/>
          </w:tcPr>
          <w:p>
            <w:pPr>
              <w:pStyle w:val="13"/>
            </w:pPr>
            <w:r>
              <w:t>依据东釜山乡人民政府党建工作经费项目实施计划、徐字[2021]29号中共保定市徐水区委关于印发《保定市徐水区关于在全区开展“基层党建党先锋、乡镇振兴党旗红”》活动的实施意见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反映参加党建活动党员满意度情况</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13062526P000232102587</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0.28</w:t>
            </w:r>
          </w:p>
        </w:tc>
        <w:tc>
          <w:tcPr>
            <w:tcW w:w="2835" w:type="dxa"/>
            <w:vAlign w:val="center"/>
          </w:tcPr>
          <w:p>
            <w:pPr>
              <w:pStyle w:val="11"/>
            </w:pPr>
            <w:r>
              <w:t>其中：财政    资金</w:t>
            </w:r>
          </w:p>
        </w:tc>
        <w:tc>
          <w:tcPr>
            <w:tcW w:w="2551" w:type="dxa"/>
            <w:vAlign w:val="center"/>
          </w:tcPr>
          <w:p>
            <w:pPr>
              <w:pStyle w:val="13"/>
            </w:pPr>
            <w:r>
              <w:t>0.28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0.28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1.此项经费共计2760元，用于发放地震台站长及助理员15人津贴，由乡镇按季度支付。</w:t>
            </w:r>
          </w:p>
          <w:p>
            <w:pPr>
              <w:pStyle w:val="13"/>
            </w:pPr>
            <w:r>
              <w:t>2.地震群测群防是防震减灾工作的重要组成部分，事关国家公共安全和人民群众生命财产安全，特别对地震短临预报起着不可替代的作用。</w:t>
            </w:r>
          </w:p>
          <w:p>
            <w:pPr>
              <w:pStyle w:val="13"/>
            </w:pPr>
            <w:r>
              <w:t>3.通过项目实施，维持地震群测群防队伍的稳定。有效降低地震灾害造成的人身及财产损失。该项目主要用于补助地震群测群防队伍。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15人</w:t>
            </w:r>
          </w:p>
        </w:tc>
        <w:tc>
          <w:tcPr>
            <w:tcW w:w="1276" w:type="dxa"/>
            <w:vAlign w:val="center"/>
          </w:tcPr>
          <w:p>
            <w:pPr>
              <w:pStyle w:val="13"/>
            </w:pPr>
            <w:r>
              <w:t>依据保定市人民政府办公厅[2008]保市府办227号《保定市人民政府办公厅关于落实地震群测群防经费的通知》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≤2760元</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8、东釜山乡2026年公益岗位补助及保险项目绩效目标表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13062526P00023210254Q</w:t>
            </w:r>
          </w:p>
        </w:tc>
        <w:tc>
          <w:tcPr>
            <w:tcW w:w="2835" w:type="dxa"/>
            <w:vAlign w:val="center"/>
          </w:tcPr>
          <w:p>
            <w:pPr>
              <w:pStyle w:val="11"/>
            </w:pPr>
            <w:r>
              <w:t>项目名称</w:t>
            </w:r>
          </w:p>
        </w:tc>
        <w:tc>
          <w:tcPr>
            <w:tcW w:w="6095" w:type="dxa"/>
            <w:gridSpan w:val="3"/>
            <w:vAlign w:val="center"/>
          </w:tcPr>
          <w:p>
            <w:pPr>
              <w:pStyle w:val="13"/>
            </w:pPr>
            <w:r>
              <w:t>东釜山乡2026年公益岗位补助及保险项目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18.56</w:t>
            </w:r>
          </w:p>
        </w:tc>
        <w:tc>
          <w:tcPr>
            <w:tcW w:w="2835" w:type="dxa"/>
            <w:vAlign w:val="center"/>
          </w:tcPr>
          <w:p>
            <w:pPr>
              <w:pStyle w:val="11"/>
            </w:pPr>
            <w:r>
              <w:t>其中：财政    资金</w:t>
            </w:r>
          </w:p>
        </w:tc>
        <w:tc>
          <w:tcPr>
            <w:tcW w:w="2551" w:type="dxa"/>
            <w:vAlign w:val="center"/>
          </w:tcPr>
          <w:p>
            <w:pPr>
              <w:pStyle w:val="13"/>
            </w:pPr>
            <w:r>
              <w:t>18.56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6.14</w:t>
            </w:r>
          </w:p>
        </w:tc>
        <w:tc>
          <w:tcPr>
            <w:tcW w:w="2835" w:type="dxa"/>
            <w:vAlign w:val="center"/>
          </w:tcPr>
          <w:p>
            <w:pPr>
              <w:pStyle w:val="14"/>
            </w:pPr>
            <w:r>
              <w:t>10.28</w:t>
            </w:r>
          </w:p>
        </w:tc>
        <w:tc>
          <w:tcPr>
            <w:tcW w:w="2551" w:type="dxa"/>
            <w:vAlign w:val="center"/>
          </w:tcPr>
          <w:p>
            <w:pPr>
              <w:pStyle w:val="14"/>
            </w:pPr>
            <w:r>
              <w:t>14.42</w:t>
            </w:r>
          </w:p>
        </w:tc>
        <w:tc>
          <w:tcPr>
            <w:tcW w:w="3544" w:type="dxa"/>
            <w:gridSpan w:val="2"/>
            <w:vAlign w:val="center"/>
          </w:tcPr>
          <w:p>
            <w:pPr>
              <w:pStyle w:val="14"/>
            </w:pPr>
            <w:r>
              <w:t>18.56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1.投入18.561万元资金，乡村公益岗位补助标准为护林员、河道管护员、环保员、就业服务岗每人每月500元，涉及24人。乡村服务岗每人每月300元，涉及6人。同时为每名乡村公益岗位人员购置人身意外保险667元/年。</w:t>
            </w:r>
          </w:p>
          <w:p>
            <w:pPr>
              <w:pStyle w:val="13"/>
            </w:pPr>
            <w:r>
              <w:t>2.为实现公共利益和安置脱贫劳动力、农村低收入人口就业为目的，公益性岗位安置脱贫人口就业,确保不发生规模性返贫,为全面推进乡村振兴奠定更加坚实的基础。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≥30人</w:t>
            </w:r>
          </w:p>
        </w:tc>
        <w:tc>
          <w:tcPr>
            <w:tcW w:w="1276" w:type="dxa"/>
            <w:vAlign w:val="center"/>
          </w:tcPr>
          <w:p>
            <w:pPr>
              <w:pStyle w:val="13"/>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保定市徐水区人力资源和社会保障局等六部门关于印发《保定市徐水区乡村公益性岗位管理办法》的通知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9、防火护林员工资补助经费绩效目标表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13062526P00016710010J</w:t>
            </w:r>
          </w:p>
        </w:tc>
        <w:tc>
          <w:tcPr>
            <w:tcW w:w="2835" w:type="dxa"/>
            <w:vAlign w:val="center"/>
          </w:tcPr>
          <w:p>
            <w:pPr>
              <w:pStyle w:val="11"/>
            </w:pPr>
            <w:r>
              <w:t>项目名称</w:t>
            </w:r>
          </w:p>
        </w:tc>
        <w:tc>
          <w:tcPr>
            <w:tcW w:w="6095" w:type="dxa"/>
            <w:gridSpan w:val="3"/>
            <w:vAlign w:val="center"/>
          </w:tcPr>
          <w:p>
            <w:pPr>
              <w:pStyle w:val="13"/>
            </w:pPr>
            <w:r>
              <w:t>防火护林员工资补助经费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2.80</w:t>
            </w:r>
          </w:p>
        </w:tc>
        <w:tc>
          <w:tcPr>
            <w:tcW w:w="2835" w:type="dxa"/>
            <w:vAlign w:val="center"/>
          </w:tcPr>
          <w:p>
            <w:pPr>
              <w:pStyle w:val="11"/>
            </w:pPr>
            <w:r>
              <w:t>其中：财政    资金</w:t>
            </w:r>
          </w:p>
        </w:tc>
        <w:tc>
          <w:tcPr>
            <w:tcW w:w="2551" w:type="dxa"/>
            <w:vAlign w:val="center"/>
          </w:tcPr>
          <w:p>
            <w:pPr>
              <w:pStyle w:val="13"/>
            </w:pPr>
            <w:r>
              <w:t>2.80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2.80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1.防火护林员工资补助28000元，由乡镇按季度支付。</w:t>
            </w:r>
          </w:p>
          <w:p>
            <w:pPr>
              <w:pStyle w:val="13"/>
            </w:pPr>
            <w:r>
              <w:t>2.保障35名防火护林员工资补助待遇等方面的经费支出，确保防火护林日常工作正常运转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实发人数</w:t>
            </w:r>
          </w:p>
        </w:tc>
        <w:tc>
          <w:tcPr>
            <w:tcW w:w="5386" w:type="dxa"/>
            <w:vAlign w:val="center"/>
          </w:tcPr>
          <w:p>
            <w:pPr>
              <w:pStyle w:val="13"/>
            </w:pPr>
            <w:r>
              <w:t>实发人数情况</w:t>
            </w:r>
          </w:p>
        </w:tc>
        <w:tc>
          <w:tcPr>
            <w:tcW w:w="2268" w:type="dxa"/>
            <w:vAlign w:val="center"/>
          </w:tcPr>
          <w:p>
            <w:pPr>
              <w:pStyle w:val="13"/>
            </w:pPr>
            <w:r>
              <w:t>35人</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防火工作达标率</w:t>
            </w:r>
          </w:p>
        </w:tc>
        <w:tc>
          <w:tcPr>
            <w:tcW w:w="5386" w:type="dxa"/>
            <w:vAlign w:val="center"/>
          </w:tcPr>
          <w:p>
            <w:pPr>
              <w:pStyle w:val="13"/>
            </w:pPr>
            <w:r>
              <w:t>反映防火工资的达标情况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在规定时限内完成工资补助支付情况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项目总成本控制情况</w:t>
            </w:r>
          </w:p>
        </w:tc>
        <w:tc>
          <w:tcPr>
            <w:tcW w:w="2268" w:type="dxa"/>
            <w:vAlign w:val="center"/>
          </w:tcPr>
          <w:p>
            <w:pPr>
              <w:pStyle w:val="13"/>
            </w:pPr>
            <w:r>
              <w:t>≤2.8万元</w:t>
            </w:r>
          </w:p>
        </w:tc>
        <w:tc>
          <w:tcPr>
            <w:tcW w:w="1276" w:type="dxa"/>
            <w:vAlign w:val="center"/>
          </w:tcPr>
          <w:p>
            <w:pPr>
              <w:pStyle w:val="13"/>
            </w:pPr>
            <w:r>
              <w:t>防火护林员工资补助经费发放明细表</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防火护林人员日常工作效率</w:t>
            </w:r>
          </w:p>
        </w:tc>
        <w:tc>
          <w:tcPr>
            <w:tcW w:w="5386" w:type="dxa"/>
            <w:vAlign w:val="center"/>
          </w:tcPr>
          <w:p>
            <w:pPr>
              <w:pStyle w:val="13"/>
            </w:pPr>
            <w:r>
              <w:t>防火护林员工作正常开展情况</w:t>
            </w:r>
          </w:p>
        </w:tc>
        <w:tc>
          <w:tcPr>
            <w:tcW w:w="2268" w:type="dxa"/>
            <w:vAlign w:val="center"/>
          </w:tcPr>
          <w:p>
            <w:pPr>
              <w:pStyle w:val="13"/>
            </w:pPr>
            <w:r>
              <w:t>≥95%</w:t>
            </w:r>
          </w:p>
        </w:tc>
        <w:tc>
          <w:tcPr>
            <w:tcW w:w="1276" w:type="dxa"/>
            <w:vAlign w:val="center"/>
          </w:tcPr>
          <w:p>
            <w:pPr>
              <w:pStyle w:val="13"/>
            </w:pPr>
            <w:r>
              <w:t>防火护林员工资补助经费项目实施计划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乡政府对防火护林人员满意度</w:t>
            </w:r>
          </w:p>
        </w:tc>
        <w:tc>
          <w:tcPr>
            <w:tcW w:w="5386" w:type="dxa"/>
            <w:vAlign w:val="center"/>
          </w:tcPr>
          <w:p>
            <w:pPr>
              <w:pStyle w:val="13"/>
            </w:pPr>
            <w:r>
              <w:t>乡政府对防火护林人员满意度情况</w:t>
            </w:r>
          </w:p>
        </w:tc>
        <w:tc>
          <w:tcPr>
            <w:tcW w:w="2268" w:type="dxa"/>
            <w:vAlign w:val="center"/>
          </w:tcPr>
          <w:p>
            <w:pPr>
              <w:pStyle w:val="13"/>
            </w:pPr>
            <w:r>
              <w:t>≥90%</w:t>
            </w:r>
          </w:p>
        </w:tc>
        <w:tc>
          <w:tcPr>
            <w:tcW w:w="1276" w:type="dxa"/>
            <w:vAlign w:val="center"/>
          </w:tcPr>
          <w:p>
            <w:pPr>
              <w:pStyle w:val="13"/>
            </w:pPr>
            <w:r>
              <w:t>项目满意度调查问卷</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13062526P00016210091Q</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65.00</w:t>
            </w:r>
          </w:p>
        </w:tc>
        <w:tc>
          <w:tcPr>
            <w:tcW w:w="2835" w:type="dxa"/>
            <w:vAlign w:val="center"/>
          </w:tcPr>
          <w:p>
            <w:pPr>
              <w:pStyle w:val="11"/>
            </w:pPr>
            <w:r>
              <w:t>其中：财政    资金</w:t>
            </w:r>
          </w:p>
        </w:tc>
        <w:tc>
          <w:tcPr>
            <w:tcW w:w="2551" w:type="dxa"/>
            <w:vAlign w:val="center"/>
          </w:tcPr>
          <w:p>
            <w:pPr>
              <w:pStyle w:val="13"/>
            </w:pPr>
            <w:r>
              <w:t>65.00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该资金用于本项目支出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16.25</w:t>
            </w:r>
          </w:p>
        </w:tc>
        <w:tc>
          <w:tcPr>
            <w:tcW w:w="2835" w:type="dxa"/>
            <w:vAlign w:val="center"/>
          </w:tcPr>
          <w:p>
            <w:pPr>
              <w:pStyle w:val="14"/>
            </w:pPr>
            <w:r>
              <w:t>32.50</w:t>
            </w:r>
          </w:p>
        </w:tc>
        <w:tc>
          <w:tcPr>
            <w:tcW w:w="2551" w:type="dxa"/>
            <w:vAlign w:val="center"/>
          </w:tcPr>
          <w:p>
            <w:pPr>
              <w:pStyle w:val="14"/>
            </w:pPr>
            <w:r>
              <w:t>48.75</w:t>
            </w:r>
          </w:p>
        </w:tc>
        <w:tc>
          <w:tcPr>
            <w:tcW w:w="3544" w:type="dxa"/>
            <w:gridSpan w:val="2"/>
            <w:vAlign w:val="center"/>
          </w:tcPr>
          <w:p>
            <w:pPr>
              <w:pStyle w:val="14"/>
            </w:pPr>
            <w:r>
              <w:t>65.00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2.对全乡13个村，按每村均不低于5万元的标准保障正常运转，需65万元的资金保障。</w:t>
            </w:r>
          </w:p>
          <w:p>
            <w:pPr>
              <w:pStyle w:val="13"/>
            </w:pPr>
            <w:r>
              <w:t>3.正确使用服务群众专项经费用于村内公益事业,达到90%以上的群众满意。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服务保障村级组织的数量</w:t>
            </w:r>
          </w:p>
        </w:tc>
        <w:tc>
          <w:tcPr>
            <w:tcW w:w="2268" w:type="dxa"/>
            <w:vAlign w:val="center"/>
          </w:tcPr>
          <w:p>
            <w:pPr>
              <w:pStyle w:val="13"/>
            </w:pPr>
            <w:r>
              <w:t>13个</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《中共河北省委组织部、河北省财政厅&lt;关于提高村级组织运转保障水平的意见的通知&gt;的通知》冀组发[2018]14号文件 ；&lt;关于提高村级组织运转保障水平的实施意见&gt;的通知》徐字〔2019〕2号。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11、关于提前下达2026年中央农村综合改革转移支付预算的通知绩效目标表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13062526P00017910067R</w:t>
            </w:r>
          </w:p>
        </w:tc>
        <w:tc>
          <w:tcPr>
            <w:tcW w:w="2835" w:type="dxa"/>
            <w:vAlign w:val="center"/>
          </w:tcPr>
          <w:p>
            <w:pPr>
              <w:pStyle w:val="11"/>
            </w:pPr>
            <w:r>
              <w:t>项目名称</w:t>
            </w:r>
          </w:p>
        </w:tc>
        <w:tc>
          <w:tcPr>
            <w:tcW w:w="6095" w:type="dxa"/>
            <w:gridSpan w:val="3"/>
            <w:vAlign w:val="center"/>
          </w:tcPr>
          <w:p>
            <w:pPr>
              <w:pStyle w:val="13"/>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该资金用于该项目支出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30.00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1.道路硬化10条路，总长1022米，款2.0-3.0米，厚0.12米，面积3021.5平方米。保证工程项目的质量和效益。</w:t>
            </w:r>
          </w:p>
          <w:p>
            <w:pPr>
              <w:pStyle w:val="13"/>
            </w:pPr>
            <w:r>
              <w:t>2.加强农村基层设施建设，不断提升村容村貌，为全面实施乡村振兴增添助力。</w:t>
            </w:r>
          </w:p>
          <w:p>
            <w:pPr>
              <w:pStyle w:val="13"/>
            </w:pPr>
            <w:r>
              <w:t>3.改善农村人居环境，解决村民出行难的问题，提升村民幸福质量。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建设道路长度</w:t>
            </w:r>
          </w:p>
        </w:tc>
        <w:tc>
          <w:tcPr>
            <w:tcW w:w="5386" w:type="dxa"/>
            <w:vAlign w:val="center"/>
          </w:tcPr>
          <w:p>
            <w:pPr>
              <w:pStyle w:val="13"/>
            </w:pPr>
            <w:r>
              <w:t>此次工程新建道路的长度</w:t>
            </w:r>
          </w:p>
        </w:tc>
        <w:tc>
          <w:tcPr>
            <w:tcW w:w="2268" w:type="dxa"/>
            <w:vAlign w:val="center"/>
          </w:tcPr>
          <w:p>
            <w:pPr>
              <w:pStyle w:val="13"/>
            </w:pPr>
            <w:r>
              <w:t>≥1022米</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建设道路厚度</w:t>
            </w:r>
          </w:p>
        </w:tc>
        <w:tc>
          <w:tcPr>
            <w:tcW w:w="5386" w:type="dxa"/>
            <w:vAlign w:val="center"/>
          </w:tcPr>
          <w:p>
            <w:pPr>
              <w:pStyle w:val="13"/>
            </w:pPr>
            <w:r>
              <w:t>此次工程新建道路的厚度</w:t>
            </w:r>
          </w:p>
        </w:tc>
        <w:tc>
          <w:tcPr>
            <w:tcW w:w="2268" w:type="dxa"/>
            <w:vAlign w:val="center"/>
          </w:tcPr>
          <w:p>
            <w:pPr>
              <w:pStyle w:val="13"/>
            </w:pPr>
            <w:r>
              <w:t>≥0.12米</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建设道路宽度</w:t>
            </w:r>
          </w:p>
        </w:tc>
        <w:tc>
          <w:tcPr>
            <w:tcW w:w="5386" w:type="dxa"/>
            <w:vAlign w:val="center"/>
          </w:tcPr>
          <w:p>
            <w:pPr>
              <w:pStyle w:val="13"/>
            </w:pPr>
            <w:r>
              <w:t>此次工程新建道路的宽度</w:t>
            </w:r>
          </w:p>
        </w:tc>
        <w:tc>
          <w:tcPr>
            <w:tcW w:w="2268" w:type="dxa"/>
            <w:vAlign w:val="center"/>
          </w:tcPr>
          <w:p>
            <w:pPr>
              <w:pStyle w:val="13"/>
            </w:pPr>
            <w:r>
              <w:t>≥2.5米</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建设道路面积</w:t>
            </w:r>
          </w:p>
        </w:tc>
        <w:tc>
          <w:tcPr>
            <w:tcW w:w="5386" w:type="dxa"/>
            <w:vAlign w:val="center"/>
          </w:tcPr>
          <w:p>
            <w:pPr>
              <w:pStyle w:val="13"/>
            </w:pPr>
            <w:r>
              <w:t>此次工程新建道路的面积</w:t>
            </w:r>
          </w:p>
        </w:tc>
        <w:tc>
          <w:tcPr>
            <w:tcW w:w="2268" w:type="dxa"/>
            <w:vAlign w:val="center"/>
          </w:tcPr>
          <w:p>
            <w:pPr>
              <w:pStyle w:val="13"/>
            </w:pPr>
            <w:r>
              <w:t>≥3021.5平方米</w:t>
            </w:r>
          </w:p>
        </w:tc>
        <w:tc>
          <w:tcPr>
            <w:tcW w:w="1276" w:type="dxa"/>
            <w:vAlign w:val="center"/>
          </w:tcPr>
          <w:p>
            <w:pPr>
              <w:pStyle w:val="13"/>
            </w:pPr>
            <w:r>
              <w:t>关于提前下达2026年中央农村综合改革转移支付预算的通知项目实施计划项目建设审批表和徐政财字[2025]83号</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项目（工程）验收合格率</w:t>
            </w:r>
          </w:p>
        </w:tc>
        <w:tc>
          <w:tcPr>
            <w:tcW w:w="5386" w:type="dxa"/>
            <w:vAlign w:val="center"/>
          </w:tcPr>
          <w:p>
            <w:pPr>
              <w:pStyle w:val="13"/>
            </w:pPr>
            <w:r>
              <w:t>此次工程进行验收合格的百分比</w:t>
            </w:r>
          </w:p>
        </w:tc>
        <w:tc>
          <w:tcPr>
            <w:tcW w:w="2268" w:type="dxa"/>
            <w:vAlign w:val="center"/>
          </w:tcPr>
          <w:p>
            <w:pPr>
              <w:pStyle w:val="13"/>
            </w:pPr>
            <w:r>
              <w:t>100%</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项目（工程）完成及时效</w:t>
            </w:r>
          </w:p>
        </w:tc>
        <w:tc>
          <w:tcPr>
            <w:tcW w:w="5386" w:type="dxa"/>
            <w:vAlign w:val="center"/>
          </w:tcPr>
          <w:p>
            <w:pPr>
              <w:pStyle w:val="13"/>
            </w:pPr>
            <w:r>
              <w:t>项目（工程）完成及时效</w:t>
            </w:r>
          </w:p>
        </w:tc>
        <w:tc>
          <w:tcPr>
            <w:tcW w:w="2268" w:type="dxa"/>
            <w:vAlign w:val="center"/>
          </w:tcPr>
          <w:p>
            <w:pPr>
              <w:pStyle w:val="13"/>
            </w:pPr>
            <w:r>
              <w:t>100%</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项目（工程）建设时限</w:t>
            </w:r>
          </w:p>
        </w:tc>
        <w:tc>
          <w:tcPr>
            <w:tcW w:w="5386" w:type="dxa"/>
            <w:vAlign w:val="center"/>
          </w:tcPr>
          <w:p>
            <w:pPr>
              <w:pStyle w:val="13"/>
            </w:pPr>
            <w:r>
              <w:t>项目（工程）建设时限</w:t>
            </w:r>
          </w:p>
        </w:tc>
        <w:tc>
          <w:tcPr>
            <w:tcW w:w="2268" w:type="dxa"/>
            <w:vAlign w:val="center"/>
          </w:tcPr>
          <w:p>
            <w:pPr>
              <w:pStyle w:val="13"/>
            </w:pPr>
            <w:r>
              <w:t>≤50天</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项目建设投资情况</w:t>
            </w:r>
          </w:p>
        </w:tc>
        <w:tc>
          <w:tcPr>
            <w:tcW w:w="5386" w:type="dxa"/>
            <w:vAlign w:val="center"/>
          </w:tcPr>
          <w:p>
            <w:pPr>
              <w:pStyle w:val="13"/>
            </w:pPr>
            <w:r>
              <w:t>项目（工程）建设投资情况</w:t>
            </w:r>
          </w:p>
        </w:tc>
        <w:tc>
          <w:tcPr>
            <w:tcW w:w="2268" w:type="dxa"/>
            <w:vAlign w:val="center"/>
          </w:tcPr>
          <w:p>
            <w:pPr>
              <w:pStyle w:val="13"/>
            </w:pPr>
            <w:r>
              <w:t>≤30万元</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项目村受益人口数</w:t>
            </w:r>
          </w:p>
        </w:tc>
        <w:tc>
          <w:tcPr>
            <w:tcW w:w="5386" w:type="dxa"/>
            <w:vAlign w:val="center"/>
          </w:tcPr>
          <w:p>
            <w:pPr>
              <w:pStyle w:val="13"/>
            </w:pPr>
            <w:r>
              <w:t>项目村受益人口数</w:t>
            </w:r>
          </w:p>
        </w:tc>
        <w:tc>
          <w:tcPr>
            <w:tcW w:w="2268" w:type="dxa"/>
            <w:vAlign w:val="center"/>
          </w:tcPr>
          <w:p>
            <w:pPr>
              <w:pStyle w:val="13"/>
            </w:pPr>
            <w:r>
              <w:t>≥91人</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农村人居环境改善情况</w:t>
            </w:r>
          </w:p>
        </w:tc>
        <w:tc>
          <w:tcPr>
            <w:tcW w:w="5386" w:type="dxa"/>
            <w:vAlign w:val="center"/>
          </w:tcPr>
          <w:p>
            <w:pPr>
              <w:pStyle w:val="13"/>
            </w:pPr>
            <w:r>
              <w:t>群众生活水平提升情况</w:t>
            </w:r>
          </w:p>
        </w:tc>
        <w:tc>
          <w:tcPr>
            <w:tcW w:w="2268" w:type="dxa"/>
            <w:vAlign w:val="center"/>
          </w:tcPr>
          <w:p>
            <w:pPr>
              <w:pStyle w:val="13"/>
            </w:pPr>
            <w:r>
              <w:t>1有所改善</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工程涉及使用年限</w:t>
            </w:r>
          </w:p>
        </w:tc>
        <w:tc>
          <w:tcPr>
            <w:tcW w:w="5386" w:type="dxa"/>
            <w:vAlign w:val="center"/>
          </w:tcPr>
          <w:p>
            <w:pPr>
              <w:pStyle w:val="13"/>
            </w:pPr>
            <w:r>
              <w:t>此次项目预计使用年限</w:t>
            </w:r>
          </w:p>
        </w:tc>
        <w:tc>
          <w:tcPr>
            <w:tcW w:w="2268" w:type="dxa"/>
            <w:vAlign w:val="center"/>
          </w:tcPr>
          <w:p>
            <w:pPr>
              <w:pStyle w:val="13"/>
            </w:pPr>
            <w:r>
              <w:t>≥10年</w:t>
            </w:r>
          </w:p>
        </w:tc>
        <w:tc>
          <w:tcPr>
            <w:tcW w:w="1276" w:type="dxa"/>
            <w:vAlign w:val="center"/>
          </w:tcPr>
          <w:p>
            <w:pPr>
              <w:pStyle w:val="13"/>
            </w:pPr>
            <w:r>
              <w:t>关于提前下达2026年中央农村综合改革转移支付预算的通知项目实施计划项目建设审批表和徐政财字[2025]83号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受益村民满意度</w:t>
            </w:r>
          </w:p>
        </w:tc>
        <w:tc>
          <w:tcPr>
            <w:tcW w:w="5386" w:type="dxa"/>
            <w:vAlign w:val="center"/>
          </w:tcPr>
          <w:p>
            <w:pPr>
              <w:pStyle w:val="13"/>
            </w:pPr>
            <w:r>
              <w:t>受益村民满意度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13062526P00004910056W</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该项资金主要用于纪检保障经费支出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3.00</w:t>
            </w:r>
          </w:p>
        </w:tc>
        <w:tc>
          <w:tcPr>
            <w:tcW w:w="2551" w:type="dxa"/>
            <w:vAlign w:val="center"/>
          </w:tcPr>
          <w:p>
            <w:pPr>
              <w:pStyle w:val="14"/>
            </w:pPr>
            <w:r>
              <w:t>4.00</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1.用于保障2026年我单位纪检工作的有效开展，以及按时发放纪检专干补贴，预计纪检办案3件以上，降低执法办案行为投诉率。</w:t>
            </w:r>
          </w:p>
          <w:p>
            <w:pPr>
              <w:pStyle w:val="13"/>
            </w:pPr>
            <w:r>
              <w:t>2.推动本乡各项纪检工作通过考核，通过率不小于90%，各项纪检工作及时完成。</w:t>
            </w:r>
          </w:p>
          <w:p>
            <w:pPr>
              <w:pStyle w:val="13"/>
            </w:pPr>
            <w:r>
              <w:t>3.建立纪检保障长效机制，为纪检组织提供必要的工作条件，更好的推进农村反腐倡廉，服务经济，促进社会和谐。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纪检办案数量</w:t>
            </w:r>
          </w:p>
        </w:tc>
        <w:tc>
          <w:tcPr>
            <w:tcW w:w="5386" w:type="dxa"/>
            <w:vAlign w:val="center"/>
          </w:tcPr>
          <w:p>
            <w:pPr>
              <w:pStyle w:val="13"/>
            </w:pPr>
            <w:r>
              <w:t>全年本单位办案的数量</w:t>
            </w:r>
          </w:p>
        </w:tc>
        <w:tc>
          <w:tcPr>
            <w:tcW w:w="2268" w:type="dxa"/>
            <w:vAlign w:val="center"/>
          </w:tcPr>
          <w:p>
            <w:pPr>
              <w:pStyle w:val="13"/>
            </w:pPr>
            <w:r>
              <w:t>≥3件</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纪检工作考核通过率</w:t>
            </w:r>
          </w:p>
        </w:tc>
        <w:tc>
          <w:tcPr>
            <w:tcW w:w="5386" w:type="dxa"/>
            <w:vAlign w:val="center"/>
          </w:tcPr>
          <w:p>
            <w:pPr>
              <w:pStyle w:val="13"/>
            </w:pPr>
            <w:r>
              <w:t>各项纪检工作是否通过考核</w:t>
            </w:r>
          </w:p>
        </w:tc>
        <w:tc>
          <w:tcPr>
            <w:tcW w:w="2268" w:type="dxa"/>
            <w:vAlign w:val="center"/>
          </w:tcPr>
          <w:p>
            <w:pPr>
              <w:pStyle w:val="13"/>
            </w:pPr>
            <w:r>
              <w:t>≥90%</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纪检工作完成及时率</w:t>
            </w:r>
          </w:p>
        </w:tc>
        <w:tc>
          <w:tcPr>
            <w:tcW w:w="5386" w:type="dxa"/>
            <w:vAlign w:val="center"/>
          </w:tcPr>
          <w:p>
            <w:pPr>
              <w:pStyle w:val="13"/>
            </w:pPr>
            <w:r>
              <w:t>各项纪检工作及时完成情况</w:t>
            </w:r>
          </w:p>
        </w:tc>
        <w:tc>
          <w:tcPr>
            <w:tcW w:w="2268" w:type="dxa"/>
            <w:vAlign w:val="center"/>
          </w:tcPr>
          <w:p>
            <w:pPr>
              <w:pStyle w:val="13"/>
            </w:pPr>
            <w:r>
              <w:t>≥90%</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≤4.4万元</w:t>
            </w:r>
          </w:p>
        </w:tc>
        <w:tc>
          <w:tcPr>
            <w:tcW w:w="1276" w:type="dxa"/>
            <w:vAlign w:val="center"/>
          </w:tcPr>
          <w:p>
            <w:pPr>
              <w:pStyle w:val="13"/>
            </w:pPr>
            <w:r>
              <w:t>纪检保障经费项目实施计划和徐办发[2012]34号,&lt;中共徐水县委办公室转发《中共徐水县纪委、中共县委组织部、徐水县编委办、徐水县监察局、徐水县财政局关于进一步加强乡镇纪检组织建设的实施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执法办案行为投诉率</w:t>
            </w:r>
          </w:p>
        </w:tc>
        <w:tc>
          <w:tcPr>
            <w:tcW w:w="5386" w:type="dxa"/>
            <w:vAlign w:val="center"/>
          </w:tcPr>
          <w:p>
            <w:pPr>
              <w:pStyle w:val="13"/>
            </w:pPr>
            <w:r>
              <w:t>被投诉案件占办案总量的比例</w:t>
            </w:r>
          </w:p>
        </w:tc>
        <w:tc>
          <w:tcPr>
            <w:tcW w:w="2268" w:type="dxa"/>
            <w:vAlign w:val="center"/>
          </w:tcPr>
          <w:p>
            <w:pPr>
              <w:pStyle w:val="13"/>
            </w:pPr>
            <w:r>
              <w:t>≤10%</w:t>
            </w:r>
          </w:p>
        </w:tc>
        <w:tc>
          <w:tcPr>
            <w:tcW w:w="1276" w:type="dxa"/>
            <w:vAlign w:val="center"/>
          </w:tcPr>
          <w:p>
            <w:pPr>
              <w:pStyle w:val="13"/>
            </w:pPr>
            <w:r>
              <w:t>投诉统计数据</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反映群众满意度情况</w:t>
            </w:r>
          </w:p>
        </w:tc>
        <w:tc>
          <w:tcPr>
            <w:tcW w:w="2268" w:type="dxa"/>
            <w:vAlign w:val="center"/>
          </w:tcPr>
          <w:p>
            <w:pPr>
              <w:pStyle w:val="13"/>
            </w:pPr>
            <w:r>
              <w:t>≥90%</w:t>
            </w:r>
          </w:p>
        </w:tc>
        <w:tc>
          <w:tcPr>
            <w:tcW w:w="1276" w:type="dxa"/>
            <w:vAlign w:val="center"/>
          </w:tcPr>
          <w:p>
            <w:pPr>
              <w:pStyle w:val="13"/>
            </w:pPr>
            <w:r>
              <w:t>依据满意度问卷调查</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13、南陈庄烈士陵园祭扫活动和日常维护管理所需资金绩效目标表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13062526P00011010013H</w:t>
            </w:r>
          </w:p>
        </w:tc>
        <w:tc>
          <w:tcPr>
            <w:tcW w:w="2835" w:type="dxa"/>
            <w:vAlign w:val="center"/>
          </w:tcPr>
          <w:p>
            <w:pPr>
              <w:pStyle w:val="11"/>
            </w:pPr>
            <w:r>
              <w:t>项目名称</w:t>
            </w:r>
          </w:p>
        </w:tc>
        <w:tc>
          <w:tcPr>
            <w:tcW w:w="6095" w:type="dxa"/>
            <w:gridSpan w:val="3"/>
            <w:vAlign w:val="center"/>
          </w:tcPr>
          <w:p>
            <w:pPr>
              <w:pStyle w:val="13"/>
            </w:pPr>
            <w:r>
              <w:t>南陈庄烈士陵园祭扫活动和日常维护管理所需资金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1.看护陵园1个，保持烈士陵园内设施、内外环境、地面广场的整洁，烈士遗属满意度不低于90%。</w:t>
            </w:r>
            <w:r>
              <w:tab/>
            </w:r>
            <w:r>
              <w:tab/>
            </w:r>
            <w:r>
              <w:tab/>
            </w:r>
            <w:r>
              <w:tab/>
            </w:r>
            <w:r>
              <w:tab/>
            </w:r>
            <w:r>
              <w:tab/>
            </w:r>
          </w:p>
          <w:p>
            <w:pPr>
              <w:pStyle w:val="13"/>
            </w:pPr>
          </w:p>
          <w:p>
            <w:pPr>
              <w:pStyle w:val="13"/>
            </w:pPr>
            <w:r>
              <w:t>2.按合同约定支付，每人每年1万元，共计3人，12底支出达到100%。</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看护管理陵园人数</w:t>
            </w:r>
          </w:p>
        </w:tc>
        <w:tc>
          <w:tcPr>
            <w:tcW w:w="5386" w:type="dxa"/>
            <w:vAlign w:val="center"/>
          </w:tcPr>
          <w:p>
            <w:pPr>
              <w:pStyle w:val="13"/>
            </w:pPr>
            <w:r>
              <w:t>反映南陈庄烈士陵看护管理陵园人的数</w:t>
            </w:r>
          </w:p>
        </w:tc>
        <w:tc>
          <w:tcPr>
            <w:tcW w:w="2268" w:type="dxa"/>
            <w:vAlign w:val="center"/>
          </w:tcPr>
          <w:p>
            <w:pPr>
              <w:pStyle w:val="13"/>
            </w:pPr>
            <w:r>
              <w:t>3人</w:t>
            </w:r>
          </w:p>
        </w:tc>
        <w:tc>
          <w:tcPr>
            <w:tcW w:w="1276" w:type="dxa"/>
            <w:vAlign w:val="center"/>
          </w:tcPr>
          <w:p>
            <w:pPr>
              <w:pStyle w:val="13"/>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清洁达标率</w:t>
            </w:r>
          </w:p>
        </w:tc>
        <w:tc>
          <w:tcPr>
            <w:tcW w:w="5386" w:type="dxa"/>
            <w:vAlign w:val="center"/>
          </w:tcPr>
          <w:p>
            <w:pPr>
              <w:pStyle w:val="13"/>
            </w:pPr>
            <w:r>
              <w:t>反映烈士陵园内设施、内外环境、地面广场的整洁情况</w:t>
            </w:r>
          </w:p>
        </w:tc>
        <w:tc>
          <w:tcPr>
            <w:tcW w:w="2268" w:type="dxa"/>
            <w:vAlign w:val="center"/>
          </w:tcPr>
          <w:p>
            <w:pPr>
              <w:pStyle w:val="13"/>
            </w:pPr>
            <w:r>
              <w:t>≥95%</w:t>
            </w:r>
          </w:p>
        </w:tc>
        <w:tc>
          <w:tcPr>
            <w:tcW w:w="1276" w:type="dxa"/>
            <w:vAlign w:val="center"/>
          </w:tcPr>
          <w:p>
            <w:pPr>
              <w:pStyle w:val="13"/>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清洁完成及时率</w:t>
            </w:r>
          </w:p>
        </w:tc>
        <w:tc>
          <w:tcPr>
            <w:tcW w:w="5386" w:type="dxa"/>
            <w:vAlign w:val="center"/>
          </w:tcPr>
          <w:p>
            <w:pPr>
              <w:pStyle w:val="13"/>
            </w:pPr>
            <w:r>
              <w:t>反映按要求完成清洁的及时情况</w:t>
            </w:r>
          </w:p>
        </w:tc>
        <w:tc>
          <w:tcPr>
            <w:tcW w:w="2268" w:type="dxa"/>
            <w:vAlign w:val="center"/>
          </w:tcPr>
          <w:p>
            <w:pPr>
              <w:pStyle w:val="13"/>
            </w:pPr>
            <w:r>
              <w:t>≥95%</w:t>
            </w:r>
          </w:p>
        </w:tc>
        <w:tc>
          <w:tcPr>
            <w:tcW w:w="1276" w:type="dxa"/>
            <w:vAlign w:val="center"/>
          </w:tcPr>
          <w:p>
            <w:pPr>
              <w:pStyle w:val="13"/>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激发后人爱国主义热情、感悟革命精神</w:t>
            </w:r>
          </w:p>
        </w:tc>
        <w:tc>
          <w:tcPr>
            <w:tcW w:w="5386" w:type="dxa"/>
            <w:vAlign w:val="center"/>
          </w:tcPr>
          <w:p>
            <w:pPr>
              <w:pStyle w:val="13"/>
            </w:pPr>
            <w:r>
              <w:t>组织人员瞻仰烈士墓承担爱国主义教育基地</w:t>
            </w:r>
          </w:p>
        </w:tc>
        <w:tc>
          <w:tcPr>
            <w:tcW w:w="2268" w:type="dxa"/>
            <w:vAlign w:val="center"/>
          </w:tcPr>
          <w:p>
            <w:pPr>
              <w:pStyle w:val="13"/>
            </w:pPr>
            <w:r>
              <w:t>≥1次</w:t>
            </w:r>
          </w:p>
        </w:tc>
        <w:tc>
          <w:tcPr>
            <w:tcW w:w="1276" w:type="dxa"/>
            <w:vAlign w:val="center"/>
          </w:tcPr>
          <w:p>
            <w:pPr>
              <w:pStyle w:val="13"/>
            </w:pPr>
            <w:r>
              <w:t>烈士陵园看护管理合同及项目实施计划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烈士遗属满意度</w:t>
            </w:r>
          </w:p>
        </w:tc>
        <w:tc>
          <w:tcPr>
            <w:tcW w:w="5386" w:type="dxa"/>
            <w:vAlign w:val="center"/>
          </w:tcPr>
          <w:p>
            <w:pPr>
              <w:pStyle w:val="13"/>
            </w:pPr>
            <w:r>
              <w:t>反映烈士遗属的满意度情况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13062526P00002410340C</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1.80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1.用于完成2026年上级交代我乡政府的各项人大任务，为本辖区民生事项等积极向区人大代表提议。</w:t>
            </w:r>
          </w:p>
          <w:p>
            <w:pPr>
              <w:pStyle w:val="13"/>
            </w:pPr>
            <w:r>
              <w:t>2.落实好党对乡镇工作的领导，将人大工作纳入乡镇整体工作布局，促进乡镇人大工作制度化、规范化、程序化。</w:t>
            </w:r>
          </w:p>
          <w:p>
            <w:pPr>
              <w:pStyle w:val="13"/>
            </w:pPr>
            <w:r>
              <w:t>3.组织开展代表活动，每年至少举行1次乡镇人代会，人大提议案件数不少于1件，会议工作完成及时率达到90%，促进基层民主政治建设，提高群众及人大代表满意度。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反映召开人代会次数情况</w:t>
            </w:r>
          </w:p>
        </w:tc>
        <w:tc>
          <w:tcPr>
            <w:tcW w:w="2268" w:type="dxa"/>
            <w:vAlign w:val="center"/>
          </w:tcPr>
          <w:p>
            <w:pPr>
              <w:pStyle w:val="13"/>
            </w:pPr>
            <w:r>
              <w:t>≥1次</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反映组织开展代表活动次数情况</w:t>
            </w:r>
          </w:p>
        </w:tc>
        <w:tc>
          <w:tcPr>
            <w:tcW w:w="2268" w:type="dxa"/>
            <w:vAlign w:val="center"/>
          </w:tcPr>
          <w:p>
            <w:pPr>
              <w:pStyle w:val="13"/>
            </w:pPr>
            <w:r>
              <w:t>≥3次</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反映人大代表出席情况</w:t>
            </w:r>
          </w:p>
        </w:tc>
        <w:tc>
          <w:tcPr>
            <w:tcW w:w="2268" w:type="dxa"/>
            <w:vAlign w:val="center"/>
          </w:tcPr>
          <w:p>
            <w:pPr>
              <w:pStyle w:val="13"/>
            </w:pPr>
            <w:r>
              <w:t>≥80%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反映会议圆满完成情况</w:t>
            </w:r>
          </w:p>
        </w:tc>
        <w:tc>
          <w:tcPr>
            <w:tcW w:w="2268" w:type="dxa"/>
            <w:vAlign w:val="center"/>
          </w:tcPr>
          <w:p>
            <w:pPr>
              <w:pStyle w:val="13"/>
            </w:pPr>
            <w:r>
              <w:t>100%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反映保障人大日常工作及时开展情况</w:t>
            </w:r>
          </w:p>
        </w:tc>
        <w:tc>
          <w:tcPr>
            <w:tcW w:w="2268" w:type="dxa"/>
            <w:vAlign w:val="center"/>
          </w:tcPr>
          <w:p>
            <w:pPr>
              <w:pStyle w:val="13"/>
            </w:pPr>
            <w:r>
              <w:t>≥90%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反映会议工作完成时间</w:t>
            </w:r>
          </w:p>
        </w:tc>
        <w:tc>
          <w:tcPr>
            <w:tcW w:w="2268" w:type="dxa"/>
            <w:vAlign w:val="center"/>
          </w:tcPr>
          <w:p>
            <w:pPr>
              <w:pStyle w:val="13"/>
            </w:pPr>
            <w:r>
              <w:t>≥90%</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反映为本辖区民生事项等积极向区人大提议案件数情况</w:t>
            </w:r>
          </w:p>
        </w:tc>
        <w:tc>
          <w:tcPr>
            <w:tcW w:w="2268" w:type="dxa"/>
            <w:vAlign w:val="center"/>
          </w:tcPr>
          <w:p>
            <w:pPr>
              <w:pStyle w:val="13"/>
            </w:pPr>
            <w:r>
              <w:t>≥1件</w:t>
            </w:r>
          </w:p>
        </w:tc>
        <w:tc>
          <w:tcPr>
            <w:tcW w:w="1276" w:type="dxa"/>
            <w:vAlign w:val="center"/>
          </w:tcPr>
          <w:p>
            <w:pPr>
              <w:pStyle w:val="13"/>
            </w:pPr>
            <w:r>
              <w:t>依据中共保定市徐水区人大常委会党组关于进一步加强乡镇、城区办人大工作的实施意见（徐字[2019]46号）文件及实施计划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服务对象满意程度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13062526P000081100835</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0.50</w:t>
            </w:r>
          </w:p>
        </w:tc>
        <w:tc>
          <w:tcPr>
            <w:tcW w:w="2551" w:type="dxa"/>
            <w:vAlign w:val="center"/>
          </w:tcPr>
          <w:p>
            <w:pPr>
              <w:pStyle w:val="14"/>
            </w:pPr>
            <w:r>
              <w:t xml:space="preserve"> </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1.保障公共文化服务场所免费开放运行，群众满意度达到90%以上。</w:t>
            </w:r>
          </w:p>
          <w:p>
            <w:pPr>
              <w:pStyle w:val="13"/>
            </w:pPr>
            <w:r>
              <w:t>2.保障图书馆、文化馆、乡村文化站各项工作有序进行，保障资金0.5万元，开展文化活动次数不少于8次。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≥8次</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≥85%</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≥85%</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≤0.5万元</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保财教[2025]36号《关于提前下达2026年基层三馆一站免费开放运行保障经费预算的通知》、项目实施方案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13062526P00008110081X</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w:t>
            </w:r>
          </w:p>
        </w:tc>
        <w:tc>
          <w:tcPr>
            <w:tcW w:w="2551" w:type="dxa"/>
            <w:vAlign w:val="center"/>
          </w:tcPr>
          <w:p>
            <w:pPr>
              <w:pStyle w:val="14"/>
            </w:pPr>
            <w:r>
              <w:t>3.00</w:t>
            </w:r>
          </w:p>
        </w:tc>
        <w:tc>
          <w:tcPr>
            <w:tcW w:w="3544" w:type="dxa"/>
            <w:gridSpan w:val="2"/>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1.保障图书馆、文化馆、乡村文化站各项工作有序进行，保障资金3万元，开展文化活动次数不少于8次。</w:t>
            </w:r>
          </w:p>
          <w:p>
            <w:pPr>
              <w:pStyle w:val="13"/>
            </w:pPr>
            <w:r>
              <w:t>2.保障公共文化服务场所免费开放运行，群众满意度达到90%以上。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开展文化活动次数情况</w:t>
            </w:r>
          </w:p>
        </w:tc>
        <w:tc>
          <w:tcPr>
            <w:tcW w:w="2268" w:type="dxa"/>
            <w:vAlign w:val="center"/>
          </w:tcPr>
          <w:p>
            <w:pPr>
              <w:pStyle w:val="13"/>
            </w:pPr>
            <w:r>
              <w:t>≥8次</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参加活动到位率</w:t>
            </w:r>
          </w:p>
        </w:tc>
        <w:tc>
          <w:tcPr>
            <w:tcW w:w="5386" w:type="dxa"/>
            <w:vAlign w:val="center"/>
          </w:tcPr>
          <w:p>
            <w:pPr>
              <w:pStyle w:val="13"/>
            </w:pPr>
            <w:r>
              <w:t>参加活动到位情况</w:t>
            </w:r>
          </w:p>
        </w:tc>
        <w:tc>
          <w:tcPr>
            <w:tcW w:w="2268" w:type="dxa"/>
            <w:vAlign w:val="center"/>
          </w:tcPr>
          <w:p>
            <w:pPr>
              <w:pStyle w:val="13"/>
            </w:pPr>
            <w:r>
              <w:t>≥85%</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活动开展及时率</w:t>
            </w:r>
          </w:p>
        </w:tc>
        <w:tc>
          <w:tcPr>
            <w:tcW w:w="5386" w:type="dxa"/>
            <w:vAlign w:val="center"/>
          </w:tcPr>
          <w:p>
            <w:pPr>
              <w:pStyle w:val="13"/>
            </w:pPr>
            <w:r>
              <w:t>活动开展及时情况</w:t>
            </w:r>
          </w:p>
        </w:tc>
        <w:tc>
          <w:tcPr>
            <w:tcW w:w="2268" w:type="dxa"/>
            <w:vAlign w:val="center"/>
          </w:tcPr>
          <w:p>
            <w:pPr>
              <w:pStyle w:val="13"/>
            </w:pPr>
            <w:r>
              <w:t>≥85%</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项目控制在预算范围内</w:t>
            </w:r>
          </w:p>
        </w:tc>
        <w:tc>
          <w:tcPr>
            <w:tcW w:w="2268" w:type="dxa"/>
            <w:vAlign w:val="center"/>
          </w:tcPr>
          <w:p>
            <w:pPr>
              <w:pStyle w:val="13"/>
            </w:pPr>
            <w:r>
              <w:t>≤3万元</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公共文化水平提升性</w:t>
            </w:r>
          </w:p>
        </w:tc>
        <w:tc>
          <w:tcPr>
            <w:tcW w:w="5386" w:type="dxa"/>
            <w:vAlign w:val="center"/>
          </w:tcPr>
          <w:p>
            <w:pPr>
              <w:pStyle w:val="13"/>
            </w:pPr>
            <w:r>
              <w:t>公共文化水平提升情况</w:t>
            </w:r>
          </w:p>
        </w:tc>
        <w:tc>
          <w:tcPr>
            <w:tcW w:w="2268" w:type="dxa"/>
            <w:vAlign w:val="center"/>
          </w:tcPr>
          <w:p>
            <w:pPr>
              <w:pStyle w:val="13"/>
            </w:pPr>
            <w:r>
              <w:t>≥95%</w:t>
            </w:r>
          </w:p>
        </w:tc>
        <w:tc>
          <w:tcPr>
            <w:tcW w:w="1276" w:type="dxa"/>
            <w:vAlign w:val="center"/>
          </w:tcPr>
          <w:p>
            <w:pPr>
              <w:pStyle w:val="13"/>
            </w:pPr>
            <w:r>
              <w:t>保财教[2025]29号《关于提前下达2026年中央支持地方公共文化服务体系建设补助资金预算的通知》、项目实施方案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群众满意情况</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13062526P00002410338D</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该项资金主要用于团委综合事务管理经费支出</w:t>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w:t>
            </w:r>
          </w:p>
        </w:tc>
        <w:tc>
          <w:tcPr>
            <w:tcW w:w="2551" w:type="dxa"/>
            <w:vAlign w:val="center"/>
          </w:tcPr>
          <w:p>
            <w:pPr>
              <w:pStyle w:val="14"/>
            </w:pPr>
            <w:r>
              <w:t>1.80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1.组织开展团组织活动2次以上，参与团组织活动人数不少于30人，我乡各项团委工作通过考核。</w:t>
            </w:r>
          </w:p>
          <w:p>
            <w:pPr>
              <w:pStyle w:val="13"/>
            </w:pPr>
            <w:r>
              <w:t>2.保障2026年我乡团委各项工作的开展，提高办事效率，提升团员水平。</w:t>
            </w:r>
          </w:p>
          <w:p>
            <w:pPr>
              <w:pStyle w:val="13"/>
            </w:pPr>
            <w:r>
              <w:t>3.贯彻上级青少年和共青团工作要求，健全联系青年、服务大局的基层团组织体系。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反映全年组织开展团员活动次数情况</w:t>
            </w:r>
          </w:p>
        </w:tc>
        <w:tc>
          <w:tcPr>
            <w:tcW w:w="2268" w:type="dxa"/>
            <w:vAlign w:val="center"/>
          </w:tcPr>
          <w:p>
            <w:pPr>
              <w:pStyle w:val="13"/>
            </w:pPr>
            <w:r>
              <w:t>≥2次</w:t>
            </w:r>
          </w:p>
        </w:tc>
        <w:tc>
          <w:tcPr>
            <w:tcW w:w="1276" w:type="dxa"/>
            <w:vAlign w:val="center"/>
          </w:tcPr>
          <w:p>
            <w:pPr>
              <w:pStyle w:val="13"/>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≥30人</w:t>
            </w:r>
          </w:p>
        </w:tc>
        <w:tc>
          <w:tcPr>
            <w:tcW w:w="1276" w:type="dxa"/>
            <w:vAlign w:val="center"/>
          </w:tcPr>
          <w:p>
            <w:pPr>
              <w:pStyle w:val="13"/>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反映各项团委工作是否通过考核情况</w:t>
            </w:r>
          </w:p>
        </w:tc>
        <w:tc>
          <w:tcPr>
            <w:tcW w:w="2268" w:type="dxa"/>
            <w:vAlign w:val="center"/>
          </w:tcPr>
          <w:p>
            <w:pPr>
              <w:pStyle w:val="13"/>
            </w:pPr>
            <w:r>
              <w:t>≥90%</w:t>
            </w:r>
          </w:p>
        </w:tc>
        <w:tc>
          <w:tcPr>
            <w:tcW w:w="1276" w:type="dxa"/>
            <w:vAlign w:val="center"/>
          </w:tcPr>
          <w:p>
            <w:pPr>
              <w:pStyle w:val="13"/>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反映保障团委经费保障情况</w:t>
            </w:r>
          </w:p>
        </w:tc>
        <w:tc>
          <w:tcPr>
            <w:tcW w:w="2268" w:type="dxa"/>
            <w:vAlign w:val="center"/>
          </w:tcPr>
          <w:p>
            <w:pPr>
              <w:pStyle w:val="13"/>
            </w:pPr>
            <w:r>
              <w:t>≥90%</w:t>
            </w:r>
          </w:p>
        </w:tc>
        <w:tc>
          <w:tcPr>
            <w:tcW w:w="1276" w:type="dxa"/>
            <w:vAlign w:val="center"/>
          </w:tcPr>
          <w:p>
            <w:pPr>
              <w:pStyle w:val="13"/>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反映各项团委工作及时完成情况</w:t>
            </w:r>
          </w:p>
        </w:tc>
        <w:tc>
          <w:tcPr>
            <w:tcW w:w="2268" w:type="dxa"/>
            <w:vAlign w:val="center"/>
          </w:tcPr>
          <w:p>
            <w:pPr>
              <w:pStyle w:val="13"/>
            </w:pPr>
            <w:r>
              <w:t>≥90%</w:t>
            </w:r>
          </w:p>
        </w:tc>
        <w:tc>
          <w:tcPr>
            <w:tcW w:w="1276" w:type="dxa"/>
            <w:vAlign w:val="center"/>
          </w:tcPr>
          <w:p>
            <w:pPr>
              <w:pStyle w:val="13"/>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反映项目支出控制在预算范围内情况</w:t>
            </w:r>
          </w:p>
        </w:tc>
        <w:tc>
          <w:tcPr>
            <w:tcW w:w="2268" w:type="dxa"/>
            <w:vAlign w:val="center"/>
          </w:tcPr>
          <w:p>
            <w:pPr>
              <w:pStyle w:val="13"/>
            </w:pPr>
            <w:r>
              <w:t>≤2万元</w:t>
            </w:r>
          </w:p>
        </w:tc>
        <w:tc>
          <w:tcPr>
            <w:tcW w:w="1276" w:type="dxa"/>
            <w:vAlign w:val="center"/>
          </w:tcPr>
          <w:p>
            <w:pPr>
              <w:pStyle w:val="13"/>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团组织活动影响范围</w:t>
            </w:r>
          </w:p>
        </w:tc>
        <w:tc>
          <w:tcPr>
            <w:tcW w:w="5386" w:type="dxa"/>
            <w:vAlign w:val="center"/>
          </w:tcPr>
          <w:p>
            <w:pPr>
              <w:pStyle w:val="13"/>
            </w:pPr>
            <w:r>
              <w:t>团组织活动影响范围覆盖情况</w:t>
            </w:r>
          </w:p>
        </w:tc>
        <w:tc>
          <w:tcPr>
            <w:tcW w:w="2268" w:type="dxa"/>
            <w:vAlign w:val="center"/>
          </w:tcPr>
          <w:p>
            <w:pPr>
              <w:pStyle w:val="13"/>
            </w:pPr>
            <w:r>
              <w:t>≥80%</w:t>
            </w:r>
          </w:p>
        </w:tc>
        <w:tc>
          <w:tcPr>
            <w:tcW w:w="1276" w:type="dxa"/>
            <w:vAlign w:val="center"/>
          </w:tcPr>
          <w:p>
            <w:pPr>
              <w:pStyle w:val="13"/>
            </w:pPr>
            <w:r>
              <w:t>据共青团徐水区委改革方案徐办发[2018]3号和团委综合事务管理经费项目实施计划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团员满意度</w:t>
            </w:r>
          </w:p>
        </w:tc>
        <w:tc>
          <w:tcPr>
            <w:tcW w:w="5386" w:type="dxa"/>
            <w:vAlign w:val="center"/>
          </w:tcPr>
          <w:p>
            <w:pPr>
              <w:pStyle w:val="13"/>
            </w:pPr>
            <w:r>
              <w:t>反应参加团委组织活动的团员满意度</w:t>
            </w:r>
          </w:p>
        </w:tc>
        <w:tc>
          <w:tcPr>
            <w:tcW w:w="2268" w:type="dxa"/>
            <w:vAlign w:val="center"/>
          </w:tcPr>
          <w:p>
            <w:pPr>
              <w:pStyle w:val="13"/>
            </w:pPr>
            <w:r>
              <w:t>≥90%</w:t>
            </w:r>
          </w:p>
        </w:tc>
        <w:tc>
          <w:tcPr>
            <w:tcW w:w="1276" w:type="dxa"/>
            <w:vAlign w:val="center"/>
          </w:tcPr>
          <w:p>
            <w:pPr>
              <w:pStyle w:val="13"/>
            </w:pPr>
            <w:r>
              <w:t>满意度调查问卷</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13062526P00022911978K</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5.82</w:t>
            </w:r>
          </w:p>
        </w:tc>
        <w:tc>
          <w:tcPr>
            <w:tcW w:w="2835" w:type="dxa"/>
            <w:vAlign w:val="center"/>
          </w:tcPr>
          <w:p>
            <w:pPr>
              <w:pStyle w:val="11"/>
            </w:pPr>
            <w:r>
              <w:t>其中：财政    资金</w:t>
            </w:r>
          </w:p>
        </w:tc>
        <w:tc>
          <w:tcPr>
            <w:tcW w:w="2551" w:type="dxa"/>
            <w:vAlign w:val="center"/>
          </w:tcPr>
          <w:p>
            <w:pPr>
              <w:pStyle w:val="13"/>
            </w:pPr>
            <w:r>
              <w:t>5.82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1.46</w:t>
            </w:r>
          </w:p>
        </w:tc>
        <w:tc>
          <w:tcPr>
            <w:tcW w:w="2835" w:type="dxa"/>
            <w:vAlign w:val="center"/>
          </w:tcPr>
          <w:p>
            <w:pPr>
              <w:pStyle w:val="14"/>
            </w:pPr>
            <w:r>
              <w:t>2.91</w:t>
            </w:r>
          </w:p>
        </w:tc>
        <w:tc>
          <w:tcPr>
            <w:tcW w:w="2551" w:type="dxa"/>
            <w:vAlign w:val="center"/>
          </w:tcPr>
          <w:p>
            <w:pPr>
              <w:pStyle w:val="14"/>
            </w:pPr>
            <w:r>
              <w:t>4.37</w:t>
            </w:r>
          </w:p>
        </w:tc>
        <w:tc>
          <w:tcPr>
            <w:tcW w:w="3544" w:type="dxa"/>
            <w:gridSpan w:val="2"/>
            <w:vAlign w:val="center"/>
          </w:tcPr>
          <w:p>
            <w:pPr>
              <w:pStyle w:val="14"/>
            </w:pPr>
            <w:r>
              <w:t>5.82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1.确保及时足额发放2名退役军人公益岗人员工资。</w:t>
            </w:r>
          </w:p>
          <w:p>
            <w:pPr>
              <w:pStyle w:val="13"/>
            </w:pPr>
            <w:r>
              <w:t>2.项目资金5.82万元，保障退役军人公益岗人员更好的发挥作用。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2人</w:t>
            </w:r>
          </w:p>
        </w:tc>
        <w:tc>
          <w:tcPr>
            <w:tcW w:w="1276" w:type="dxa"/>
            <w:vAlign w:val="center"/>
          </w:tcPr>
          <w:p>
            <w:pPr>
              <w:pStyle w:val="13"/>
            </w:pPr>
            <w:r>
              <w:t>保定市徐水区人民政府专题会议纪要【2017】81号徐水区部分军队退役人员政策落实专题会议纪要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≤5.82万元</w:t>
            </w:r>
          </w:p>
        </w:tc>
        <w:tc>
          <w:tcPr>
            <w:tcW w:w="1276" w:type="dxa"/>
            <w:vAlign w:val="center"/>
          </w:tcPr>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阳光信访平台，信访记录。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13062526P00003010065T</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w:t>
            </w:r>
          </w:p>
        </w:tc>
        <w:tc>
          <w:tcPr>
            <w:tcW w:w="2835" w:type="dxa"/>
            <w:vAlign w:val="center"/>
          </w:tcPr>
          <w:p>
            <w:pPr>
              <w:pStyle w:val="11"/>
            </w:pPr>
            <w:r>
              <w:t>其中：财政    资金</w:t>
            </w:r>
          </w:p>
        </w:tc>
        <w:tc>
          <w:tcPr>
            <w:tcW w:w="2551" w:type="dxa"/>
            <w:vAlign w:val="center"/>
          </w:tcPr>
          <w:p>
            <w:pPr>
              <w:pStyle w:val="13"/>
            </w:pPr>
            <w:r>
              <w:t>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0.60</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1.加强乡镇基层治理能力，推行网格化管理服务，建立维稳保障长效机制，解决各种信访案件，矛盾纠纷调处成功率大于85%，维护社会安全稳定，保障我乡2026年维稳工作顺利进行。</w:t>
            </w:r>
            <w:r>
              <w:tab/>
            </w:r>
            <w:r>
              <w:tab/>
            </w:r>
            <w:r>
              <w:tab/>
            </w:r>
            <w:r>
              <w:tab/>
            </w:r>
            <w:r>
              <w:tab/>
            </w:r>
            <w:r>
              <w:tab/>
            </w:r>
          </w:p>
          <w:p>
            <w:pPr>
              <w:pStyle w:val="13"/>
            </w:pPr>
          </w:p>
          <w:p>
            <w:pPr>
              <w:pStyle w:val="13"/>
            </w:pPr>
            <w:r>
              <w:t>2.帮助群众解决疑难问题，化解矛盾纠纷案件不少于2件。</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≥2件</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反映矛盾纠纷调处成功率情况</w:t>
            </w:r>
          </w:p>
        </w:tc>
        <w:tc>
          <w:tcPr>
            <w:tcW w:w="2268" w:type="dxa"/>
            <w:vAlign w:val="center"/>
          </w:tcPr>
          <w:p>
            <w:pPr>
              <w:pStyle w:val="13"/>
            </w:pPr>
            <w:r>
              <w:t>≥85%</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反映已处置的涉稳舆情数量占涉稳舆情总数的比率</w:t>
            </w:r>
          </w:p>
        </w:tc>
        <w:tc>
          <w:tcPr>
            <w:tcW w:w="2268" w:type="dxa"/>
            <w:vAlign w:val="center"/>
          </w:tcPr>
          <w:p>
            <w:pPr>
              <w:pStyle w:val="13"/>
            </w:pPr>
            <w:r>
              <w:t>≥85%</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反映解决信访案件及时情况</w:t>
            </w:r>
          </w:p>
        </w:tc>
        <w:tc>
          <w:tcPr>
            <w:tcW w:w="2268" w:type="dxa"/>
            <w:vAlign w:val="center"/>
          </w:tcPr>
          <w:p>
            <w:pPr>
              <w:pStyle w:val="13"/>
            </w:pPr>
            <w:r>
              <w:t>≥85%</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≤1万元</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反映矛盾纠纷数量较上年度下降的比例情况</w:t>
            </w:r>
          </w:p>
        </w:tc>
        <w:tc>
          <w:tcPr>
            <w:tcW w:w="2268" w:type="dxa"/>
            <w:vAlign w:val="center"/>
          </w:tcPr>
          <w:p>
            <w:pPr>
              <w:pStyle w:val="13"/>
            </w:pPr>
            <w:r>
              <w:t>≥10%</w:t>
            </w:r>
          </w:p>
        </w:tc>
        <w:tc>
          <w:tcPr>
            <w:tcW w:w="1276" w:type="dxa"/>
            <w:vAlign w:val="center"/>
          </w:tcPr>
          <w:p>
            <w:pPr>
              <w:pStyle w:val="13"/>
            </w:pPr>
            <w:r>
              <w:t>依据维稳经费项目实施计划和保定市徐水区委政法委印发《关于切实做好庆祝建党100周年活动期间铁路护路和其他重要设施守护联防工作的实施方案》的通知徐政法字[2021]28号文件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服务对象满意程度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13062526P00016310030K</w:t>
            </w:r>
          </w:p>
        </w:tc>
        <w:tc>
          <w:tcPr>
            <w:tcW w:w="2835" w:type="dxa"/>
            <w:vAlign w:val="center"/>
          </w:tcPr>
          <w:p>
            <w:pPr>
              <w:pStyle w:val="11"/>
            </w:pPr>
            <w:r>
              <w:t>项目名称</w:t>
            </w:r>
          </w:p>
        </w:tc>
        <w:tc>
          <w:tcPr>
            <w:tcW w:w="6095" w:type="dxa"/>
            <w:gridSpan w:val="3"/>
            <w:vAlign w:val="center"/>
          </w:tcPr>
          <w:p>
            <w:pPr>
              <w:pStyle w:val="13"/>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0.60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1.通过实施此项目，党组织软弱涣散、经济发展滞后、信访问题突出、宗教领域风险隐患等问题解决情况。</w:t>
            </w:r>
          </w:p>
          <w:p>
            <w:pPr>
              <w:pStyle w:val="13"/>
            </w:pPr>
            <w:r>
              <w:t>2.为派出的下沉工作队，提供8万元的资金支持。</w:t>
            </w:r>
          </w:p>
          <w:p>
            <w:pPr>
              <w:pStyle w:val="13"/>
            </w:pPr>
            <w:r>
              <w:t>3.为驻村干部开展工作和人身安全提供基本保障提供必要工作和生活条件。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1个</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关于做好选派下沉干部的通知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13062526P00002610034E</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1.80</w:t>
            </w:r>
          </w:p>
        </w:tc>
        <w:tc>
          <w:tcPr>
            <w:tcW w:w="2551" w:type="dxa"/>
            <w:vAlign w:val="center"/>
          </w:tcPr>
          <w:p>
            <w:pPr>
              <w:pStyle w:val="14"/>
            </w:pPr>
            <w:r>
              <w:t>2.50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1.用于保障2026年本单位的民兵训练，征兵等工作的正常开展，完成征兵人数不少于5人，民兵训练不少于2次，完成上级交办的各项工作任务。</w:t>
            </w:r>
            <w:r>
              <w:tab/>
            </w:r>
            <w:r>
              <w:tab/>
            </w:r>
            <w:r>
              <w:tab/>
            </w:r>
            <w:r>
              <w:tab/>
            </w:r>
            <w:r>
              <w:tab/>
            </w:r>
          </w:p>
          <w:p>
            <w:pPr>
              <w:pStyle w:val="13"/>
            </w:pPr>
          </w:p>
          <w:p>
            <w:pPr>
              <w:pStyle w:val="13"/>
            </w:pPr>
            <w:r>
              <w:t>2.加强乡镇武装阵地达标建设，提升全乡武装力量水平。做好装备器材配备等基础设施建设，提升国防后备力量。</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反映按照上级下达的征兵数量完成情况</w:t>
            </w:r>
          </w:p>
        </w:tc>
        <w:tc>
          <w:tcPr>
            <w:tcW w:w="2268" w:type="dxa"/>
            <w:vAlign w:val="center"/>
          </w:tcPr>
          <w:p>
            <w:pPr>
              <w:pStyle w:val="13"/>
            </w:pPr>
            <w:r>
              <w:t>≥5人</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民兵训练次数</w:t>
            </w:r>
          </w:p>
        </w:tc>
        <w:tc>
          <w:tcPr>
            <w:tcW w:w="5386" w:type="dxa"/>
            <w:vAlign w:val="center"/>
          </w:tcPr>
          <w:p>
            <w:pPr>
              <w:pStyle w:val="13"/>
            </w:pPr>
            <w:r>
              <w:t>反映民兵训练次数情况</w:t>
            </w:r>
          </w:p>
        </w:tc>
        <w:tc>
          <w:tcPr>
            <w:tcW w:w="2268" w:type="dxa"/>
            <w:vAlign w:val="center"/>
          </w:tcPr>
          <w:p>
            <w:pPr>
              <w:pStyle w:val="13"/>
            </w:pPr>
            <w:r>
              <w:t>≥2次</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反映装备器材、服装配备数量情况</w:t>
            </w:r>
          </w:p>
        </w:tc>
        <w:tc>
          <w:tcPr>
            <w:tcW w:w="2268" w:type="dxa"/>
            <w:vAlign w:val="center"/>
          </w:tcPr>
          <w:p>
            <w:pPr>
              <w:pStyle w:val="13"/>
            </w:pPr>
            <w:r>
              <w:t>≥3种</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反映装备器材是否完好可用</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民兵训练出勤率</w:t>
            </w:r>
          </w:p>
        </w:tc>
        <w:tc>
          <w:tcPr>
            <w:tcW w:w="5386" w:type="dxa"/>
            <w:vAlign w:val="center"/>
          </w:tcPr>
          <w:p>
            <w:pPr>
              <w:pStyle w:val="13"/>
            </w:pPr>
            <w:r>
              <w:t>反映民兵训练出勤情况</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征兵工作完成及时率</w:t>
            </w:r>
          </w:p>
        </w:tc>
        <w:tc>
          <w:tcPr>
            <w:tcW w:w="5386" w:type="dxa"/>
            <w:vAlign w:val="center"/>
          </w:tcPr>
          <w:p>
            <w:pPr>
              <w:pStyle w:val="13"/>
            </w:pPr>
            <w:r>
              <w:t>反映征兵工作完成及时情况</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反映项目支出控制在预算范围内情况</w:t>
            </w:r>
          </w:p>
        </w:tc>
        <w:tc>
          <w:tcPr>
            <w:tcW w:w="2268" w:type="dxa"/>
            <w:vAlign w:val="center"/>
          </w:tcPr>
          <w:p>
            <w:pPr>
              <w:pStyle w:val="13"/>
            </w:pPr>
            <w:r>
              <w:t>≤3万元</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反映通过调研，基层民兵应急能力、装备保障能力等有所提升人数所占比重情况</w:t>
            </w:r>
          </w:p>
        </w:tc>
        <w:tc>
          <w:tcPr>
            <w:tcW w:w="2268" w:type="dxa"/>
            <w:vAlign w:val="center"/>
          </w:tcPr>
          <w:p>
            <w:pPr>
              <w:pStyle w:val="13"/>
            </w:pPr>
            <w:r>
              <w:t>≥90%</w:t>
            </w:r>
          </w:p>
        </w:tc>
        <w:tc>
          <w:tcPr>
            <w:tcW w:w="1276" w:type="dxa"/>
            <w:vAlign w:val="center"/>
          </w:tcPr>
          <w:p>
            <w:pPr>
              <w:pStyle w:val="13"/>
            </w:pPr>
            <w:r>
              <w:t>依据乡镇武装工作经费项目实施计划、中共保定市徐水区委办公室保定市徐水区人民政府办公室关于做好基层武装阵地建设经费保障的通知徐办字[2018]36号文件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反映民兵满意度情况</w:t>
            </w:r>
          </w:p>
        </w:tc>
        <w:tc>
          <w:tcPr>
            <w:tcW w:w="2268" w:type="dxa"/>
            <w:vAlign w:val="center"/>
          </w:tcPr>
          <w:p>
            <w:pPr>
              <w:pStyle w:val="13"/>
            </w:pPr>
            <w:r>
              <w:t>≥80%</w:t>
            </w:r>
          </w:p>
        </w:tc>
        <w:tc>
          <w:tcPr>
            <w:tcW w:w="1276" w:type="dxa"/>
            <w:vAlign w:val="center"/>
          </w:tcPr>
          <w:p>
            <w:pPr>
              <w:pStyle w:val="13"/>
            </w:pPr>
            <w:r>
              <w:t>依据满意度问卷调查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13062526P00004610035G</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4.86</w:t>
            </w:r>
          </w:p>
        </w:tc>
        <w:tc>
          <w:tcPr>
            <w:tcW w:w="2835" w:type="dxa"/>
            <w:vAlign w:val="center"/>
          </w:tcPr>
          <w:p>
            <w:pPr>
              <w:pStyle w:val="11"/>
            </w:pPr>
            <w:r>
              <w:t>其中：财政    资金</w:t>
            </w:r>
          </w:p>
        </w:tc>
        <w:tc>
          <w:tcPr>
            <w:tcW w:w="2551" w:type="dxa"/>
            <w:vAlign w:val="center"/>
          </w:tcPr>
          <w:p>
            <w:pPr>
              <w:pStyle w:val="13"/>
            </w:pPr>
            <w:r>
              <w:t>4.86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0.46</w:t>
            </w:r>
          </w:p>
        </w:tc>
        <w:tc>
          <w:tcPr>
            <w:tcW w:w="2835" w:type="dxa"/>
            <w:vAlign w:val="center"/>
          </w:tcPr>
          <w:p>
            <w:pPr>
              <w:pStyle w:val="14"/>
            </w:pPr>
            <w:r>
              <w:t>2.46</w:t>
            </w:r>
          </w:p>
        </w:tc>
        <w:tc>
          <w:tcPr>
            <w:tcW w:w="2551" w:type="dxa"/>
            <w:vAlign w:val="center"/>
          </w:tcPr>
          <w:p>
            <w:pPr>
              <w:pStyle w:val="14"/>
            </w:pPr>
            <w:r>
              <w:t>4.06</w:t>
            </w:r>
          </w:p>
        </w:tc>
        <w:tc>
          <w:tcPr>
            <w:tcW w:w="3544" w:type="dxa"/>
            <w:gridSpan w:val="2"/>
            <w:vAlign w:val="center"/>
          </w:tcPr>
          <w:p>
            <w:pPr>
              <w:pStyle w:val="14"/>
            </w:pPr>
            <w:r>
              <w:t>4.86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1.全年资金投入4.86万元，保障2名专职调解员工资、保险经费支出，按月发放调解员工资，及时缴纳意外保险；</w:t>
            </w:r>
          </w:p>
          <w:p>
            <w:pPr>
              <w:pStyle w:val="13"/>
            </w:pPr>
            <w:r>
              <w:t>2.全年调解人民调解案件48余件，做好人民调解工作，更好、更快调解诉前案件和信访案件。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全年人民调解案件48余件</w:t>
            </w:r>
          </w:p>
        </w:tc>
        <w:tc>
          <w:tcPr>
            <w:tcW w:w="2268" w:type="dxa"/>
            <w:vAlign w:val="center"/>
          </w:tcPr>
          <w:p>
            <w:pPr>
              <w:pStyle w:val="13"/>
            </w:pPr>
            <w:r>
              <w:t>≥48次</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全区共有专职人民调解员2名</w:t>
            </w:r>
          </w:p>
        </w:tc>
        <w:tc>
          <w:tcPr>
            <w:tcW w:w="2268" w:type="dxa"/>
            <w:vAlign w:val="center"/>
          </w:tcPr>
          <w:p>
            <w:pPr>
              <w:pStyle w:val="13"/>
            </w:pPr>
            <w:r>
              <w:t>2名</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≥96%</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全年意外保险投入（300元*2人）</w:t>
            </w:r>
          </w:p>
        </w:tc>
        <w:tc>
          <w:tcPr>
            <w:tcW w:w="2268" w:type="dxa"/>
            <w:vAlign w:val="center"/>
          </w:tcPr>
          <w:p>
            <w:pPr>
              <w:pStyle w:val="13"/>
            </w:pPr>
            <w:r>
              <w:t>600元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全年人员工资投入（2000元*12月*2人）</w:t>
            </w:r>
          </w:p>
        </w:tc>
        <w:tc>
          <w:tcPr>
            <w:tcW w:w="2268" w:type="dxa"/>
            <w:vAlign w:val="center"/>
          </w:tcPr>
          <w:p>
            <w:pPr>
              <w:pStyle w:val="13"/>
            </w:pPr>
            <w:r>
              <w:t>≤48000元</w:t>
            </w:r>
          </w:p>
        </w:tc>
        <w:tc>
          <w:tcPr>
            <w:tcW w:w="1276" w:type="dxa"/>
            <w:vAlign w:val="center"/>
          </w:tcPr>
          <w:p>
            <w:pPr>
              <w:pStyle w:val="13"/>
            </w:pPr>
            <w:r>
              <w:t>关于区调解中心、各乡镇（办）人民调解委员会选任专职调解员所需经费的请示。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依据项目实施计划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23、政府机关维护运行经费绩效目标表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13062526P00002410344T</w:t>
            </w:r>
          </w:p>
        </w:tc>
        <w:tc>
          <w:tcPr>
            <w:tcW w:w="2835" w:type="dxa"/>
            <w:vAlign w:val="center"/>
          </w:tcPr>
          <w:p>
            <w:pPr>
              <w:pStyle w:val="11"/>
            </w:pPr>
            <w:r>
              <w:t>项目名称</w:t>
            </w:r>
          </w:p>
        </w:tc>
        <w:tc>
          <w:tcPr>
            <w:tcW w:w="6095" w:type="dxa"/>
            <w:gridSpan w:val="3"/>
            <w:vAlign w:val="center"/>
          </w:tcPr>
          <w:p>
            <w:pPr>
              <w:pStyle w:val="13"/>
            </w:pPr>
            <w:r>
              <w:t>政府机关维护运行经费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22.50</w:t>
            </w:r>
          </w:p>
        </w:tc>
        <w:tc>
          <w:tcPr>
            <w:tcW w:w="2835" w:type="dxa"/>
            <w:vAlign w:val="center"/>
          </w:tcPr>
          <w:p>
            <w:pPr>
              <w:pStyle w:val="11"/>
            </w:pPr>
            <w:r>
              <w:t>其中：财政    资金</w:t>
            </w:r>
          </w:p>
        </w:tc>
        <w:tc>
          <w:tcPr>
            <w:tcW w:w="2551" w:type="dxa"/>
            <w:vAlign w:val="center"/>
          </w:tcPr>
          <w:p>
            <w:pPr>
              <w:pStyle w:val="13"/>
            </w:pPr>
            <w:r>
              <w:t>22.50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该资金用于该项目支出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rPr>
                <w:rFonts w:hint="eastAsia" w:eastAsia="方正书宋_GBK"/>
                <w:lang w:eastAsia="zh-CN"/>
              </w:rPr>
            </w:pPr>
            <w:r>
              <w:rPr>
                <w:rFonts w:hint="eastAsia"/>
                <w:lang w:eastAsia="zh-CN"/>
              </w:rP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6.50</w:t>
            </w:r>
          </w:p>
        </w:tc>
        <w:tc>
          <w:tcPr>
            <w:tcW w:w="2835" w:type="dxa"/>
            <w:vAlign w:val="center"/>
          </w:tcPr>
          <w:p>
            <w:pPr>
              <w:pStyle w:val="14"/>
            </w:pPr>
            <w:r>
              <w:t>13.00</w:t>
            </w:r>
          </w:p>
        </w:tc>
        <w:tc>
          <w:tcPr>
            <w:tcW w:w="2551" w:type="dxa"/>
            <w:vAlign w:val="center"/>
          </w:tcPr>
          <w:p>
            <w:pPr>
              <w:pStyle w:val="14"/>
            </w:pPr>
            <w:r>
              <w:t>19.50</w:t>
            </w:r>
          </w:p>
        </w:tc>
        <w:tc>
          <w:tcPr>
            <w:tcW w:w="3544" w:type="dxa"/>
            <w:gridSpan w:val="2"/>
            <w:vAlign w:val="center"/>
          </w:tcPr>
          <w:p>
            <w:pPr>
              <w:pStyle w:val="14"/>
            </w:pPr>
            <w:r>
              <w:t>22.50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1.用于保障2026年我乡政府5名人员劳务费，厨师、司机各一名月工资3100元，四术员二名月工资各2900元，清洁工一名月工资1700元，及我乡办公经费35911.2元，确保单位有效运转。</w:t>
            </w:r>
          </w:p>
          <w:p>
            <w:pPr>
              <w:pStyle w:val="13"/>
            </w:pPr>
            <w:r>
              <w:t>2.支持保障我单位设备设施的正常运转、修缮及时、消防定期维护，维护本单位1258平方米办公环境，工作职能正常履行，确保我单位公务活动的正常开展。</w:t>
            </w:r>
            <w:r>
              <w:tab/>
            </w:r>
            <w:r>
              <w:tab/>
            </w:r>
            <w:r>
              <w:tab/>
            </w:r>
            <w:r>
              <w:tab/>
            </w:r>
            <w:r>
              <w:tab/>
            </w:r>
          </w:p>
          <w:p>
            <w:pPr>
              <w:pStyle w:val="13"/>
            </w:pPr>
            <w:r>
              <w:t>3.维护机关良好办公环境，绿化定期养护，确保行政办公环境优美，水电气供应正常，为基层群众提供高质量服务。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临时工、清洁工人数</w:t>
            </w:r>
          </w:p>
        </w:tc>
        <w:tc>
          <w:tcPr>
            <w:tcW w:w="5386" w:type="dxa"/>
            <w:vAlign w:val="center"/>
          </w:tcPr>
          <w:p>
            <w:pPr>
              <w:pStyle w:val="13"/>
            </w:pPr>
            <w:r>
              <w:t>反应聘请临时工、清洁工人数</w:t>
            </w:r>
          </w:p>
        </w:tc>
        <w:tc>
          <w:tcPr>
            <w:tcW w:w="2268" w:type="dxa"/>
            <w:vAlign w:val="center"/>
          </w:tcPr>
          <w:p>
            <w:pPr>
              <w:pStyle w:val="13"/>
            </w:pPr>
            <w:r>
              <w:t>5人</w:t>
            </w:r>
          </w:p>
        </w:tc>
        <w:tc>
          <w:tcPr>
            <w:tcW w:w="1276" w:type="dxa"/>
            <w:vAlign w:val="center"/>
          </w:tcPr>
          <w:p>
            <w:pPr>
              <w:pStyle w:val="13"/>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办公环境达标率</w:t>
            </w:r>
          </w:p>
        </w:tc>
        <w:tc>
          <w:tcPr>
            <w:tcW w:w="5386" w:type="dxa"/>
            <w:vAlign w:val="center"/>
          </w:tcPr>
          <w:p>
            <w:pPr>
              <w:pStyle w:val="13"/>
            </w:pPr>
            <w:r>
              <w:t>反映绿化环境、办公大楼卫生环境达标情况</w:t>
            </w:r>
          </w:p>
        </w:tc>
        <w:tc>
          <w:tcPr>
            <w:tcW w:w="2268" w:type="dxa"/>
            <w:vAlign w:val="center"/>
          </w:tcPr>
          <w:p>
            <w:pPr>
              <w:pStyle w:val="13"/>
            </w:pPr>
            <w:r>
              <w:t>≥90%</w:t>
            </w:r>
          </w:p>
        </w:tc>
        <w:tc>
          <w:tcPr>
            <w:tcW w:w="1276" w:type="dxa"/>
            <w:vAlign w:val="center"/>
          </w:tcPr>
          <w:p>
            <w:pPr>
              <w:pStyle w:val="13"/>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日常工作经费保障及时率</w:t>
            </w:r>
          </w:p>
        </w:tc>
        <w:tc>
          <w:tcPr>
            <w:tcW w:w="5386" w:type="dxa"/>
            <w:vAlign w:val="center"/>
          </w:tcPr>
          <w:p>
            <w:pPr>
              <w:pStyle w:val="13"/>
            </w:pPr>
            <w:r>
              <w:t>反映用于保障日常工作的经费拨付及时情况</w:t>
            </w:r>
          </w:p>
        </w:tc>
        <w:tc>
          <w:tcPr>
            <w:tcW w:w="2268" w:type="dxa"/>
            <w:vAlign w:val="center"/>
          </w:tcPr>
          <w:p>
            <w:pPr>
              <w:pStyle w:val="13"/>
            </w:pPr>
            <w:r>
              <w:t>≥90%</w:t>
            </w:r>
          </w:p>
        </w:tc>
        <w:tc>
          <w:tcPr>
            <w:tcW w:w="1276" w:type="dxa"/>
            <w:vAlign w:val="center"/>
          </w:tcPr>
          <w:p>
            <w:pPr>
              <w:pStyle w:val="13"/>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项目支出控制在预算范围内</w:t>
            </w:r>
          </w:p>
        </w:tc>
        <w:tc>
          <w:tcPr>
            <w:tcW w:w="2268" w:type="dxa"/>
            <w:vAlign w:val="center"/>
          </w:tcPr>
          <w:p>
            <w:pPr>
              <w:pStyle w:val="13"/>
            </w:pPr>
            <w:r>
              <w:t>≤22.5万元</w:t>
            </w:r>
          </w:p>
        </w:tc>
        <w:tc>
          <w:tcPr>
            <w:tcW w:w="1276" w:type="dxa"/>
            <w:vAlign w:val="center"/>
          </w:tcPr>
          <w:p>
            <w:pPr>
              <w:pStyle w:val="13"/>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机关正常运转率</w:t>
            </w:r>
          </w:p>
        </w:tc>
        <w:tc>
          <w:tcPr>
            <w:tcW w:w="5386" w:type="dxa"/>
            <w:vAlign w:val="center"/>
          </w:tcPr>
          <w:p>
            <w:pPr>
              <w:pStyle w:val="13"/>
            </w:pPr>
            <w:r>
              <w:t>水电气供应正常机关运行正常天数占全年天数比率</w:t>
            </w:r>
          </w:p>
        </w:tc>
        <w:tc>
          <w:tcPr>
            <w:tcW w:w="2268" w:type="dxa"/>
            <w:vAlign w:val="center"/>
          </w:tcPr>
          <w:p>
            <w:pPr>
              <w:pStyle w:val="13"/>
            </w:pPr>
            <w:r>
              <w:t>≥90%</w:t>
            </w:r>
          </w:p>
        </w:tc>
        <w:tc>
          <w:tcPr>
            <w:tcW w:w="1276" w:type="dxa"/>
            <w:vAlign w:val="center"/>
          </w:tcPr>
          <w:p>
            <w:pPr>
              <w:pStyle w:val="13"/>
            </w:pPr>
            <w:r>
              <w:t>据政府机关维护运行经费项目实施计划及中共保定市徐水区委办公室、保定徐水区人民政府办公室印发《保定市徐水区东釜山乡主要职责、机构设置和人员编制规定》的通知（徐办字[2024]35号）、三重一大会议纪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政府机关服务群众满意度</w:t>
            </w:r>
          </w:p>
        </w:tc>
        <w:tc>
          <w:tcPr>
            <w:tcW w:w="5386" w:type="dxa"/>
            <w:vAlign w:val="center"/>
          </w:tcPr>
          <w:p>
            <w:pPr>
              <w:pStyle w:val="13"/>
            </w:pPr>
            <w:r>
              <w:t>反映乡政府工作人员服务群众行为中群众的满意度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23893"/>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5.44</w:t>
            </w:r>
          </w:p>
        </w:tc>
        <w:tc>
          <w:tcPr>
            <w:tcW w:w="964" w:type="dxa"/>
            <w:vAlign w:val="center"/>
          </w:tcPr>
          <w:p>
            <w:pPr>
              <w:pStyle w:val="16"/>
            </w:pPr>
            <w:r>
              <w:t>5.44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保定市徐水区东釜山乡人民政府本级小计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5.44</w:t>
            </w:r>
          </w:p>
        </w:tc>
        <w:tc>
          <w:tcPr>
            <w:tcW w:w="964" w:type="dxa"/>
            <w:vAlign w:val="center"/>
          </w:tcPr>
          <w:p>
            <w:pPr>
              <w:pStyle w:val="16"/>
            </w:pPr>
            <w:r>
              <w:t>5.44</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37.81</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425</w:t>
            </w:r>
          </w:p>
        </w:tc>
        <w:tc>
          <w:tcPr>
            <w:tcW w:w="850" w:type="dxa"/>
            <w:vAlign w:val="center"/>
          </w:tcPr>
          <w:p>
            <w:pPr>
              <w:pStyle w:val="12"/>
            </w:pPr>
            <w:r>
              <w:t>0.00</w:t>
            </w:r>
          </w:p>
        </w:tc>
        <w:tc>
          <w:tcPr>
            <w:tcW w:w="964" w:type="dxa"/>
            <w:vAlign w:val="center"/>
          </w:tcPr>
          <w:p>
            <w:pPr>
              <w:pStyle w:val="12"/>
            </w:pPr>
            <w:r>
              <w:t>0.94</w:t>
            </w:r>
          </w:p>
        </w:tc>
        <w:tc>
          <w:tcPr>
            <w:tcW w:w="964" w:type="dxa"/>
            <w:vAlign w:val="center"/>
          </w:tcPr>
          <w:p>
            <w:pPr>
              <w:pStyle w:val="12"/>
            </w:pPr>
            <w:r>
              <w:t>0.94</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37.81</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1.50</w:t>
            </w:r>
          </w:p>
        </w:tc>
        <w:tc>
          <w:tcPr>
            <w:tcW w:w="964" w:type="dxa"/>
            <w:vAlign w:val="center"/>
          </w:tcPr>
          <w:p>
            <w:pPr>
              <w:pStyle w:val="12"/>
            </w:pPr>
            <w:r>
              <w:t>1.50</w:t>
            </w:r>
          </w:p>
        </w:tc>
        <w:tc>
          <w:tcPr>
            <w:tcW w:w="964" w:type="dxa"/>
            <w:vAlign w:val="center"/>
          </w:tcPr>
          <w:p>
            <w:pPr>
              <w:pStyle w:val="12"/>
            </w:pPr>
            <w:r>
              <w:t>1.50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37.81</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3.00</w:t>
            </w:r>
          </w:p>
        </w:tc>
        <w:tc>
          <w:tcPr>
            <w:tcW w:w="964" w:type="dxa"/>
            <w:vAlign w:val="center"/>
          </w:tcPr>
          <w:p>
            <w:pPr>
              <w:pStyle w:val="12"/>
            </w:pPr>
            <w:r>
              <w:t>3.00</w:t>
            </w:r>
          </w:p>
        </w:tc>
        <w:tc>
          <w:tcPr>
            <w:tcW w:w="964" w:type="dxa"/>
            <w:vAlign w:val="center"/>
          </w:tcPr>
          <w:p>
            <w:pPr>
              <w:pStyle w:val="12"/>
            </w:pPr>
            <w:r>
              <w:t>3.00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3.00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6317"/>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保定市徐水区东釜山乡人民政府（含所属单位）上年末固定资产金额为2871.59万元（详见下表）。本年度拟购置固定资产总额为0.00万元，已按要求列入政府采购预算，详见政府采购预算表。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911保定市徐水区东釜山乡人民政府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2871.59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1419</w:t>
            </w:r>
          </w:p>
        </w:tc>
        <w:tc>
          <w:tcPr>
            <w:tcW w:w="2835" w:type="dxa"/>
            <w:vAlign w:val="center"/>
          </w:tcPr>
          <w:p>
            <w:pPr>
              <w:pStyle w:val="12"/>
            </w:pPr>
            <w:r>
              <w:t>68.50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1331</w:t>
            </w:r>
          </w:p>
        </w:tc>
        <w:tc>
          <w:tcPr>
            <w:tcW w:w="2835" w:type="dxa"/>
            <w:vAlign w:val="center"/>
          </w:tcPr>
          <w:p>
            <w:pPr>
              <w:pStyle w:val="12"/>
            </w:pPr>
            <w:r>
              <w:t>63.50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38.74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13</w:t>
            </w:r>
          </w:p>
        </w:tc>
        <w:tc>
          <w:tcPr>
            <w:tcW w:w="2835" w:type="dxa"/>
            <w:vAlign w:val="center"/>
          </w:tcPr>
          <w:p>
            <w:pPr>
              <w:pStyle w:val="12"/>
            </w:pPr>
            <w:r>
              <w:t>2764.35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17966"/>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15488"/>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4C5BD"/>
    <w:multiLevelType w:val="singleLevel"/>
    <w:tmpl w:val="5484C5BD"/>
    <w:lvl w:ilvl="0" w:tentative="0">
      <w:start w:val="3"/>
      <w:numFmt w:val="chineseCounting"/>
      <w:suff w:val="nothing"/>
      <w:lvlText w:val="%1、"/>
      <w:lvlJc w:val="left"/>
      <w:pPr>
        <w:ind w:left="-16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443500B"/>
    <w:rsid w:val="38A821FE"/>
    <w:rsid w:val="5CDD71C1"/>
    <w:rsid w:val="705E4FA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6">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115</Pages>
  <TotalTime>3</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2026-03-03T12:47:00Z</dcterms:created>
  <dc:creator>Lenovo</dc:creator>
  <cp:lastModifiedBy>user</cp:lastModifiedBy>
  <dcterms:modified xsi:type="dcterms:W3CDTF">2026-03-09T06:08:37Z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7EF1D1C844C14EEB965504EAFCD79AFB</vt:lpwstr>
  </property>
</Properties>
</file>