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31</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31</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224中共保定市徐水区委网络安全和信息化委员会办公室</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238.81</w:t>
            </w:r>
          </w:p>
        </w:tc>
        <w:tc>
          <w:tcPr>
            <w:tcW w:w="4535" w:type="dxa"/>
            <w:vAlign w:val="center"/>
          </w:tcPr>
          <w:p>
            <w:pPr>
              <w:pStyle w:val="13"/>
            </w:pPr>
            <w:r>
              <w:t>一、一般公共服务支出</w:t>
            </w:r>
          </w:p>
        </w:tc>
        <w:tc>
          <w:tcPr>
            <w:tcW w:w="2126" w:type="dxa"/>
            <w:vAlign w:val="center"/>
          </w:tcPr>
          <w:p>
            <w:pPr>
              <w:pStyle w:val="12"/>
            </w:pPr>
            <w:r>
              <w:t>194.80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15.37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238.81</w:t>
            </w:r>
          </w:p>
        </w:tc>
        <w:tc>
          <w:tcPr>
            <w:tcW w:w="4535" w:type="dxa"/>
            <w:vAlign w:val="center"/>
          </w:tcPr>
          <w:p>
            <w:pPr>
              <w:pStyle w:val="15"/>
            </w:pPr>
            <w:r>
              <w:t>本年支出合计</w:t>
            </w:r>
          </w:p>
        </w:tc>
        <w:tc>
          <w:tcPr>
            <w:tcW w:w="2126" w:type="dxa"/>
            <w:vAlign w:val="center"/>
          </w:tcPr>
          <w:p>
            <w:pPr>
              <w:pStyle w:val="16"/>
            </w:pPr>
            <w:r>
              <w:t>238.81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238.81</w:t>
            </w:r>
          </w:p>
        </w:tc>
        <w:tc>
          <w:tcPr>
            <w:tcW w:w="4535" w:type="dxa"/>
            <w:vAlign w:val="center"/>
          </w:tcPr>
          <w:p>
            <w:pPr>
              <w:pStyle w:val="15"/>
            </w:pPr>
            <w:r>
              <w:t>支出总计</w:t>
            </w:r>
          </w:p>
        </w:tc>
        <w:tc>
          <w:tcPr>
            <w:tcW w:w="2126" w:type="dxa"/>
            <w:vAlign w:val="center"/>
          </w:tcPr>
          <w:p>
            <w:pPr>
              <w:pStyle w:val="16"/>
            </w:pPr>
            <w:r>
              <w:t>238.81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224中共保定市徐水区委网络安全和信息化委员会办公室</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238.81</w:t>
            </w:r>
          </w:p>
        </w:tc>
        <w:tc>
          <w:tcPr>
            <w:tcW w:w="1134" w:type="dxa"/>
            <w:vAlign w:val="center"/>
          </w:tcPr>
          <w:p>
            <w:pPr>
              <w:pStyle w:val="16"/>
            </w:pPr>
            <w:r>
              <w:t>238.81</w:t>
            </w:r>
          </w:p>
        </w:tc>
        <w:tc>
          <w:tcPr>
            <w:tcW w:w="1134" w:type="dxa"/>
            <w:vAlign w:val="center"/>
          </w:tcPr>
          <w:p>
            <w:pPr>
              <w:pStyle w:val="16"/>
            </w:pPr>
            <w:r>
              <w:t>238.81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194.80</w:t>
            </w:r>
          </w:p>
        </w:tc>
        <w:tc>
          <w:tcPr>
            <w:tcW w:w="1134" w:type="dxa"/>
            <w:vAlign w:val="center"/>
          </w:tcPr>
          <w:p>
            <w:pPr>
              <w:pStyle w:val="12"/>
            </w:pPr>
            <w:r>
              <w:t>194.80</w:t>
            </w:r>
          </w:p>
        </w:tc>
        <w:tc>
          <w:tcPr>
            <w:tcW w:w="1134" w:type="dxa"/>
            <w:vAlign w:val="center"/>
          </w:tcPr>
          <w:p>
            <w:pPr>
              <w:pStyle w:val="12"/>
            </w:pPr>
            <w:r>
              <w:t>194.80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20137</w:t>
            </w:r>
          </w:p>
        </w:tc>
        <w:tc>
          <w:tcPr>
            <w:tcW w:w="1559" w:type="dxa"/>
            <w:vAlign w:val="center"/>
          </w:tcPr>
          <w:p>
            <w:pPr>
              <w:pStyle w:val="13"/>
            </w:pPr>
            <w:r>
              <w:t>网信事务</w:t>
            </w:r>
          </w:p>
        </w:tc>
        <w:tc>
          <w:tcPr>
            <w:tcW w:w="1134" w:type="dxa"/>
            <w:vAlign w:val="center"/>
          </w:tcPr>
          <w:p>
            <w:pPr>
              <w:pStyle w:val="12"/>
            </w:pPr>
            <w:r>
              <w:t>194.80</w:t>
            </w:r>
          </w:p>
        </w:tc>
        <w:tc>
          <w:tcPr>
            <w:tcW w:w="1134" w:type="dxa"/>
            <w:vAlign w:val="center"/>
          </w:tcPr>
          <w:p>
            <w:pPr>
              <w:pStyle w:val="12"/>
            </w:pPr>
            <w:r>
              <w:t>194.80</w:t>
            </w:r>
          </w:p>
        </w:tc>
        <w:tc>
          <w:tcPr>
            <w:tcW w:w="1134" w:type="dxa"/>
            <w:vAlign w:val="center"/>
          </w:tcPr>
          <w:p>
            <w:pPr>
              <w:pStyle w:val="12"/>
            </w:pPr>
            <w:r>
              <w:t>194.80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2013701</w:t>
            </w:r>
          </w:p>
        </w:tc>
        <w:tc>
          <w:tcPr>
            <w:tcW w:w="1559" w:type="dxa"/>
            <w:vAlign w:val="center"/>
          </w:tcPr>
          <w:p>
            <w:pPr>
              <w:pStyle w:val="13"/>
            </w:pPr>
            <w:r>
              <w:t>行政运行</w:t>
            </w:r>
          </w:p>
        </w:tc>
        <w:tc>
          <w:tcPr>
            <w:tcW w:w="1134" w:type="dxa"/>
            <w:vAlign w:val="center"/>
          </w:tcPr>
          <w:p>
            <w:pPr>
              <w:pStyle w:val="12"/>
            </w:pPr>
            <w:r>
              <w:t>95.35</w:t>
            </w:r>
          </w:p>
        </w:tc>
        <w:tc>
          <w:tcPr>
            <w:tcW w:w="1134" w:type="dxa"/>
            <w:vAlign w:val="center"/>
          </w:tcPr>
          <w:p>
            <w:pPr>
              <w:pStyle w:val="12"/>
            </w:pPr>
            <w:r>
              <w:t>95.35</w:t>
            </w:r>
          </w:p>
        </w:tc>
        <w:tc>
          <w:tcPr>
            <w:tcW w:w="1134" w:type="dxa"/>
            <w:vAlign w:val="center"/>
          </w:tcPr>
          <w:p>
            <w:pPr>
              <w:pStyle w:val="12"/>
            </w:pPr>
            <w:r>
              <w:t>95.35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2013702</w:t>
            </w:r>
          </w:p>
        </w:tc>
        <w:tc>
          <w:tcPr>
            <w:tcW w:w="1559" w:type="dxa"/>
            <w:vAlign w:val="center"/>
          </w:tcPr>
          <w:p>
            <w:pPr>
              <w:pStyle w:val="13"/>
            </w:pPr>
            <w:r>
              <w:t>一般行政管理事务</w:t>
            </w:r>
          </w:p>
        </w:tc>
        <w:tc>
          <w:tcPr>
            <w:tcW w:w="1134" w:type="dxa"/>
            <w:vAlign w:val="center"/>
          </w:tcPr>
          <w:p>
            <w:pPr>
              <w:pStyle w:val="12"/>
            </w:pPr>
            <w:r>
              <w:t>25.59</w:t>
            </w:r>
          </w:p>
        </w:tc>
        <w:tc>
          <w:tcPr>
            <w:tcW w:w="1134" w:type="dxa"/>
            <w:vAlign w:val="center"/>
          </w:tcPr>
          <w:p>
            <w:pPr>
              <w:pStyle w:val="12"/>
            </w:pPr>
            <w:r>
              <w:t>25.59</w:t>
            </w:r>
          </w:p>
        </w:tc>
        <w:tc>
          <w:tcPr>
            <w:tcW w:w="1134" w:type="dxa"/>
            <w:vAlign w:val="center"/>
          </w:tcPr>
          <w:p>
            <w:pPr>
              <w:pStyle w:val="12"/>
            </w:pPr>
            <w:r>
              <w:t>25.59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2013750</w:t>
            </w:r>
          </w:p>
        </w:tc>
        <w:tc>
          <w:tcPr>
            <w:tcW w:w="1559" w:type="dxa"/>
            <w:vAlign w:val="center"/>
          </w:tcPr>
          <w:p>
            <w:pPr>
              <w:pStyle w:val="13"/>
            </w:pPr>
            <w:r>
              <w:t>事业运行</w:t>
            </w:r>
          </w:p>
        </w:tc>
        <w:tc>
          <w:tcPr>
            <w:tcW w:w="1134" w:type="dxa"/>
            <w:vAlign w:val="center"/>
          </w:tcPr>
          <w:p>
            <w:pPr>
              <w:pStyle w:val="12"/>
            </w:pPr>
            <w:r>
              <w:t>73.86</w:t>
            </w:r>
          </w:p>
        </w:tc>
        <w:tc>
          <w:tcPr>
            <w:tcW w:w="1134" w:type="dxa"/>
            <w:vAlign w:val="center"/>
          </w:tcPr>
          <w:p>
            <w:pPr>
              <w:pStyle w:val="12"/>
            </w:pPr>
            <w:r>
              <w:t>73.86</w:t>
            </w:r>
          </w:p>
        </w:tc>
        <w:tc>
          <w:tcPr>
            <w:tcW w:w="1134" w:type="dxa"/>
            <w:vAlign w:val="center"/>
          </w:tcPr>
          <w:p>
            <w:pPr>
              <w:pStyle w:val="12"/>
            </w:pPr>
            <w:r>
              <w:t>73.86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22.21</w:t>
            </w:r>
          </w:p>
        </w:tc>
        <w:tc>
          <w:tcPr>
            <w:tcW w:w="1134" w:type="dxa"/>
            <w:vAlign w:val="center"/>
          </w:tcPr>
          <w:p>
            <w:pPr>
              <w:pStyle w:val="12"/>
            </w:pPr>
            <w:r>
              <w:t>22.21</w:t>
            </w:r>
          </w:p>
        </w:tc>
        <w:tc>
          <w:tcPr>
            <w:tcW w:w="1134" w:type="dxa"/>
            <w:vAlign w:val="center"/>
          </w:tcPr>
          <w:p>
            <w:pPr>
              <w:pStyle w:val="12"/>
            </w:pPr>
            <w:r>
              <w:t>22.21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22.21</w:t>
            </w:r>
          </w:p>
        </w:tc>
        <w:tc>
          <w:tcPr>
            <w:tcW w:w="1134" w:type="dxa"/>
            <w:vAlign w:val="center"/>
          </w:tcPr>
          <w:p>
            <w:pPr>
              <w:pStyle w:val="12"/>
            </w:pPr>
            <w:r>
              <w:t>22.21</w:t>
            </w:r>
          </w:p>
        </w:tc>
        <w:tc>
          <w:tcPr>
            <w:tcW w:w="1134" w:type="dxa"/>
            <w:vAlign w:val="center"/>
          </w:tcPr>
          <w:p>
            <w:pPr>
              <w:pStyle w:val="12"/>
            </w:pPr>
            <w:r>
              <w:t>22.21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0.09</w:t>
            </w:r>
          </w:p>
        </w:tc>
        <w:tc>
          <w:tcPr>
            <w:tcW w:w="1134" w:type="dxa"/>
            <w:vAlign w:val="center"/>
          </w:tcPr>
          <w:p>
            <w:pPr>
              <w:pStyle w:val="12"/>
            </w:pPr>
            <w:r>
              <w:t>0.09</w:t>
            </w:r>
          </w:p>
        </w:tc>
        <w:tc>
          <w:tcPr>
            <w:tcW w:w="1134" w:type="dxa"/>
            <w:vAlign w:val="center"/>
          </w:tcPr>
          <w:p>
            <w:pPr>
              <w:pStyle w:val="12"/>
            </w:pPr>
            <w:r>
              <w:t>0.09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3.32</w:t>
            </w:r>
          </w:p>
        </w:tc>
        <w:tc>
          <w:tcPr>
            <w:tcW w:w="1134" w:type="dxa"/>
            <w:vAlign w:val="center"/>
          </w:tcPr>
          <w:p>
            <w:pPr>
              <w:pStyle w:val="12"/>
            </w:pPr>
            <w:r>
              <w:t>3.32</w:t>
            </w:r>
          </w:p>
        </w:tc>
        <w:tc>
          <w:tcPr>
            <w:tcW w:w="1134" w:type="dxa"/>
            <w:vAlign w:val="center"/>
          </w:tcPr>
          <w:p>
            <w:pPr>
              <w:pStyle w:val="12"/>
            </w:pPr>
            <w:r>
              <w:t>3.32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18.80</w:t>
            </w:r>
          </w:p>
        </w:tc>
        <w:tc>
          <w:tcPr>
            <w:tcW w:w="1134" w:type="dxa"/>
            <w:vAlign w:val="center"/>
          </w:tcPr>
          <w:p>
            <w:pPr>
              <w:pStyle w:val="12"/>
            </w:pPr>
            <w:r>
              <w:t>18.80</w:t>
            </w:r>
          </w:p>
        </w:tc>
        <w:tc>
          <w:tcPr>
            <w:tcW w:w="1134" w:type="dxa"/>
            <w:vAlign w:val="center"/>
          </w:tcPr>
          <w:p>
            <w:pPr>
              <w:pStyle w:val="12"/>
            </w:pPr>
            <w:r>
              <w:t>18.80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6.41</w:t>
            </w:r>
          </w:p>
        </w:tc>
        <w:tc>
          <w:tcPr>
            <w:tcW w:w="1134" w:type="dxa"/>
            <w:vAlign w:val="center"/>
          </w:tcPr>
          <w:p>
            <w:pPr>
              <w:pStyle w:val="12"/>
            </w:pPr>
            <w:r>
              <w:t>6.41</w:t>
            </w:r>
          </w:p>
        </w:tc>
        <w:tc>
          <w:tcPr>
            <w:tcW w:w="1134" w:type="dxa"/>
            <w:vAlign w:val="center"/>
          </w:tcPr>
          <w:p>
            <w:pPr>
              <w:pStyle w:val="12"/>
            </w:pPr>
            <w:r>
              <w:t>6.41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6.41</w:t>
            </w:r>
          </w:p>
        </w:tc>
        <w:tc>
          <w:tcPr>
            <w:tcW w:w="1134" w:type="dxa"/>
            <w:vAlign w:val="center"/>
          </w:tcPr>
          <w:p>
            <w:pPr>
              <w:pStyle w:val="12"/>
            </w:pPr>
            <w:r>
              <w:t>6.41</w:t>
            </w:r>
          </w:p>
        </w:tc>
        <w:tc>
          <w:tcPr>
            <w:tcW w:w="1134" w:type="dxa"/>
            <w:vAlign w:val="center"/>
          </w:tcPr>
          <w:p>
            <w:pPr>
              <w:pStyle w:val="12"/>
            </w:pPr>
            <w:r>
              <w:t>6.41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6.41</w:t>
            </w:r>
          </w:p>
        </w:tc>
        <w:tc>
          <w:tcPr>
            <w:tcW w:w="1134" w:type="dxa"/>
            <w:vAlign w:val="center"/>
          </w:tcPr>
          <w:p>
            <w:pPr>
              <w:pStyle w:val="12"/>
            </w:pPr>
            <w:r>
              <w:t>6.41</w:t>
            </w:r>
          </w:p>
        </w:tc>
        <w:tc>
          <w:tcPr>
            <w:tcW w:w="1134" w:type="dxa"/>
            <w:vAlign w:val="center"/>
          </w:tcPr>
          <w:p>
            <w:pPr>
              <w:pStyle w:val="12"/>
            </w:pPr>
            <w:r>
              <w:t>6.41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15.37</w:t>
            </w:r>
          </w:p>
        </w:tc>
        <w:tc>
          <w:tcPr>
            <w:tcW w:w="1134" w:type="dxa"/>
            <w:vAlign w:val="center"/>
          </w:tcPr>
          <w:p>
            <w:pPr>
              <w:pStyle w:val="12"/>
            </w:pPr>
            <w:r>
              <w:t>15.37</w:t>
            </w:r>
          </w:p>
        </w:tc>
        <w:tc>
          <w:tcPr>
            <w:tcW w:w="1134" w:type="dxa"/>
            <w:vAlign w:val="center"/>
          </w:tcPr>
          <w:p>
            <w:pPr>
              <w:pStyle w:val="12"/>
            </w:pPr>
            <w:r>
              <w:t>15.37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15.37</w:t>
            </w:r>
          </w:p>
        </w:tc>
        <w:tc>
          <w:tcPr>
            <w:tcW w:w="1134" w:type="dxa"/>
            <w:vAlign w:val="center"/>
          </w:tcPr>
          <w:p>
            <w:pPr>
              <w:pStyle w:val="12"/>
            </w:pPr>
            <w:r>
              <w:t>15.37</w:t>
            </w:r>
          </w:p>
        </w:tc>
        <w:tc>
          <w:tcPr>
            <w:tcW w:w="1134" w:type="dxa"/>
            <w:vAlign w:val="center"/>
          </w:tcPr>
          <w:p>
            <w:pPr>
              <w:pStyle w:val="12"/>
            </w:pPr>
            <w:r>
              <w:t>15.37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15.37</w:t>
            </w:r>
          </w:p>
        </w:tc>
        <w:tc>
          <w:tcPr>
            <w:tcW w:w="1134" w:type="dxa"/>
            <w:vAlign w:val="center"/>
          </w:tcPr>
          <w:p>
            <w:pPr>
              <w:pStyle w:val="12"/>
            </w:pPr>
            <w:r>
              <w:t>15.37</w:t>
            </w:r>
          </w:p>
        </w:tc>
        <w:tc>
          <w:tcPr>
            <w:tcW w:w="1134" w:type="dxa"/>
            <w:vAlign w:val="center"/>
          </w:tcPr>
          <w:p>
            <w:pPr>
              <w:pStyle w:val="12"/>
            </w:pPr>
            <w:r>
              <w:t>15.37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224中共保定市徐水区委网络安全和信息化委员会办公室</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238.81</w:t>
            </w:r>
          </w:p>
        </w:tc>
        <w:tc>
          <w:tcPr>
            <w:tcW w:w="1361" w:type="dxa"/>
            <w:vAlign w:val="center"/>
          </w:tcPr>
          <w:p>
            <w:pPr>
              <w:pStyle w:val="16"/>
            </w:pPr>
            <w:r>
              <w:t>213.22</w:t>
            </w:r>
          </w:p>
        </w:tc>
        <w:tc>
          <w:tcPr>
            <w:tcW w:w="1361" w:type="dxa"/>
            <w:vAlign w:val="center"/>
          </w:tcPr>
          <w:p>
            <w:pPr>
              <w:pStyle w:val="16"/>
            </w:pPr>
            <w:r>
              <w:t>25.59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194.80</w:t>
            </w:r>
          </w:p>
        </w:tc>
        <w:tc>
          <w:tcPr>
            <w:tcW w:w="1361" w:type="dxa"/>
            <w:vAlign w:val="center"/>
          </w:tcPr>
          <w:p>
            <w:pPr>
              <w:pStyle w:val="12"/>
            </w:pPr>
            <w:r>
              <w:t>169.21</w:t>
            </w:r>
          </w:p>
        </w:tc>
        <w:tc>
          <w:tcPr>
            <w:tcW w:w="1361" w:type="dxa"/>
            <w:vAlign w:val="center"/>
          </w:tcPr>
          <w:p>
            <w:pPr>
              <w:pStyle w:val="12"/>
            </w:pPr>
            <w:r>
              <w:t>25.59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20137</w:t>
            </w:r>
          </w:p>
        </w:tc>
        <w:tc>
          <w:tcPr>
            <w:tcW w:w="4535" w:type="dxa"/>
            <w:vAlign w:val="center"/>
          </w:tcPr>
          <w:p>
            <w:pPr>
              <w:pStyle w:val="13"/>
            </w:pPr>
            <w:r>
              <w:t>网信事务</w:t>
            </w:r>
          </w:p>
        </w:tc>
        <w:tc>
          <w:tcPr>
            <w:tcW w:w="1361" w:type="dxa"/>
            <w:vAlign w:val="center"/>
          </w:tcPr>
          <w:p>
            <w:pPr>
              <w:pStyle w:val="12"/>
            </w:pPr>
            <w:r>
              <w:t>194.80</w:t>
            </w:r>
          </w:p>
        </w:tc>
        <w:tc>
          <w:tcPr>
            <w:tcW w:w="1361" w:type="dxa"/>
            <w:vAlign w:val="center"/>
          </w:tcPr>
          <w:p>
            <w:pPr>
              <w:pStyle w:val="12"/>
            </w:pPr>
            <w:r>
              <w:t>169.21</w:t>
            </w:r>
          </w:p>
        </w:tc>
        <w:tc>
          <w:tcPr>
            <w:tcW w:w="1361" w:type="dxa"/>
            <w:vAlign w:val="center"/>
          </w:tcPr>
          <w:p>
            <w:pPr>
              <w:pStyle w:val="12"/>
            </w:pPr>
            <w:r>
              <w:t>25.59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2013701</w:t>
            </w:r>
          </w:p>
        </w:tc>
        <w:tc>
          <w:tcPr>
            <w:tcW w:w="4535" w:type="dxa"/>
            <w:vAlign w:val="center"/>
          </w:tcPr>
          <w:p>
            <w:pPr>
              <w:pStyle w:val="13"/>
            </w:pPr>
            <w:r>
              <w:t>行政运行</w:t>
            </w:r>
          </w:p>
        </w:tc>
        <w:tc>
          <w:tcPr>
            <w:tcW w:w="1361" w:type="dxa"/>
            <w:vAlign w:val="center"/>
          </w:tcPr>
          <w:p>
            <w:pPr>
              <w:pStyle w:val="12"/>
            </w:pPr>
            <w:r>
              <w:t>95.35</w:t>
            </w:r>
          </w:p>
        </w:tc>
        <w:tc>
          <w:tcPr>
            <w:tcW w:w="1361" w:type="dxa"/>
            <w:vAlign w:val="center"/>
          </w:tcPr>
          <w:p>
            <w:pPr>
              <w:pStyle w:val="12"/>
            </w:pPr>
            <w:r>
              <w:t>95.35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2013702</w:t>
            </w:r>
          </w:p>
        </w:tc>
        <w:tc>
          <w:tcPr>
            <w:tcW w:w="4535" w:type="dxa"/>
            <w:vAlign w:val="center"/>
          </w:tcPr>
          <w:p>
            <w:pPr>
              <w:pStyle w:val="13"/>
            </w:pPr>
            <w:r>
              <w:t>一般行政管理事务</w:t>
            </w:r>
          </w:p>
        </w:tc>
        <w:tc>
          <w:tcPr>
            <w:tcW w:w="1361" w:type="dxa"/>
            <w:vAlign w:val="center"/>
          </w:tcPr>
          <w:p>
            <w:pPr>
              <w:pStyle w:val="12"/>
            </w:pPr>
            <w:r>
              <w:t>25.59</w:t>
            </w:r>
          </w:p>
        </w:tc>
        <w:tc>
          <w:tcPr>
            <w:tcW w:w="1361" w:type="dxa"/>
            <w:vAlign w:val="center"/>
          </w:tcPr>
          <w:p>
            <w:pPr>
              <w:pStyle w:val="12"/>
            </w:pPr>
          </w:p>
        </w:tc>
        <w:tc>
          <w:tcPr>
            <w:tcW w:w="1361" w:type="dxa"/>
            <w:vAlign w:val="center"/>
          </w:tcPr>
          <w:p>
            <w:pPr>
              <w:pStyle w:val="12"/>
            </w:pPr>
            <w:r>
              <w:t>25.59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2013750</w:t>
            </w:r>
          </w:p>
        </w:tc>
        <w:tc>
          <w:tcPr>
            <w:tcW w:w="4535" w:type="dxa"/>
            <w:vAlign w:val="center"/>
          </w:tcPr>
          <w:p>
            <w:pPr>
              <w:pStyle w:val="13"/>
            </w:pPr>
            <w:r>
              <w:t>事业运行</w:t>
            </w:r>
          </w:p>
        </w:tc>
        <w:tc>
          <w:tcPr>
            <w:tcW w:w="1361" w:type="dxa"/>
            <w:vAlign w:val="center"/>
          </w:tcPr>
          <w:p>
            <w:pPr>
              <w:pStyle w:val="12"/>
            </w:pPr>
            <w:r>
              <w:t>73.86</w:t>
            </w:r>
          </w:p>
        </w:tc>
        <w:tc>
          <w:tcPr>
            <w:tcW w:w="1361" w:type="dxa"/>
            <w:vAlign w:val="center"/>
          </w:tcPr>
          <w:p>
            <w:pPr>
              <w:pStyle w:val="12"/>
            </w:pPr>
            <w:r>
              <w:t>73.86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22.21</w:t>
            </w:r>
          </w:p>
        </w:tc>
        <w:tc>
          <w:tcPr>
            <w:tcW w:w="1361" w:type="dxa"/>
            <w:vAlign w:val="center"/>
          </w:tcPr>
          <w:p>
            <w:pPr>
              <w:pStyle w:val="12"/>
            </w:pPr>
            <w:r>
              <w:t>22.21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22.21</w:t>
            </w:r>
          </w:p>
        </w:tc>
        <w:tc>
          <w:tcPr>
            <w:tcW w:w="1361" w:type="dxa"/>
            <w:vAlign w:val="center"/>
          </w:tcPr>
          <w:p>
            <w:pPr>
              <w:pStyle w:val="12"/>
            </w:pPr>
            <w:r>
              <w:t>22.21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0.09</w:t>
            </w:r>
          </w:p>
        </w:tc>
        <w:tc>
          <w:tcPr>
            <w:tcW w:w="1361" w:type="dxa"/>
            <w:vAlign w:val="center"/>
          </w:tcPr>
          <w:p>
            <w:pPr>
              <w:pStyle w:val="12"/>
            </w:pPr>
            <w:r>
              <w:t>0.09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3.32</w:t>
            </w:r>
          </w:p>
        </w:tc>
        <w:tc>
          <w:tcPr>
            <w:tcW w:w="1361" w:type="dxa"/>
            <w:vAlign w:val="center"/>
          </w:tcPr>
          <w:p>
            <w:pPr>
              <w:pStyle w:val="12"/>
            </w:pPr>
            <w:r>
              <w:t>3.32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18.80</w:t>
            </w:r>
          </w:p>
        </w:tc>
        <w:tc>
          <w:tcPr>
            <w:tcW w:w="1361" w:type="dxa"/>
            <w:vAlign w:val="center"/>
          </w:tcPr>
          <w:p>
            <w:pPr>
              <w:pStyle w:val="12"/>
            </w:pPr>
            <w:r>
              <w:t>18.80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6.41</w:t>
            </w:r>
          </w:p>
        </w:tc>
        <w:tc>
          <w:tcPr>
            <w:tcW w:w="1361" w:type="dxa"/>
            <w:vAlign w:val="center"/>
          </w:tcPr>
          <w:p>
            <w:pPr>
              <w:pStyle w:val="12"/>
            </w:pPr>
            <w:r>
              <w:t>6.41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6.41</w:t>
            </w:r>
          </w:p>
        </w:tc>
        <w:tc>
          <w:tcPr>
            <w:tcW w:w="1361" w:type="dxa"/>
            <w:vAlign w:val="center"/>
          </w:tcPr>
          <w:p>
            <w:pPr>
              <w:pStyle w:val="12"/>
            </w:pPr>
            <w:r>
              <w:t>6.41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6.41</w:t>
            </w:r>
          </w:p>
        </w:tc>
        <w:tc>
          <w:tcPr>
            <w:tcW w:w="1361" w:type="dxa"/>
            <w:vAlign w:val="center"/>
          </w:tcPr>
          <w:p>
            <w:pPr>
              <w:pStyle w:val="12"/>
            </w:pPr>
            <w:r>
              <w:t>6.41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15.37</w:t>
            </w:r>
          </w:p>
        </w:tc>
        <w:tc>
          <w:tcPr>
            <w:tcW w:w="1361" w:type="dxa"/>
            <w:vAlign w:val="center"/>
          </w:tcPr>
          <w:p>
            <w:pPr>
              <w:pStyle w:val="12"/>
            </w:pPr>
            <w:r>
              <w:t>15.37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15.37</w:t>
            </w:r>
          </w:p>
        </w:tc>
        <w:tc>
          <w:tcPr>
            <w:tcW w:w="1361" w:type="dxa"/>
            <w:vAlign w:val="center"/>
          </w:tcPr>
          <w:p>
            <w:pPr>
              <w:pStyle w:val="12"/>
            </w:pPr>
            <w:r>
              <w:t>15.37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15.37</w:t>
            </w:r>
          </w:p>
        </w:tc>
        <w:tc>
          <w:tcPr>
            <w:tcW w:w="1361" w:type="dxa"/>
            <w:vAlign w:val="center"/>
          </w:tcPr>
          <w:p>
            <w:pPr>
              <w:pStyle w:val="12"/>
            </w:pPr>
            <w:r>
              <w:t>15.37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224中共保定市徐水区委网络安全和信息化委员会办公室</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238.81</w:t>
            </w:r>
          </w:p>
        </w:tc>
        <w:tc>
          <w:tcPr>
            <w:tcW w:w="3402" w:type="dxa"/>
            <w:vAlign w:val="center"/>
          </w:tcPr>
          <w:p>
            <w:pPr>
              <w:pStyle w:val="13"/>
            </w:pPr>
            <w:r>
              <w:t>一、一般公共服务支出</w:t>
            </w:r>
          </w:p>
        </w:tc>
        <w:tc>
          <w:tcPr>
            <w:tcW w:w="1474" w:type="dxa"/>
            <w:vAlign w:val="center"/>
          </w:tcPr>
          <w:p>
            <w:pPr>
              <w:pStyle w:val="12"/>
            </w:pPr>
            <w:r>
              <w:t>194.80</w:t>
            </w:r>
          </w:p>
        </w:tc>
        <w:tc>
          <w:tcPr>
            <w:tcW w:w="1474" w:type="dxa"/>
            <w:vAlign w:val="center"/>
          </w:tcPr>
          <w:p>
            <w:pPr>
              <w:pStyle w:val="12"/>
            </w:pPr>
            <w:r>
              <w:t>194.80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22.21</w:t>
            </w:r>
          </w:p>
        </w:tc>
        <w:tc>
          <w:tcPr>
            <w:tcW w:w="1474" w:type="dxa"/>
            <w:vAlign w:val="center"/>
          </w:tcPr>
          <w:p>
            <w:pPr>
              <w:pStyle w:val="12"/>
            </w:pPr>
            <w:r>
              <w:t>22.21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6.41</w:t>
            </w:r>
          </w:p>
        </w:tc>
        <w:tc>
          <w:tcPr>
            <w:tcW w:w="1474" w:type="dxa"/>
            <w:vAlign w:val="center"/>
          </w:tcPr>
          <w:p>
            <w:pPr>
              <w:pStyle w:val="12"/>
            </w:pPr>
            <w:r>
              <w:t>6.41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15.37</w:t>
            </w:r>
          </w:p>
        </w:tc>
        <w:tc>
          <w:tcPr>
            <w:tcW w:w="1474" w:type="dxa"/>
            <w:vAlign w:val="center"/>
          </w:tcPr>
          <w:p>
            <w:pPr>
              <w:pStyle w:val="12"/>
            </w:pPr>
            <w:r>
              <w:t>15.37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238.81</w:t>
            </w:r>
          </w:p>
        </w:tc>
        <w:tc>
          <w:tcPr>
            <w:tcW w:w="3402" w:type="dxa"/>
            <w:vAlign w:val="center"/>
          </w:tcPr>
          <w:p>
            <w:pPr>
              <w:pStyle w:val="15"/>
            </w:pPr>
            <w:r>
              <w:t>本年支出合计</w:t>
            </w:r>
          </w:p>
        </w:tc>
        <w:tc>
          <w:tcPr>
            <w:tcW w:w="1474" w:type="dxa"/>
            <w:vAlign w:val="center"/>
          </w:tcPr>
          <w:p>
            <w:pPr>
              <w:pStyle w:val="16"/>
            </w:pPr>
            <w:r>
              <w:t>238.81</w:t>
            </w:r>
          </w:p>
        </w:tc>
        <w:tc>
          <w:tcPr>
            <w:tcW w:w="1474" w:type="dxa"/>
            <w:vAlign w:val="center"/>
          </w:tcPr>
          <w:p>
            <w:pPr>
              <w:pStyle w:val="16"/>
            </w:pPr>
            <w:r>
              <w:t>238.81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238.81</w:t>
            </w:r>
          </w:p>
        </w:tc>
        <w:tc>
          <w:tcPr>
            <w:tcW w:w="3402" w:type="dxa"/>
            <w:vAlign w:val="center"/>
          </w:tcPr>
          <w:p>
            <w:pPr>
              <w:pStyle w:val="15"/>
            </w:pPr>
            <w:r>
              <w:t>支出总计</w:t>
            </w:r>
          </w:p>
        </w:tc>
        <w:tc>
          <w:tcPr>
            <w:tcW w:w="1474" w:type="dxa"/>
            <w:vAlign w:val="center"/>
          </w:tcPr>
          <w:p>
            <w:pPr>
              <w:pStyle w:val="16"/>
            </w:pPr>
            <w:r>
              <w:t>238.81</w:t>
            </w:r>
          </w:p>
        </w:tc>
        <w:tc>
          <w:tcPr>
            <w:tcW w:w="1474" w:type="dxa"/>
            <w:vAlign w:val="center"/>
          </w:tcPr>
          <w:p>
            <w:pPr>
              <w:pStyle w:val="16"/>
            </w:pPr>
            <w:r>
              <w:t>238.81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224中共保定市徐水区委网络安全和信息化委员会办公室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238.81</w:t>
            </w:r>
          </w:p>
        </w:tc>
        <w:tc>
          <w:tcPr>
            <w:tcW w:w="2551" w:type="dxa"/>
            <w:vAlign w:val="center"/>
          </w:tcPr>
          <w:p>
            <w:pPr>
              <w:pStyle w:val="16"/>
            </w:pPr>
            <w:r>
              <w:t>213.22</w:t>
            </w:r>
          </w:p>
        </w:tc>
        <w:tc>
          <w:tcPr>
            <w:tcW w:w="2551" w:type="dxa"/>
            <w:vAlign w:val="center"/>
          </w:tcPr>
          <w:p>
            <w:pPr>
              <w:pStyle w:val="16"/>
            </w:pPr>
            <w:r>
              <w:t>25.59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194.80</w:t>
            </w:r>
          </w:p>
        </w:tc>
        <w:tc>
          <w:tcPr>
            <w:tcW w:w="2551" w:type="dxa"/>
            <w:vAlign w:val="center"/>
          </w:tcPr>
          <w:p>
            <w:pPr>
              <w:pStyle w:val="12"/>
            </w:pPr>
            <w:r>
              <w:t>169.21</w:t>
            </w:r>
          </w:p>
        </w:tc>
        <w:tc>
          <w:tcPr>
            <w:tcW w:w="2551" w:type="dxa"/>
            <w:vAlign w:val="center"/>
          </w:tcPr>
          <w:p>
            <w:pPr>
              <w:pStyle w:val="12"/>
            </w:pPr>
            <w:r>
              <w:t>25.59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20137</w:t>
            </w:r>
          </w:p>
        </w:tc>
        <w:tc>
          <w:tcPr>
            <w:tcW w:w="4535" w:type="dxa"/>
            <w:vAlign w:val="center"/>
          </w:tcPr>
          <w:p>
            <w:pPr>
              <w:pStyle w:val="13"/>
            </w:pPr>
            <w:r>
              <w:t>网信事务</w:t>
            </w:r>
          </w:p>
        </w:tc>
        <w:tc>
          <w:tcPr>
            <w:tcW w:w="2551" w:type="dxa"/>
            <w:vAlign w:val="center"/>
          </w:tcPr>
          <w:p>
            <w:pPr>
              <w:pStyle w:val="12"/>
            </w:pPr>
            <w:r>
              <w:t>194.80</w:t>
            </w:r>
          </w:p>
        </w:tc>
        <w:tc>
          <w:tcPr>
            <w:tcW w:w="2551" w:type="dxa"/>
            <w:vAlign w:val="center"/>
          </w:tcPr>
          <w:p>
            <w:pPr>
              <w:pStyle w:val="12"/>
            </w:pPr>
            <w:r>
              <w:t>169.21</w:t>
            </w:r>
          </w:p>
        </w:tc>
        <w:tc>
          <w:tcPr>
            <w:tcW w:w="2551" w:type="dxa"/>
            <w:vAlign w:val="center"/>
          </w:tcPr>
          <w:p>
            <w:pPr>
              <w:pStyle w:val="12"/>
            </w:pPr>
            <w:r>
              <w:t>25.59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2013701</w:t>
            </w:r>
          </w:p>
        </w:tc>
        <w:tc>
          <w:tcPr>
            <w:tcW w:w="4535" w:type="dxa"/>
            <w:vAlign w:val="center"/>
          </w:tcPr>
          <w:p>
            <w:pPr>
              <w:pStyle w:val="13"/>
            </w:pPr>
            <w:r>
              <w:t>行政运行</w:t>
            </w:r>
          </w:p>
        </w:tc>
        <w:tc>
          <w:tcPr>
            <w:tcW w:w="2551" w:type="dxa"/>
            <w:vAlign w:val="center"/>
          </w:tcPr>
          <w:p>
            <w:pPr>
              <w:pStyle w:val="12"/>
            </w:pPr>
            <w:r>
              <w:t>95.35</w:t>
            </w:r>
          </w:p>
        </w:tc>
        <w:tc>
          <w:tcPr>
            <w:tcW w:w="2551" w:type="dxa"/>
            <w:vAlign w:val="center"/>
          </w:tcPr>
          <w:p>
            <w:pPr>
              <w:pStyle w:val="12"/>
            </w:pPr>
            <w:r>
              <w:t>95.35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2013702</w:t>
            </w:r>
          </w:p>
        </w:tc>
        <w:tc>
          <w:tcPr>
            <w:tcW w:w="4535" w:type="dxa"/>
            <w:vAlign w:val="center"/>
          </w:tcPr>
          <w:p>
            <w:pPr>
              <w:pStyle w:val="13"/>
            </w:pPr>
            <w:r>
              <w:t>一般行政管理事务</w:t>
            </w:r>
          </w:p>
        </w:tc>
        <w:tc>
          <w:tcPr>
            <w:tcW w:w="2551" w:type="dxa"/>
            <w:vAlign w:val="center"/>
          </w:tcPr>
          <w:p>
            <w:pPr>
              <w:pStyle w:val="12"/>
            </w:pPr>
            <w:r>
              <w:t>25.59</w:t>
            </w:r>
          </w:p>
        </w:tc>
        <w:tc>
          <w:tcPr>
            <w:tcW w:w="2551" w:type="dxa"/>
            <w:vAlign w:val="center"/>
          </w:tcPr>
          <w:p>
            <w:pPr>
              <w:pStyle w:val="12"/>
            </w:pPr>
          </w:p>
        </w:tc>
        <w:tc>
          <w:tcPr>
            <w:tcW w:w="2551" w:type="dxa"/>
            <w:vAlign w:val="center"/>
          </w:tcPr>
          <w:p>
            <w:pPr>
              <w:pStyle w:val="12"/>
            </w:pPr>
            <w:r>
              <w:t>25.59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2013750</w:t>
            </w:r>
          </w:p>
        </w:tc>
        <w:tc>
          <w:tcPr>
            <w:tcW w:w="4535" w:type="dxa"/>
            <w:vAlign w:val="center"/>
          </w:tcPr>
          <w:p>
            <w:pPr>
              <w:pStyle w:val="13"/>
            </w:pPr>
            <w:r>
              <w:t>事业运行</w:t>
            </w:r>
          </w:p>
        </w:tc>
        <w:tc>
          <w:tcPr>
            <w:tcW w:w="2551" w:type="dxa"/>
            <w:vAlign w:val="center"/>
          </w:tcPr>
          <w:p>
            <w:pPr>
              <w:pStyle w:val="12"/>
            </w:pPr>
            <w:r>
              <w:t>73.86</w:t>
            </w:r>
          </w:p>
        </w:tc>
        <w:tc>
          <w:tcPr>
            <w:tcW w:w="2551" w:type="dxa"/>
            <w:vAlign w:val="center"/>
          </w:tcPr>
          <w:p>
            <w:pPr>
              <w:pStyle w:val="12"/>
            </w:pPr>
            <w:r>
              <w:t>73.86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22.21</w:t>
            </w:r>
          </w:p>
        </w:tc>
        <w:tc>
          <w:tcPr>
            <w:tcW w:w="2551" w:type="dxa"/>
            <w:vAlign w:val="center"/>
          </w:tcPr>
          <w:p>
            <w:pPr>
              <w:pStyle w:val="12"/>
            </w:pPr>
            <w:r>
              <w:t>22.21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22.21</w:t>
            </w:r>
          </w:p>
        </w:tc>
        <w:tc>
          <w:tcPr>
            <w:tcW w:w="2551" w:type="dxa"/>
            <w:vAlign w:val="center"/>
          </w:tcPr>
          <w:p>
            <w:pPr>
              <w:pStyle w:val="12"/>
            </w:pPr>
            <w:r>
              <w:t>22.21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0.09</w:t>
            </w:r>
          </w:p>
        </w:tc>
        <w:tc>
          <w:tcPr>
            <w:tcW w:w="2551" w:type="dxa"/>
            <w:vAlign w:val="center"/>
          </w:tcPr>
          <w:p>
            <w:pPr>
              <w:pStyle w:val="12"/>
            </w:pPr>
            <w:r>
              <w:t>0.09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3.32</w:t>
            </w:r>
          </w:p>
        </w:tc>
        <w:tc>
          <w:tcPr>
            <w:tcW w:w="2551" w:type="dxa"/>
            <w:vAlign w:val="center"/>
          </w:tcPr>
          <w:p>
            <w:pPr>
              <w:pStyle w:val="12"/>
            </w:pPr>
            <w:r>
              <w:t>3.32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18.80</w:t>
            </w:r>
          </w:p>
        </w:tc>
        <w:tc>
          <w:tcPr>
            <w:tcW w:w="2551" w:type="dxa"/>
            <w:vAlign w:val="center"/>
          </w:tcPr>
          <w:p>
            <w:pPr>
              <w:pStyle w:val="12"/>
            </w:pPr>
            <w:r>
              <w:t>18.80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6.41</w:t>
            </w:r>
          </w:p>
        </w:tc>
        <w:tc>
          <w:tcPr>
            <w:tcW w:w="2551" w:type="dxa"/>
            <w:vAlign w:val="center"/>
          </w:tcPr>
          <w:p>
            <w:pPr>
              <w:pStyle w:val="12"/>
            </w:pPr>
            <w:r>
              <w:t>6.41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6.41</w:t>
            </w:r>
          </w:p>
        </w:tc>
        <w:tc>
          <w:tcPr>
            <w:tcW w:w="2551" w:type="dxa"/>
            <w:vAlign w:val="center"/>
          </w:tcPr>
          <w:p>
            <w:pPr>
              <w:pStyle w:val="12"/>
            </w:pPr>
            <w:r>
              <w:t>6.41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6.41</w:t>
            </w:r>
          </w:p>
        </w:tc>
        <w:tc>
          <w:tcPr>
            <w:tcW w:w="2551" w:type="dxa"/>
            <w:vAlign w:val="center"/>
          </w:tcPr>
          <w:p>
            <w:pPr>
              <w:pStyle w:val="12"/>
            </w:pPr>
            <w:r>
              <w:t>6.41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15.37</w:t>
            </w:r>
          </w:p>
        </w:tc>
        <w:tc>
          <w:tcPr>
            <w:tcW w:w="2551" w:type="dxa"/>
            <w:vAlign w:val="center"/>
          </w:tcPr>
          <w:p>
            <w:pPr>
              <w:pStyle w:val="12"/>
            </w:pPr>
            <w:r>
              <w:t>15.37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15.37</w:t>
            </w:r>
          </w:p>
        </w:tc>
        <w:tc>
          <w:tcPr>
            <w:tcW w:w="2551" w:type="dxa"/>
            <w:vAlign w:val="center"/>
          </w:tcPr>
          <w:p>
            <w:pPr>
              <w:pStyle w:val="12"/>
            </w:pPr>
            <w:r>
              <w:t>15.37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15.37</w:t>
            </w:r>
          </w:p>
        </w:tc>
        <w:tc>
          <w:tcPr>
            <w:tcW w:w="2551" w:type="dxa"/>
            <w:vAlign w:val="center"/>
          </w:tcPr>
          <w:p>
            <w:pPr>
              <w:pStyle w:val="12"/>
            </w:pPr>
            <w:r>
              <w:t>15.37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224中共保定市徐水区委网络安全和信息化委员会办公室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213.22</w:t>
            </w:r>
          </w:p>
        </w:tc>
        <w:tc>
          <w:tcPr>
            <w:tcW w:w="2551" w:type="dxa"/>
            <w:vAlign w:val="center"/>
          </w:tcPr>
          <w:p>
            <w:pPr>
              <w:pStyle w:val="16"/>
            </w:pPr>
            <w:r>
              <w:t>197.39</w:t>
            </w:r>
          </w:p>
        </w:tc>
        <w:tc>
          <w:tcPr>
            <w:tcW w:w="2551" w:type="dxa"/>
            <w:vAlign w:val="center"/>
          </w:tcPr>
          <w:p>
            <w:pPr>
              <w:pStyle w:val="16"/>
            </w:pPr>
            <w:r>
              <w:t>15.82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194.07</w:t>
            </w:r>
          </w:p>
        </w:tc>
        <w:tc>
          <w:tcPr>
            <w:tcW w:w="2551" w:type="dxa"/>
            <w:vAlign w:val="center"/>
          </w:tcPr>
          <w:p>
            <w:pPr>
              <w:pStyle w:val="12"/>
            </w:pPr>
            <w:r>
              <w:t>194.07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68.93</w:t>
            </w:r>
          </w:p>
        </w:tc>
        <w:tc>
          <w:tcPr>
            <w:tcW w:w="2551" w:type="dxa"/>
            <w:vAlign w:val="center"/>
          </w:tcPr>
          <w:p>
            <w:pPr>
              <w:pStyle w:val="12"/>
            </w:pPr>
            <w:r>
              <w:t>68.93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28.29</w:t>
            </w:r>
          </w:p>
        </w:tc>
        <w:tc>
          <w:tcPr>
            <w:tcW w:w="2551" w:type="dxa"/>
            <w:vAlign w:val="center"/>
          </w:tcPr>
          <w:p>
            <w:pPr>
              <w:pStyle w:val="12"/>
            </w:pPr>
            <w:r>
              <w:t>28.29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18.00</w:t>
            </w:r>
          </w:p>
        </w:tc>
        <w:tc>
          <w:tcPr>
            <w:tcW w:w="2551" w:type="dxa"/>
            <w:vAlign w:val="center"/>
          </w:tcPr>
          <w:p>
            <w:pPr>
              <w:pStyle w:val="12"/>
            </w:pPr>
            <w:r>
              <w:t>18.00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37.43</w:t>
            </w:r>
          </w:p>
        </w:tc>
        <w:tc>
          <w:tcPr>
            <w:tcW w:w="2551" w:type="dxa"/>
            <w:vAlign w:val="center"/>
          </w:tcPr>
          <w:p>
            <w:pPr>
              <w:pStyle w:val="12"/>
            </w:pPr>
            <w:r>
              <w:t>37.43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18.80</w:t>
            </w:r>
          </w:p>
        </w:tc>
        <w:tc>
          <w:tcPr>
            <w:tcW w:w="2551" w:type="dxa"/>
            <w:vAlign w:val="center"/>
          </w:tcPr>
          <w:p>
            <w:pPr>
              <w:pStyle w:val="12"/>
            </w:pPr>
            <w:r>
              <w:t>18.80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6.41</w:t>
            </w:r>
          </w:p>
        </w:tc>
        <w:tc>
          <w:tcPr>
            <w:tcW w:w="2551" w:type="dxa"/>
            <w:vAlign w:val="center"/>
          </w:tcPr>
          <w:p>
            <w:pPr>
              <w:pStyle w:val="12"/>
            </w:pPr>
            <w:r>
              <w:t>6.41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0.84</w:t>
            </w:r>
          </w:p>
        </w:tc>
        <w:tc>
          <w:tcPr>
            <w:tcW w:w="2551" w:type="dxa"/>
            <w:vAlign w:val="center"/>
          </w:tcPr>
          <w:p>
            <w:pPr>
              <w:pStyle w:val="12"/>
            </w:pPr>
            <w:r>
              <w:t>0.84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15.37</w:t>
            </w:r>
          </w:p>
        </w:tc>
        <w:tc>
          <w:tcPr>
            <w:tcW w:w="2551" w:type="dxa"/>
            <w:vAlign w:val="center"/>
          </w:tcPr>
          <w:p>
            <w:pPr>
              <w:pStyle w:val="12"/>
            </w:pPr>
            <w:r>
              <w:t>15.37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15.82</w:t>
            </w:r>
          </w:p>
        </w:tc>
        <w:tc>
          <w:tcPr>
            <w:tcW w:w="2551" w:type="dxa"/>
            <w:vAlign w:val="center"/>
          </w:tcPr>
          <w:p>
            <w:pPr>
              <w:pStyle w:val="12"/>
            </w:pPr>
          </w:p>
        </w:tc>
        <w:tc>
          <w:tcPr>
            <w:tcW w:w="2551" w:type="dxa"/>
            <w:vAlign w:val="center"/>
          </w:tcPr>
          <w:p>
            <w:pPr>
              <w:pStyle w:val="12"/>
            </w:pPr>
            <w:r>
              <w:t>15.82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3.24</w:t>
            </w:r>
          </w:p>
        </w:tc>
        <w:tc>
          <w:tcPr>
            <w:tcW w:w="2551" w:type="dxa"/>
            <w:vAlign w:val="center"/>
          </w:tcPr>
          <w:p>
            <w:pPr>
              <w:pStyle w:val="12"/>
            </w:pPr>
          </w:p>
        </w:tc>
        <w:tc>
          <w:tcPr>
            <w:tcW w:w="2551" w:type="dxa"/>
            <w:vAlign w:val="center"/>
          </w:tcPr>
          <w:p>
            <w:pPr>
              <w:pStyle w:val="12"/>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2.40</w:t>
            </w:r>
          </w:p>
        </w:tc>
        <w:tc>
          <w:tcPr>
            <w:tcW w:w="2551" w:type="dxa"/>
            <w:vAlign w:val="center"/>
          </w:tcPr>
          <w:p>
            <w:pPr>
              <w:pStyle w:val="12"/>
            </w:pPr>
          </w:p>
        </w:tc>
        <w:tc>
          <w:tcPr>
            <w:tcW w:w="2551" w:type="dxa"/>
            <w:vAlign w:val="center"/>
          </w:tcPr>
          <w:p>
            <w:pPr>
              <w:pStyle w:val="12"/>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1.91</w:t>
            </w:r>
          </w:p>
        </w:tc>
        <w:tc>
          <w:tcPr>
            <w:tcW w:w="2551" w:type="dxa"/>
            <w:vAlign w:val="center"/>
          </w:tcPr>
          <w:p>
            <w:pPr>
              <w:pStyle w:val="12"/>
            </w:pPr>
          </w:p>
        </w:tc>
        <w:tc>
          <w:tcPr>
            <w:tcW w:w="2551" w:type="dxa"/>
            <w:vAlign w:val="center"/>
          </w:tcPr>
          <w:p>
            <w:pPr>
              <w:pStyle w:val="12"/>
            </w:pPr>
            <w:r>
              <w:t>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2.35</w:t>
            </w:r>
          </w:p>
        </w:tc>
        <w:tc>
          <w:tcPr>
            <w:tcW w:w="2551" w:type="dxa"/>
            <w:vAlign w:val="center"/>
          </w:tcPr>
          <w:p>
            <w:pPr>
              <w:pStyle w:val="12"/>
            </w:pPr>
          </w:p>
        </w:tc>
        <w:tc>
          <w:tcPr>
            <w:tcW w:w="2551" w:type="dxa"/>
            <w:vAlign w:val="center"/>
          </w:tcPr>
          <w:p>
            <w:pPr>
              <w:pStyle w:val="12"/>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2.32</w:t>
            </w:r>
          </w:p>
        </w:tc>
        <w:tc>
          <w:tcPr>
            <w:tcW w:w="2551" w:type="dxa"/>
            <w:vAlign w:val="center"/>
          </w:tcPr>
          <w:p>
            <w:pPr>
              <w:pStyle w:val="12"/>
            </w:pPr>
          </w:p>
        </w:tc>
        <w:tc>
          <w:tcPr>
            <w:tcW w:w="2551" w:type="dxa"/>
            <w:vAlign w:val="center"/>
          </w:tcPr>
          <w:p>
            <w:pPr>
              <w:pStyle w:val="12"/>
            </w:pPr>
            <w:r>
              <w:t>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3.32</w:t>
            </w:r>
          </w:p>
        </w:tc>
        <w:tc>
          <w:tcPr>
            <w:tcW w:w="2551" w:type="dxa"/>
            <w:vAlign w:val="center"/>
          </w:tcPr>
          <w:p>
            <w:pPr>
              <w:pStyle w:val="12"/>
            </w:pPr>
            <w:r>
              <w:t>3.32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3.32</w:t>
            </w:r>
          </w:p>
        </w:tc>
        <w:tc>
          <w:tcPr>
            <w:tcW w:w="2551" w:type="dxa"/>
            <w:vAlign w:val="center"/>
          </w:tcPr>
          <w:p>
            <w:pPr>
              <w:pStyle w:val="12"/>
            </w:pPr>
            <w:r>
              <w:t>3.32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224中共保定市徐水区委网络安全和信息化委员会办公室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224中共保定市徐水区委网络安全和信息化委员会办公室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224中共保定市徐水区委网络安全和信息化委员会办公室</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2.35</w:t>
            </w:r>
          </w:p>
        </w:tc>
        <w:tc>
          <w:tcPr>
            <w:tcW w:w="2381" w:type="dxa"/>
            <w:vAlign w:val="center"/>
          </w:tcPr>
          <w:p>
            <w:pPr>
              <w:pStyle w:val="16"/>
            </w:pPr>
            <w:r>
              <w:t>2.35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中共保定市徐水区委网络安全和信息化委员会办公室2026年部门预算信息公开情况说明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中共保定市徐水区委网络安全和信息化委员会办公室2026年部门预算信息公开情况说明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按照《中华人民共和国预算法》、《地方预决算公开操作规程》和《关于进一步推进预算公开工作的实施意见》规定，现将中共保定市徐水区委网络安全和信息化委员会办公室2026年部门预算公开如下：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中共保定市徐水区委网络安全和信息化委员会办公室职能配置、内设机构和人员编制规定》，中共保定市徐水区委网络安全和信息化委员会办公室的主要职责是：（一）负责处理区委网络安全和信息化委员会日常事务工作，协调督促有关方面落实委员会的有关决定事项、工作部署和要求，组织开展对涉及我区政府、经济、文化、社会、生态及军事等各个领域的网络安全和信息化重大问题研究，向委员会提出工作建议；（二）组织研究起草我区网络安全和信息化发展战略、宏观规划和重大政策；统筹推进全区网络安全和信息化法治、标准建设，根据职责权限负责相关规划的起草、实施和监督检查，根据职责权限推动落实网络安全和信息化领域国家标准并监督实施；依法完善与信息化相关的统计调查制度；统筹协调全区网络安全保障体系和可信体系建设；（三）督促落实我区涉及政治、经济、文化、社会、生态及军事等各个领域的网络安全和信息化重大事项；负责协调处置网络安全和信息化重大突发事件与有关应急工作；负责全区互联网信息内容管理；负责指导协调全区网络舆情信息工作；推动全区网络阵地建设和重点新闻网站规划建设；推动全区网络社会工作和网络文化、网络文明建设；发展、联系、服务网络社会组织，指导互联网行业自律，推进网站党建工作；落实国家互联网信息服务资本准入和信息网络行业安全审查的有关政策；（四）协调推进全区信息网络行业自主创新和发展；规划指导区内机构开展金融信息服务业务；组织拟订网络安全和信息化干部人才队伍发展规划，组织开展网信系统干部教育培训和人才队伍建设，规划指导全区互联网信息服务从业人员教育培训和考评工作，组织开展网络媒介素养教育；（五）组织开展相关领域国内国际交流与合作；指导、检查、推动各乡镇和有关部门网络安全和信息化工作；完成上级网信办和区委、区政府及区委网络安全和信息化委员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中共保定市徐水区委网络安全和信息化委员会办公室本级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按照预算管理有关规定，目前部门预算的编制实行综合预算管理，即全部收入和支出都反映在预算中。中共保定市徐水区委网络安全和信息化委员会办公室机关及所属事业单位的收支包含在部门预算中。</w:t>
      </w:r>
    </w:p>
    <w:p>
      <w:pPr>
        <w:pStyle w:val="19"/>
      </w:pPr>
      <w:r>
        <w:t>1、收入说明</w:t>
      </w:r>
    </w:p>
    <w:p>
      <w:pPr>
        <w:pStyle w:val="19"/>
      </w:pPr>
      <w:r>
        <w:t>反映本部门当年全部收入。2026年预算收入238.81万元，其中：一般公共预算收入238.81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共保定市徐水区委网络安全和信息化委员会办公室年度部门预算中支出预算的总体情况。2026年支出预算238.81万元，其中基本支出213.22万元，包括人员经费197.39万元和日常公用经费15.82万元；项目支出25.59万元，主要为机关运行保障经费和政务外网防漏洞扫描；预计下年使用的单位资金结余0.00万元。委托业务费共计安排12.00万元，主要用于因技术原因确需对外委托的辅助性工作和确有必要对外委托开展咨询、评审、规划等工作。</w:t>
      </w:r>
    </w:p>
    <w:p>
      <w:pPr>
        <w:pStyle w:val="19"/>
      </w:pPr>
      <w:r>
        <w:t>3、比上年增减情况</w:t>
      </w:r>
    </w:p>
    <w:p>
      <w:pPr>
        <w:pStyle w:val="19"/>
      </w:pPr>
      <w:r>
        <w:t>2026年预算收支安排238.81万元，较2025年预算增加10.99万元，其中：基本支出增加10.99万元，主要为2025年年初进行工资调整，且我单位有新调入人员1人。项目支出增加0.00万元，主要为根据2025年实际支出，申报2026年项目预算。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2026年，我部门机关运行经费共计安排15.82万元，主要用于日常维修、办公用房水电费、办公用房取暖费、办公用房物业管理费等日常运行支出。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2.35万元，其中因公出国（境）费0.00万元；公务用车购置及运维费2.35万元（其中：公务用车购置费为0.00万元，公务用车运维费2.35万元)；公务接待费0.00万元。与2025年相比减少0.08万元，增减变化的主要原因是根据财政相关要求，本年度公务用车运维费减少。</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根据《中共保定市徐水区委网络安全和信息化委员会办公室职能配置、内设机构和人员编制规定》， 中共保定市徐水区委网络安全和信息化委员会办公室的主要职责是：</w:t>
      </w:r>
    </w:p>
    <w:p>
      <w:pPr>
        <w:pStyle w:val="22"/>
      </w:pPr>
      <w:r>
        <w:t>主要包括：负责处理区委网络安全和信息化委员会日常事务工作，协调督促有关方面落实委员会的有关决定事项、工作部署和要求，组织开展对涉及我区政府、经济、文化、社会、生态及军事等各个领域的网络安全和信息化重大问题研究，向委员会提出工作建议；组织研究起草我区网络安全和信息化发展战略、宏观规划和重大政策；统筹推进全区网络安全和信息化法治、标准建设，根据职责权限负责相关规划的起草、实施和监督检查，根据职责权限推动落实网络安全和信息化领域国家标准并监督实施；依法完善与信息化相关的统计调查制度；统筹协调全区网络安全保障体系和可信体系建设；督促落实我区涉及政治、经济、文化、社会、生态及军事等各个领域的网络安全和信息化重大事项；负责协调处置网络安全和信息化重大突发事件与有关应急工作；负责全区互联网信息内容管理；负责指导协调全区网络舆情信息工作；推动全区网络阵地建设和重点新闻网站规划建设；推动全区网络社会工作和网络文化、网络文明建设；发展、联系、服务网络社会组织，指导互联网行业自律，推进网站党建工作；落实国家互联网信息服务资本准入和信息网络行业安全审查的有关政策；协调推进全区信息网络行业自主创新和发展；规划指导区内机构开展金融信息服务业务；组织拟订网络安全和信息化干部人才队伍发展规划，组织开展网信系统干部教育培训和人才队伍建设，规划指导全区互联网信息服务从业人员教育培训和考评工作，组织开展网络媒介素养教育；组织开展相关领域国内国际交流与合作；指导、检查、推动各乡镇和有关部门网络安全和信息化工作；完成上级网信办和区委、区政府及区委网络安全和信息化委员会交办的其他任务。</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1.职能体系持续完善</w:t>
      </w:r>
    </w:p>
    <w:p>
      <w:pPr>
        <w:pStyle w:val="23"/>
      </w:pPr>
      <w:r>
        <w:t>绩效目标：负责处理区委网络安全和信息化委员会日常事务工作，协调督促有关方面落实委员会的有关决定事项、工作部署和要求，组织开展对涉及我区政府、经济、文化、社会、生态及军事等各个领域的网络安全和信息化重大问题研究，向委员会提出工作建议。</w:t>
      </w:r>
      <w:r>
        <w:tab/>
      </w:r>
      <w:r>
        <w:tab/>
      </w:r>
    </w:p>
    <w:p>
      <w:pPr>
        <w:pStyle w:val="23"/>
      </w:pPr>
      <w:r>
        <w:t>绩效指标：完成各项综合事务完成占年度工作总量的比例达到100%；组织研究起草我区网络安全和信息化发展战略、宏观规划和重大政策；统筹推进全区网络安全和信息化法治、标准建设，根据职责权限负责相关规划的起草、实施和监督检查，根据职责权限推动落实网络安全和信息化领域国家标准并监督实施；依法完善与信息化相关的统计调查制度；统筹协调全区网络安全保障体系和可信体系建设；</w:t>
      </w:r>
    </w:p>
    <w:p>
      <w:pPr>
        <w:pStyle w:val="23"/>
      </w:pPr>
      <w:r>
        <w:t>2.网络安全协调发展</w:t>
      </w:r>
    </w:p>
    <w:p>
      <w:pPr>
        <w:pStyle w:val="23"/>
      </w:pPr>
      <w:r>
        <w:t>绩效目标：督促落实我区涉及政治、经济、文化、社会、生态及军事等各个领域的网络安全和信息化重大事项；负责协调处置网络安全和信息化重大突发事件与有关应急工作；负责全区互联网信息内容管理；负责指导协调全区网络舆情信息工作；</w:t>
      </w:r>
    </w:p>
    <w:p>
      <w:pPr>
        <w:pStyle w:val="23"/>
      </w:pPr>
      <w:r>
        <w:t xml:space="preserve">绩效指标：推动全区网络阵地建设和重点新闻网站规划建设；推动全区网络社会工作和网络文化、网络文明建设；发展、联系、服务网络社会组织，指导互联网行业自律，推进网站党建工作；落实国家互联网信息服务资本准入和信息网络行业安全审查的有关政策；协调推进全区信息网络行业自主创新和发展；规划指导区内机构开展金融信息服务业务；             </w:t>
      </w:r>
    </w:p>
    <w:p>
      <w:pPr>
        <w:pStyle w:val="23"/>
      </w:pPr>
      <w:r>
        <w:t>3.信息化管理更加规范高效</w:t>
      </w:r>
    </w:p>
    <w:p>
      <w:pPr>
        <w:pStyle w:val="23"/>
      </w:pPr>
      <w:r>
        <w:t>绩效目标：组织拟订网络安全和信息化干部人才队伍发展规划，组织开展网信系统干部教育培训和人才队伍建设，规划指导全区互联网信息服务从业人员教育培训和考评工作，组织开展网络媒介素养教育；</w:t>
      </w:r>
    </w:p>
    <w:p>
      <w:pPr>
        <w:pStyle w:val="23"/>
      </w:pPr>
      <w:r>
        <w:t>绩效指标：指导、检查、推动各乡镇和有关部门网络安全和信息化工作；完成上级网信办和区委、区政府及区委网络安全和信息化委员会交办的其他任务。</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加强组织领导，完善绩效制度。成立由网信办主要领导同志任组长的预算绩效工作领导小组，建立统筹协调、分工协作、密切配合、合力推进的工作机制。将事前论证、目标管理、运行监控、绩效评价、结果应用等各项措施，贯穿于预算管理的全过程，建立健全机构编制预算绩效管理制度。围绕年度总体绩效目标和分类绩效目标，细化工作方案，明确责任主体、实施进度监控，确保绩效目标如期完成。</w:t>
      </w:r>
    </w:p>
    <w:p>
      <w:pPr>
        <w:pStyle w:val="24"/>
      </w:pPr>
      <w:r>
        <w:t>2.分解细化责任，狠抓任务落实。按照“谁花钱、谁负责”的原则，明确各股室预算绩效管理职责。充分调动项目主管股室的积极性和主动性，由业务股室负责科学制定分管项目和内容的中期、终期绩效目标和评价指标，动态收集评估数据信息，开展预算绩效中期绩效评估、终期评价，落实整改措施。按照领导小组批示，开展分管项目及内容的预算绩效管理具体工作，实现定项目就要抓绩效、分资金就要管绩效，确保财务与业务工作紧密衔接，相互促进。</w:t>
      </w:r>
    </w:p>
    <w:p>
      <w:pPr>
        <w:pStyle w:val="24"/>
      </w:pPr>
      <w:r>
        <w:t>3.强化预算执行，确保支出进度。强化财政预算执行的刚性约束，及时启动项目和资金支付，加快履行政府采购程序，优化部门预算支出结构，创新财政资金支出思路，合理改进支出方式，确保按照时间节点完成支出任务，提高财政资金使用效率。</w:t>
      </w:r>
    </w:p>
    <w:p>
      <w:pPr>
        <w:pStyle w:val="24"/>
      </w:pPr>
      <w:r>
        <w:t>4.加大公开力度，提升评价效果。借鉴其他单位先进绩效评价经验，成立专门的评价工作小组，制定科学评价办法，对项目资金支出的经济性、效率性以及绩效目标的实现程度全方位评价，及时发现实施中存在的问题，并研究解决对策。评价过程要最大程度地实行信息公开，运用各种有效手段促进预算绩效工作扎实推进，做到程序规范、方法合理、结果可信。</w:t>
      </w:r>
    </w:p>
    <w:p>
      <w:pPr>
        <w:pStyle w:val="24"/>
        <w:sectPr>
          <w:pgSz w:w="16840" w:h="11900" w:orient="landscape"/>
          <w:pgMar w:top="1361" w:right="1020" w:bottom="1361" w:left="1020" w:header="720" w:footer="720" w:gutter="0"/>
          <w:cols w:space="720" w:num="1"/>
        </w:sectPr>
      </w:pPr>
      <w:r>
        <w:t>5.强化培训宣传，提升绩效水平。积极参加绩效管理业务培训，提高全办人员业务素质。通过网络、会议等方式加大宣传力度，强化预算绩效管理意识，营造良好的舆论氛围，提升预算绩效管理科学化水平。</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1、机关运行保障经费绩效目标表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13062526P00002410381F</w:t>
            </w:r>
          </w:p>
        </w:tc>
        <w:tc>
          <w:tcPr>
            <w:tcW w:w="2835" w:type="dxa"/>
            <w:vAlign w:val="center"/>
          </w:tcPr>
          <w:p>
            <w:pPr>
              <w:pStyle w:val="11"/>
            </w:pPr>
            <w:r>
              <w:t>项目名称</w:t>
            </w:r>
          </w:p>
        </w:tc>
        <w:tc>
          <w:tcPr>
            <w:tcW w:w="6095" w:type="dxa"/>
            <w:gridSpan w:val="3"/>
            <w:vAlign w:val="center"/>
          </w:tcPr>
          <w:p>
            <w:pPr>
              <w:pStyle w:val="13"/>
            </w:pPr>
            <w:r>
              <w:t>机关运行保障经费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13.59</w:t>
            </w:r>
          </w:p>
        </w:tc>
        <w:tc>
          <w:tcPr>
            <w:tcW w:w="2835" w:type="dxa"/>
            <w:vAlign w:val="center"/>
          </w:tcPr>
          <w:p>
            <w:pPr>
              <w:pStyle w:val="11"/>
            </w:pPr>
            <w:r>
              <w:t>其中：财政    资金</w:t>
            </w:r>
          </w:p>
        </w:tc>
        <w:tc>
          <w:tcPr>
            <w:tcW w:w="2551" w:type="dxa"/>
            <w:vAlign w:val="center"/>
          </w:tcPr>
          <w:p>
            <w:pPr>
              <w:pStyle w:val="13"/>
            </w:pPr>
            <w:r>
              <w:t>13.59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本项目将用于我办网络舆情监测、网络宣传活动、网络安全演练及办公费支出，根据实际工作安排将分四个季度分别列支预算项目经费。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4.20</w:t>
            </w:r>
          </w:p>
        </w:tc>
        <w:tc>
          <w:tcPr>
            <w:tcW w:w="2835" w:type="dxa"/>
            <w:vAlign w:val="center"/>
          </w:tcPr>
          <w:p>
            <w:pPr>
              <w:pStyle w:val="14"/>
            </w:pPr>
            <w:r>
              <w:t>6.80</w:t>
            </w:r>
          </w:p>
        </w:tc>
        <w:tc>
          <w:tcPr>
            <w:tcW w:w="2551" w:type="dxa"/>
            <w:vAlign w:val="center"/>
          </w:tcPr>
          <w:p>
            <w:pPr>
              <w:pStyle w:val="14"/>
            </w:pPr>
            <w:r>
              <w:t>11.00</w:t>
            </w:r>
          </w:p>
        </w:tc>
        <w:tc>
          <w:tcPr>
            <w:tcW w:w="3544" w:type="dxa"/>
            <w:gridSpan w:val="2"/>
            <w:vAlign w:val="center"/>
          </w:tcPr>
          <w:p>
            <w:pPr>
              <w:pStyle w:val="14"/>
            </w:pPr>
            <w:r>
              <w:t>13.59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1.高度重视意识形态工作，明确工作职责，狠抓工作落实。坚持把学习宣传贯彻习近平新时代中国特色社会主义思想作为重中之重，深入学习</w:t>
            </w:r>
            <w:r>
              <w:rPr>
                <w:rFonts w:hint="eastAsia"/>
                <w:lang w:eastAsia="zh-CN"/>
              </w:rPr>
              <w:t>贯彻</w:t>
            </w:r>
            <w:r>
              <w:t>党的二十大精神及习近平总书记关于网络强国的重要思想。宣传活动开展每年不少于6次。</w:t>
            </w:r>
            <w:r>
              <w:tab/>
            </w:r>
            <w:r>
              <w:tab/>
            </w:r>
            <w:r>
              <w:tab/>
            </w:r>
            <w:r>
              <w:tab/>
            </w:r>
            <w:r>
              <w:tab/>
            </w:r>
          </w:p>
          <w:p>
            <w:pPr>
              <w:pStyle w:val="13"/>
            </w:pPr>
            <w:r>
              <w:t>2.定期开展网络安全演练活动，网络安全宣传周活动，提升全社会网络安全意识；提高舆情研判能力和信息服务水平，及时化解、妥善</w:t>
            </w:r>
            <w:bookmarkStart w:id="20" w:name="_GoBack"/>
            <w:bookmarkEnd w:id="20"/>
            <w:r>
              <w:t>处理有关负面舆情；建立健全网络安全风险评估和应急工作机制，制定网络安全事件应急预案，并定期组织演练。</w:t>
            </w:r>
          </w:p>
          <w:p>
            <w:pPr>
              <w:pStyle w:val="13"/>
            </w:pPr>
            <w:r>
              <w:t>3.资金支付3月份达到30%，6月份达到50%，9月份达到80%，12月底支付完毕。</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组织系列培训宣传活动次数</w:t>
            </w:r>
          </w:p>
        </w:tc>
        <w:tc>
          <w:tcPr>
            <w:tcW w:w="5386" w:type="dxa"/>
            <w:vAlign w:val="center"/>
          </w:tcPr>
          <w:p>
            <w:pPr>
              <w:pStyle w:val="13"/>
            </w:pPr>
            <w:r>
              <w:t>开展网络安全宣传周活动、网络安全演练活动、网络应急演练等活动，进一步推动工作落地落实。</w:t>
            </w:r>
          </w:p>
        </w:tc>
        <w:tc>
          <w:tcPr>
            <w:tcW w:w="2268" w:type="dxa"/>
            <w:vAlign w:val="center"/>
          </w:tcPr>
          <w:p>
            <w:pPr>
              <w:pStyle w:val="13"/>
            </w:pPr>
            <w:r>
              <w:t>≥6次</w:t>
            </w:r>
          </w:p>
        </w:tc>
        <w:tc>
          <w:tcPr>
            <w:tcW w:w="1276" w:type="dxa"/>
            <w:vAlign w:val="center"/>
          </w:tcPr>
          <w:p>
            <w:pPr>
              <w:pStyle w:val="13"/>
            </w:pPr>
            <w:r>
              <w:t>俆办字﹝2019﹞28号中共保定市徐水区委办公室关于印发《中共保定市徐水区委网络安全和信息化委员会办公室职能配置、内设机构和人员编制规定》的通知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系列活动主题符合率</w:t>
            </w:r>
          </w:p>
        </w:tc>
        <w:tc>
          <w:tcPr>
            <w:tcW w:w="5386" w:type="dxa"/>
            <w:vAlign w:val="center"/>
          </w:tcPr>
          <w:p>
            <w:pPr>
              <w:pStyle w:val="13"/>
            </w:pPr>
            <w:r>
              <w:t>做好网上重大主题宣传。在全国防灾减灾日、护士节、全民国家安全教育日、中国航天日、世界地球日、网络中国节等主题活动期间，组织全区政务新媒体做好网上宣传引导工作，制作系列海报，营造风清气正的网络空间。</w:t>
            </w:r>
          </w:p>
        </w:tc>
        <w:tc>
          <w:tcPr>
            <w:tcW w:w="2268" w:type="dxa"/>
            <w:vAlign w:val="center"/>
          </w:tcPr>
          <w:p>
            <w:pPr>
              <w:pStyle w:val="13"/>
            </w:pPr>
            <w:r>
              <w:t>≥95%</w:t>
            </w:r>
          </w:p>
        </w:tc>
        <w:tc>
          <w:tcPr>
            <w:tcW w:w="1276" w:type="dxa"/>
            <w:vAlign w:val="center"/>
          </w:tcPr>
          <w:p>
            <w:pPr>
              <w:pStyle w:val="13"/>
            </w:pPr>
            <w:r>
              <w:t>俆办字﹝2019﹞28号中共保定市徐水区委办公室关于印发《中共保定市徐水区委网络安全和信息化委员会办公室职能配置、内设机构和人员编制规定》的通知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活动举办及时率</w:t>
            </w:r>
          </w:p>
        </w:tc>
        <w:tc>
          <w:tcPr>
            <w:tcW w:w="5386" w:type="dxa"/>
            <w:vAlign w:val="center"/>
          </w:tcPr>
          <w:p>
            <w:pPr>
              <w:pStyle w:val="13"/>
            </w:pPr>
            <w:r>
              <w:t>按照工作安排，预计9月份集中开展网络安全宣传活动，各个节假日进行相应主题宣传；3月份开展网络安全演练活动；6月份开展网络应急演练活动。</w:t>
            </w:r>
          </w:p>
        </w:tc>
        <w:tc>
          <w:tcPr>
            <w:tcW w:w="2268" w:type="dxa"/>
            <w:vAlign w:val="center"/>
          </w:tcPr>
          <w:p>
            <w:pPr>
              <w:pStyle w:val="13"/>
            </w:pPr>
            <w:r>
              <w:t>≥95%</w:t>
            </w:r>
          </w:p>
        </w:tc>
        <w:tc>
          <w:tcPr>
            <w:tcW w:w="1276" w:type="dxa"/>
            <w:vAlign w:val="center"/>
          </w:tcPr>
          <w:p>
            <w:pPr>
              <w:pStyle w:val="13"/>
            </w:pPr>
            <w:r>
              <w:t>俆办字﹝2019﹞28号中共保定市徐水区委办公室关于印发《中共保定市徐水区委网络安全和信息化委员会办公室职能配置、内设机构和人员编制规定》的通知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≤13.59万元</w:t>
            </w:r>
          </w:p>
        </w:tc>
        <w:tc>
          <w:tcPr>
            <w:tcW w:w="1276" w:type="dxa"/>
            <w:vAlign w:val="center"/>
          </w:tcPr>
          <w:p>
            <w:pPr>
              <w:pStyle w:val="13"/>
            </w:pPr>
            <w:r>
              <w:t>俆办字﹝2019﹞28号中共保定市徐水区委办公室关于印发《中共保定市徐水区委网络安全和信息化委员会办公室职能配置、内设机构和人员编制规定》的通知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网络空间环境改善性</w:t>
            </w:r>
          </w:p>
        </w:tc>
        <w:tc>
          <w:tcPr>
            <w:tcW w:w="5386" w:type="dxa"/>
            <w:vAlign w:val="center"/>
          </w:tcPr>
          <w:p>
            <w:pPr>
              <w:pStyle w:val="13"/>
            </w:pPr>
            <w:r>
              <w:t>结合网信工作实际，强化网络管理，狠抓阵地建设，弘扬网络主旋律，凝聚网上正能量。</w:t>
            </w:r>
          </w:p>
        </w:tc>
        <w:tc>
          <w:tcPr>
            <w:tcW w:w="2268" w:type="dxa"/>
            <w:vAlign w:val="center"/>
          </w:tcPr>
          <w:p>
            <w:pPr>
              <w:pStyle w:val="13"/>
            </w:pPr>
            <w:r>
              <w:t>≥50%</w:t>
            </w:r>
          </w:p>
        </w:tc>
        <w:tc>
          <w:tcPr>
            <w:tcW w:w="1276" w:type="dxa"/>
            <w:vAlign w:val="center"/>
          </w:tcPr>
          <w:p>
            <w:pPr>
              <w:pStyle w:val="13"/>
            </w:pPr>
            <w:r>
              <w:t>俆办字﹝2019﹞28号中共保定市徐水区委办公室关于印发《中共保定市徐水区委网络安全和信息化委员会办公室职能配置、内设机构和人员编制规定》的通知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通过调查问卷，分析服务对象的满意度情况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2、政务外网防漏洞扫描绩效目标表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13062526P00002710003W</w:t>
            </w:r>
          </w:p>
        </w:tc>
        <w:tc>
          <w:tcPr>
            <w:tcW w:w="2835" w:type="dxa"/>
            <w:vAlign w:val="center"/>
          </w:tcPr>
          <w:p>
            <w:pPr>
              <w:pStyle w:val="11"/>
            </w:pPr>
            <w:r>
              <w:t>项目名称</w:t>
            </w:r>
          </w:p>
        </w:tc>
        <w:tc>
          <w:tcPr>
            <w:tcW w:w="6095" w:type="dxa"/>
            <w:gridSpan w:val="3"/>
            <w:vAlign w:val="center"/>
          </w:tcPr>
          <w:p>
            <w:pPr>
              <w:pStyle w:val="13"/>
            </w:pPr>
            <w:r>
              <w:t>政务外网防漏洞扫描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本项目是为保障徐水区电子政务外网正常运转，通过委托第三方公司每月进行政务外网防漏洞扫描，及时修复漏洞，保障网络安全。本项目预算金额根据我办工作安排，将分两次进行支付。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6.00</w:t>
            </w:r>
          </w:p>
        </w:tc>
        <w:tc>
          <w:tcPr>
            <w:tcW w:w="2551" w:type="dxa"/>
            <w:vAlign w:val="center"/>
          </w:tcPr>
          <w:p>
            <w:pPr>
              <w:pStyle w:val="14"/>
            </w:pPr>
            <w:r>
              <w:t>6.00</w:t>
            </w:r>
          </w:p>
        </w:tc>
        <w:tc>
          <w:tcPr>
            <w:tcW w:w="3544" w:type="dxa"/>
            <w:gridSpan w:val="2"/>
            <w:vAlign w:val="center"/>
          </w:tcPr>
          <w:p>
            <w:pPr>
              <w:pStyle w:val="14"/>
            </w:pPr>
            <w:r>
              <w:t>12.00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1.对全区区直单位进行网络安全检查，检查主要包括网络安全管理工作情况、服务器、主机、应用安全防护、办公邮箱等情况，发生网络安全事故次数少于1次，督促指导各部门开展常态化网络安全防护。</w:t>
            </w:r>
            <w:r>
              <w:tab/>
            </w:r>
            <w:r>
              <w:tab/>
            </w:r>
            <w:r>
              <w:tab/>
            </w:r>
            <w:r>
              <w:tab/>
            </w:r>
            <w:r>
              <w:tab/>
            </w:r>
          </w:p>
          <w:p>
            <w:pPr>
              <w:pStyle w:val="13"/>
            </w:pPr>
            <w:r>
              <w:t>2.全面增强政务外网安全防御能力，高效精准识别潜在安全威胁，及时修复漏洞。</w:t>
            </w:r>
            <w:r>
              <w:tab/>
            </w:r>
            <w:r>
              <w:tab/>
            </w:r>
            <w:r>
              <w:tab/>
            </w:r>
            <w:r>
              <w:tab/>
            </w:r>
            <w:r>
              <w:tab/>
            </w:r>
          </w:p>
          <w:p>
            <w:pPr>
              <w:pStyle w:val="13"/>
            </w:pPr>
            <w:r>
              <w:t>3.每天漏洞扫描次数不少于3次，认真抓好政务外网防漏洞扫描，做到常监测、勤检查、促稳定，发现问题及时处理，保障网络安全、稳定、有序的运行。</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信息系统漏洞扫描次数</w:t>
            </w:r>
          </w:p>
        </w:tc>
        <w:tc>
          <w:tcPr>
            <w:tcW w:w="5386" w:type="dxa"/>
            <w:vAlign w:val="center"/>
          </w:tcPr>
          <w:p>
            <w:pPr>
              <w:pStyle w:val="13"/>
            </w:pPr>
            <w:r>
              <w:t>反映信息系统漏洞扫描的次数</w:t>
            </w:r>
          </w:p>
        </w:tc>
        <w:tc>
          <w:tcPr>
            <w:tcW w:w="2268" w:type="dxa"/>
            <w:vAlign w:val="center"/>
          </w:tcPr>
          <w:p>
            <w:pPr>
              <w:pStyle w:val="13"/>
            </w:pPr>
            <w:r>
              <w:t>≥3次/天</w:t>
            </w:r>
          </w:p>
        </w:tc>
        <w:tc>
          <w:tcPr>
            <w:tcW w:w="1276" w:type="dxa"/>
            <w:vAlign w:val="center"/>
          </w:tcPr>
          <w:p>
            <w:pPr>
              <w:pStyle w:val="13"/>
            </w:pPr>
            <w:r>
              <w:t>根据《徐水区电子政务外网网络安全漏洞扫描》合同规定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发生网络安全事故次数</w:t>
            </w:r>
          </w:p>
        </w:tc>
        <w:tc>
          <w:tcPr>
            <w:tcW w:w="5386" w:type="dxa"/>
            <w:vAlign w:val="center"/>
          </w:tcPr>
          <w:p>
            <w:pPr>
              <w:pStyle w:val="13"/>
            </w:pPr>
            <w:r>
              <w:t>区直单位以及乡镇发生木马攻击风险次数</w:t>
            </w:r>
          </w:p>
        </w:tc>
        <w:tc>
          <w:tcPr>
            <w:tcW w:w="2268" w:type="dxa"/>
            <w:vAlign w:val="center"/>
          </w:tcPr>
          <w:p>
            <w:pPr>
              <w:pStyle w:val="13"/>
            </w:pPr>
            <w:r>
              <w:t>≤1次</w:t>
            </w:r>
          </w:p>
        </w:tc>
        <w:tc>
          <w:tcPr>
            <w:tcW w:w="1276" w:type="dxa"/>
            <w:vAlign w:val="center"/>
          </w:tcPr>
          <w:p>
            <w:pPr>
              <w:pStyle w:val="13"/>
            </w:pPr>
            <w:r>
              <w:t>根据《徐水区电子政务外网网络安全漏洞扫描》合同规定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漏洞处置及时率</w:t>
            </w:r>
          </w:p>
        </w:tc>
        <w:tc>
          <w:tcPr>
            <w:tcW w:w="5386" w:type="dxa"/>
            <w:vAlign w:val="center"/>
          </w:tcPr>
          <w:p>
            <w:pPr>
              <w:pStyle w:val="13"/>
            </w:pPr>
            <w:r>
              <w:t>反映漏洞处置及时程度</w:t>
            </w:r>
          </w:p>
        </w:tc>
        <w:tc>
          <w:tcPr>
            <w:tcW w:w="2268" w:type="dxa"/>
            <w:vAlign w:val="center"/>
          </w:tcPr>
          <w:p>
            <w:pPr>
              <w:pStyle w:val="13"/>
            </w:pPr>
            <w:r>
              <w:t>≥95%</w:t>
            </w:r>
          </w:p>
        </w:tc>
        <w:tc>
          <w:tcPr>
            <w:tcW w:w="1276" w:type="dxa"/>
            <w:vAlign w:val="center"/>
          </w:tcPr>
          <w:p>
            <w:pPr>
              <w:pStyle w:val="13"/>
            </w:pPr>
            <w:r>
              <w:t>根据《徐水区电子政务外网网络安全漏洞扫描》合同规定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≤12万元</w:t>
            </w:r>
          </w:p>
        </w:tc>
        <w:tc>
          <w:tcPr>
            <w:tcW w:w="1276" w:type="dxa"/>
            <w:vAlign w:val="center"/>
          </w:tcPr>
          <w:p>
            <w:pPr>
              <w:pStyle w:val="13"/>
            </w:pPr>
            <w:r>
              <w:t>根据《徐水区委网信办关于申请徐水区电子政务外网网络安全漏洞扫描工作经费的请示》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反映项目验收的达标情况</w:t>
            </w:r>
          </w:p>
        </w:tc>
        <w:tc>
          <w:tcPr>
            <w:tcW w:w="2268" w:type="dxa"/>
            <w:vAlign w:val="center"/>
          </w:tcPr>
          <w:p>
            <w:pPr>
              <w:pStyle w:val="13"/>
            </w:pPr>
            <w:r>
              <w:t>≥90%</w:t>
            </w:r>
          </w:p>
        </w:tc>
        <w:tc>
          <w:tcPr>
            <w:tcW w:w="1276" w:type="dxa"/>
            <w:vAlign w:val="center"/>
          </w:tcPr>
          <w:p>
            <w:pPr>
              <w:pStyle w:val="13"/>
            </w:pPr>
            <w:r>
              <w:t>根据《徐水区电子政务外网网络安全漏洞扫描》合同规定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网络环境稳定提升率</w:t>
            </w:r>
          </w:p>
        </w:tc>
        <w:tc>
          <w:tcPr>
            <w:tcW w:w="5386" w:type="dxa"/>
            <w:vAlign w:val="center"/>
          </w:tcPr>
          <w:p>
            <w:pPr>
              <w:pStyle w:val="13"/>
            </w:pPr>
            <w:r>
              <w:t>反映网络环境稳定提升的程度</w:t>
            </w:r>
          </w:p>
        </w:tc>
        <w:tc>
          <w:tcPr>
            <w:tcW w:w="2268" w:type="dxa"/>
            <w:vAlign w:val="center"/>
          </w:tcPr>
          <w:p>
            <w:pPr>
              <w:pStyle w:val="13"/>
            </w:pPr>
            <w:r>
              <w:t>≥50%</w:t>
            </w:r>
          </w:p>
        </w:tc>
        <w:tc>
          <w:tcPr>
            <w:tcW w:w="1276" w:type="dxa"/>
            <w:vAlign w:val="center"/>
          </w:tcPr>
          <w:p>
            <w:pPr>
              <w:pStyle w:val="13"/>
            </w:pPr>
            <w:r>
              <w:t>根据《徐水区电子政务外网网络安全漏洞扫描》合同规定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网信部门工作人员满意度</w:t>
            </w:r>
          </w:p>
        </w:tc>
        <w:tc>
          <w:tcPr>
            <w:tcW w:w="5386" w:type="dxa"/>
            <w:vAlign w:val="center"/>
          </w:tcPr>
          <w:p>
            <w:pPr>
              <w:pStyle w:val="13"/>
            </w:pPr>
            <w:r>
              <w:t>网信部门工作人员对政务外网防漏洞扫描的满意度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224中共保定市徐水区委网络安全和信息化委员会办公室</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1.43</w:t>
            </w:r>
          </w:p>
        </w:tc>
        <w:tc>
          <w:tcPr>
            <w:tcW w:w="964" w:type="dxa"/>
            <w:vAlign w:val="center"/>
          </w:tcPr>
          <w:p>
            <w:pPr>
              <w:pStyle w:val="16"/>
            </w:pPr>
            <w:r>
              <w:t>1.43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中共保定市徐水区委网络安全和信息化委员会办公室本级小计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1.43</w:t>
            </w:r>
          </w:p>
        </w:tc>
        <w:tc>
          <w:tcPr>
            <w:tcW w:w="964" w:type="dxa"/>
            <w:vAlign w:val="center"/>
          </w:tcPr>
          <w:p>
            <w:pPr>
              <w:pStyle w:val="16"/>
            </w:pPr>
            <w:r>
              <w:t>1.43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6.31</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10</w:t>
            </w:r>
          </w:p>
        </w:tc>
        <w:tc>
          <w:tcPr>
            <w:tcW w:w="850" w:type="dxa"/>
            <w:vAlign w:val="center"/>
          </w:tcPr>
          <w:p>
            <w:pPr>
              <w:pStyle w:val="12"/>
            </w:pPr>
            <w:r>
              <w:t>0.02</w:t>
            </w:r>
          </w:p>
        </w:tc>
        <w:tc>
          <w:tcPr>
            <w:tcW w:w="964" w:type="dxa"/>
            <w:vAlign w:val="center"/>
          </w:tcPr>
          <w:p>
            <w:pPr>
              <w:pStyle w:val="12"/>
            </w:pPr>
            <w:r>
              <w:t>0.22</w:t>
            </w:r>
          </w:p>
        </w:tc>
        <w:tc>
          <w:tcPr>
            <w:tcW w:w="964" w:type="dxa"/>
            <w:vAlign w:val="center"/>
          </w:tcPr>
          <w:p>
            <w:pPr>
              <w:pStyle w:val="12"/>
            </w:pPr>
            <w:r>
              <w:t>0.22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6.31</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机关运行保障经费</w:t>
            </w:r>
          </w:p>
        </w:tc>
        <w:tc>
          <w:tcPr>
            <w:tcW w:w="964" w:type="dxa"/>
            <w:vAlign w:val="center"/>
          </w:tcPr>
          <w:p>
            <w:pPr>
              <w:pStyle w:val="12"/>
            </w:pPr>
            <w:r>
              <w:t>13.59</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10</w:t>
            </w:r>
          </w:p>
        </w:tc>
        <w:tc>
          <w:tcPr>
            <w:tcW w:w="850" w:type="dxa"/>
            <w:vAlign w:val="center"/>
          </w:tcPr>
          <w:p>
            <w:pPr>
              <w:pStyle w:val="12"/>
            </w:pPr>
            <w:r>
              <w:t>0.02</w:t>
            </w:r>
          </w:p>
        </w:tc>
        <w:tc>
          <w:tcPr>
            <w:tcW w:w="964" w:type="dxa"/>
            <w:vAlign w:val="center"/>
          </w:tcPr>
          <w:p>
            <w:pPr>
              <w:pStyle w:val="12"/>
            </w:pPr>
            <w:r>
              <w:t>0.22</w:t>
            </w:r>
          </w:p>
        </w:tc>
        <w:tc>
          <w:tcPr>
            <w:tcW w:w="964" w:type="dxa"/>
            <w:vAlign w:val="center"/>
          </w:tcPr>
          <w:p>
            <w:pPr>
              <w:pStyle w:val="12"/>
            </w:pPr>
            <w:r>
              <w:t>0.22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7" w:name="_Toc_3_3_0000000018"/>
    </w:p>
    <w:p>
      <w:pPr>
        <w:spacing w:before="10" w:after="10" w:line="240" w:lineRule="auto"/>
        <w:ind w:firstLine="640"/>
        <w:jc w:val="left"/>
        <w:outlineLvl w:val="2"/>
      </w:pPr>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中共保定市徐水区委网络安全和信息化委员会办公室（含所属单位）上年末固定资产金额为0.00万元（详见下表）。本年度拟购置固定资产总额为0.00万元，已按要求列入政府采购预算，详见政府采购预算表。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224中共保定市徐水区委网络安全和信息化委员会办公室</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85CBF"/>
    <w:rsid w:val="358545D9"/>
    <w:rsid w:val="40B45F74"/>
    <w:rsid w:val="7DE2279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TotalTime>4</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2026-03-04T15:00:00Z</dcterms:created>
  <dc:creator>Administrator</dc:creator>
  <cp:lastModifiedBy>user</cp:lastModifiedBy>
  <dcterms:modified xsi:type="dcterms:W3CDTF">2026-03-06T09:29:33Z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