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rPr>
          <w:color w:val="000000"/>
        </w:rPr>
        <w:fldChar w:fldCharType="begin"/>
      </w:r>
      <w:r>
        <w:rPr>
          <w:color w:val="000000"/>
        </w:rPr>
        <w:instrText xml:space="preserve">HYPERLINK \l _Toc_2_2_0000000001</w:instrText>
      </w:r>
      <w:r>
        <w:rPr>
          <w:color w:val="000000"/>
        </w:rPr>
        <w:fldChar w:fldCharType="separate"/>
      </w:r>
      <w:r>
        <w:rPr>
          <w:rFonts w:hint="eastAsia"/>
          <w:color w:val="000000"/>
          <w:lang w:val="en-US" w:eastAsia="zh-CN"/>
        </w:rPr>
        <w:t>单位</w:t>
      </w:r>
      <w:r>
        <w:rPr>
          <w:color w:val="000000"/>
        </w:rPr>
        <w:t>预算收支总表</w:t>
      </w:r>
      <w:r>
        <w:rPr>
          <w:color w:val="000000"/>
        </w:rPr>
        <w:tab/>
      </w:r>
      <w:r>
        <w:rPr>
          <w:color w:val="000000"/>
        </w:rPr>
        <w:fldChar w:fldCharType="begin"/>
      </w:r>
      <w:r>
        <w:rPr>
          <w:color w:val="000000"/>
        </w:rPr>
        <w:instrText xml:space="preserve">PAGEREF _Toc_2_2_0000000001 \h</w:instrText>
      </w:r>
      <w:r>
        <w:rPr>
          <w:color w:val="000000"/>
        </w:rPr>
        <w:fldChar w:fldCharType="separate"/>
      </w:r>
      <w:r>
        <w:rPr>
          <w:color w:val="000000"/>
        </w:rPr>
        <w:t>1</w:t>
      </w:r>
      <w:r>
        <w:rPr>
          <w:color w:val="000000"/>
        </w:rPr>
        <w:fldChar w:fldCharType="end"/>
      </w:r>
      <w:r>
        <w:rPr>
          <w:color w:val="000000"/>
        </w:rPr>
        <w:fldChar w:fldCharType="end"/>
      </w:r>
    </w:p>
    <w:p>
      <w:pPr>
        <w:pStyle w:val="2"/>
        <w:tabs>
          <w:tab w:val="right" w:leader="dot" w:pos="14562"/>
        </w:tabs>
        <w:rPr>
          <w:color w:val="000000"/>
        </w:rPr>
      </w:pPr>
      <w:r>
        <w:rPr>
          <w:color w:val="000000"/>
        </w:rPr>
        <w:fldChar w:fldCharType="begin"/>
      </w:r>
      <w:r>
        <w:rPr>
          <w:color w:val="000000"/>
        </w:rPr>
        <w:instrText xml:space="preserve">HYPERLINK \l _Toc_2_2_0000000002</w:instrText>
      </w:r>
      <w:r>
        <w:rPr>
          <w:color w:val="000000"/>
        </w:rPr>
        <w:fldChar w:fldCharType="separate"/>
      </w:r>
      <w:r>
        <w:rPr>
          <w:rFonts w:hint="eastAsia"/>
          <w:color w:val="000000"/>
          <w:lang w:val="en-US" w:eastAsia="zh-CN"/>
        </w:rPr>
        <w:t>单位</w:t>
      </w:r>
      <w:r>
        <w:rPr>
          <w:color w:val="000000"/>
        </w:rPr>
        <w:t>预算收入总表</w:t>
      </w:r>
      <w:r>
        <w:rPr>
          <w:color w:val="000000"/>
        </w:rPr>
        <w:tab/>
      </w:r>
      <w:r>
        <w:rPr>
          <w:color w:val="000000"/>
        </w:rPr>
        <w:fldChar w:fldCharType="begin"/>
      </w:r>
      <w:r>
        <w:rPr>
          <w:color w:val="000000"/>
        </w:rPr>
        <w:instrText xml:space="preserve">PAGEREF _Toc_2_2_0000000002 \h</w:instrText>
      </w:r>
      <w:r>
        <w:rPr>
          <w:color w:val="000000"/>
        </w:rPr>
        <w:fldChar w:fldCharType="separate"/>
      </w:r>
      <w:r>
        <w:rPr>
          <w:color w:val="000000"/>
        </w:rPr>
        <w:t>3</w:t>
      </w:r>
      <w:r>
        <w:rPr>
          <w:color w:val="000000"/>
        </w:rPr>
        <w:fldChar w:fldCharType="end"/>
      </w:r>
      <w:r>
        <w:rPr>
          <w:color w:val="000000"/>
        </w:rPr>
        <w:fldChar w:fldCharType="end"/>
      </w:r>
    </w:p>
    <w:p>
      <w:pPr>
        <w:pStyle w:val="2"/>
        <w:tabs>
          <w:tab w:val="right" w:leader="dot" w:pos="14562"/>
        </w:tabs>
        <w:rPr>
          <w:color w:val="000000"/>
        </w:rPr>
      </w:pPr>
      <w:r>
        <w:rPr>
          <w:color w:val="000000"/>
        </w:rPr>
        <w:fldChar w:fldCharType="begin"/>
      </w:r>
      <w:r>
        <w:rPr>
          <w:color w:val="000000"/>
        </w:rPr>
        <w:instrText xml:space="preserve">HYPERLINK \l _Toc_2_2_0000000003</w:instrText>
      </w:r>
      <w:r>
        <w:rPr>
          <w:color w:val="000000"/>
        </w:rPr>
        <w:fldChar w:fldCharType="separate"/>
      </w:r>
      <w:r>
        <w:rPr>
          <w:rFonts w:hint="eastAsia"/>
          <w:color w:val="000000"/>
          <w:lang w:val="en-US" w:eastAsia="zh-CN"/>
        </w:rPr>
        <w:t>单位</w:t>
      </w:r>
      <w:r>
        <w:rPr>
          <w:color w:val="000000"/>
        </w:rPr>
        <w:t>预算支出总表</w:t>
      </w:r>
      <w:r>
        <w:rPr>
          <w:color w:val="000000"/>
        </w:rPr>
        <w:tab/>
      </w:r>
      <w:r>
        <w:rPr>
          <w:rFonts w:hint="eastAsia"/>
          <w:color w:val="000000"/>
          <w:lang w:val="en-US" w:eastAsia="zh-CN"/>
        </w:rPr>
        <w:t>6</w:t>
      </w:r>
      <w:r>
        <w:rPr>
          <w:color w:val="000000"/>
        </w:rPr>
        <w:fldChar w:fldCharType="end"/>
      </w:r>
    </w:p>
    <w:p>
      <w:pPr>
        <w:pStyle w:val="2"/>
        <w:tabs>
          <w:tab w:val="right" w:leader="dot" w:pos="14562"/>
        </w:tabs>
        <w:rPr>
          <w:color w:val="000000"/>
        </w:rPr>
      </w:pPr>
      <w:r>
        <w:rPr>
          <w:color w:val="000000"/>
        </w:rPr>
        <w:fldChar w:fldCharType="begin"/>
      </w:r>
      <w:r>
        <w:rPr>
          <w:color w:val="000000"/>
        </w:rPr>
        <w:instrText xml:space="preserve">HYPERLINK \l _Toc_2_2_0000000004</w:instrText>
      </w:r>
      <w:r>
        <w:rPr>
          <w:color w:val="000000"/>
        </w:rPr>
        <w:fldChar w:fldCharType="separate"/>
      </w:r>
      <w:r>
        <w:rPr>
          <w:rFonts w:hint="eastAsia"/>
          <w:color w:val="000000"/>
          <w:lang w:val="en-US" w:eastAsia="zh-CN"/>
        </w:rPr>
        <w:t>单位</w:t>
      </w:r>
      <w:r>
        <w:rPr>
          <w:color w:val="000000"/>
        </w:rPr>
        <w:t>预算财政拨款收支总表</w:t>
      </w:r>
      <w:r>
        <w:rPr>
          <w:color w:val="000000"/>
        </w:rPr>
        <w:tab/>
      </w:r>
      <w:r>
        <w:rPr>
          <w:rFonts w:hint="eastAsia"/>
          <w:color w:val="000000"/>
          <w:lang w:val="en-US" w:eastAsia="zh-CN"/>
        </w:rPr>
        <w:t>8</w:t>
      </w:r>
      <w:r>
        <w:rPr>
          <w:color w:val="000000"/>
        </w:rPr>
        <w:fldChar w:fldCharType="end"/>
      </w:r>
    </w:p>
    <w:p>
      <w:pPr>
        <w:pStyle w:val="2"/>
        <w:tabs>
          <w:tab w:val="right" w:leader="dot" w:pos="14562"/>
        </w:tabs>
        <w:rPr>
          <w:color w:val="000000"/>
        </w:rPr>
      </w:pPr>
      <w:r>
        <w:rPr>
          <w:color w:val="000000"/>
        </w:rPr>
        <w:fldChar w:fldCharType="begin"/>
      </w:r>
      <w:r>
        <w:rPr>
          <w:color w:val="000000"/>
        </w:rPr>
        <w:instrText xml:space="preserve">HYPERLINK \l _Toc_2_2_0000000005</w:instrText>
      </w:r>
      <w:r>
        <w:rPr>
          <w:color w:val="000000"/>
        </w:rPr>
        <w:fldChar w:fldCharType="separate"/>
      </w:r>
      <w:r>
        <w:rPr>
          <w:rFonts w:hint="eastAsia"/>
          <w:color w:val="000000"/>
          <w:lang w:val="en-US" w:eastAsia="zh-CN"/>
        </w:rPr>
        <w:t>单位</w:t>
      </w:r>
      <w:r>
        <w:rPr>
          <w:color w:val="000000"/>
        </w:rPr>
        <w:t>预算一般公共预算财政拨款支出表</w:t>
      </w:r>
      <w:r>
        <w:rPr>
          <w:color w:val="000000"/>
        </w:rPr>
        <w:tab/>
      </w:r>
      <w:r>
        <w:rPr>
          <w:color w:val="000000"/>
        </w:rPr>
        <w:fldChar w:fldCharType="begin"/>
      </w:r>
      <w:r>
        <w:rPr>
          <w:color w:val="000000"/>
        </w:rPr>
        <w:instrText xml:space="preserve">PAGEREF _Toc_2_2_0000000005 \h</w:instrText>
      </w:r>
      <w:r>
        <w:rPr>
          <w:color w:val="000000"/>
        </w:rPr>
        <w:fldChar w:fldCharType="separate"/>
      </w:r>
      <w:r>
        <w:rPr>
          <w:color w:val="000000"/>
        </w:rPr>
        <w:t>1</w:t>
      </w:r>
      <w:r>
        <w:rPr>
          <w:rFonts w:hint="eastAsia"/>
          <w:color w:val="000000"/>
          <w:lang w:val="en-US" w:eastAsia="zh-CN"/>
        </w:rPr>
        <w:t>1</w:t>
      </w:r>
      <w:r>
        <w:rPr>
          <w:color w:val="000000"/>
        </w:rPr>
        <w:fldChar w:fldCharType="end"/>
      </w:r>
      <w:r>
        <w:rPr>
          <w:color w:val="000000"/>
        </w:rPr>
        <w:fldChar w:fldCharType="end"/>
      </w:r>
    </w:p>
    <w:p>
      <w:pPr>
        <w:pStyle w:val="2"/>
        <w:tabs>
          <w:tab w:val="right" w:leader="dot" w:pos="14562"/>
        </w:tabs>
        <w:rPr>
          <w:color w:val="000000"/>
        </w:rPr>
      </w:pPr>
      <w:r>
        <w:rPr>
          <w:color w:val="000000"/>
        </w:rPr>
        <w:fldChar w:fldCharType="begin"/>
      </w:r>
      <w:r>
        <w:rPr>
          <w:color w:val="000000"/>
        </w:rPr>
        <w:instrText xml:space="preserve">HYPERLINK \l _Toc_2_2_0000000006</w:instrText>
      </w:r>
      <w:r>
        <w:rPr>
          <w:color w:val="000000"/>
        </w:rPr>
        <w:fldChar w:fldCharType="separate"/>
      </w:r>
      <w:r>
        <w:rPr>
          <w:rFonts w:hint="eastAsia"/>
          <w:color w:val="000000"/>
          <w:lang w:val="en-US" w:eastAsia="zh-CN"/>
        </w:rPr>
        <w:t>单位</w:t>
      </w:r>
      <w:r>
        <w:rPr>
          <w:color w:val="000000"/>
        </w:rPr>
        <w:t>预算一般公共预算财政拨款基本支出表</w:t>
      </w:r>
      <w:r>
        <w:rPr>
          <w:color w:val="000000"/>
        </w:rPr>
        <w:tab/>
      </w:r>
      <w:r>
        <w:rPr>
          <w:color w:val="000000"/>
        </w:rPr>
        <w:fldChar w:fldCharType="begin"/>
      </w:r>
      <w:r>
        <w:rPr>
          <w:color w:val="000000"/>
        </w:rPr>
        <w:instrText xml:space="preserve">PAGEREF _Toc_2_2_0000000006 \h</w:instrText>
      </w:r>
      <w:r>
        <w:rPr>
          <w:color w:val="000000"/>
        </w:rPr>
        <w:fldChar w:fldCharType="separate"/>
      </w:r>
      <w:r>
        <w:rPr>
          <w:color w:val="000000"/>
        </w:rPr>
        <w:t>1</w:t>
      </w:r>
      <w:r>
        <w:rPr>
          <w:rFonts w:hint="eastAsia"/>
          <w:color w:val="000000"/>
          <w:lang w:val="en-US" w:eastAsia="zh-CN"/>
        </w:rPr>
        <w:t>3</w:t>
      </w:r>
      <w:r>
        <w:rPr>
          <w:color w:val="000000"/>
        </w:rPr>
        <w:fldChar w:fldCharType="end"/>
      </w:r>
      <w:r>
        <w:rPr>
          <w:color w:val="000000"/>
        </w:rPr>
        <w:fldChar w:fldCharType="end"/>
      </w:r>
    </w:p>
    <w:p>
      <w:pPr>
        <w:pStyle w:val="2"/>
        <w:tabs>
          <w:tab w:val="right" w:leader="dot" w:pos="14562"/>
        </w:tabs>
        <w:rPr>
          <w:color w:val="000000"/>
        </w:rPr>
      </w:pPr>
      <w:r>
        <w:rPr>
          <w:color w:val="000000"/>
        </w:rPr>
        <w:fldChar w:fldCharType="begin"/>
      </w:r>
      <w:r>
        <w:rPr>
          <w:color w:val="000000"/>
        </w:rPr>
        <w:instrText xml:space="preserve">HYPERLINK \l _Toc_2_2_0000000007</w:instrText>
      </w:r>
      <w:r>
        <w:rPr>
          <w:color w:val="000000"/>
        </w:rPr>
        <w:fldChar w:fldCharType="separate"/>
      </w:r>
      <w:r>
        <w:rPr>
          <w:rFonts w:hint="eastAsia"/>
          <w:color w:val="000000"/>
          <w:lang w:val="en-US" w:eastAsia="zh-CN"/>
        </w:rPr>
        <w:t>单位</w:t>
      </w:r>
      <w:r>
        <w:rPr>
          <w:color w:val="000000"/>
        </w:rPr>
        <w:t>预算政府性基金预算财政拨款支出表</w:t>
      </w:r>
      <w:r>
        <w:rPr>
          <w:color w:val="000000"/>
        </w:rPr>
        <w:tab/>
      </w:r>
      <w:r>
        <w:rPr>
          <w:color w:val="000000"/>
        </w:rPr>
        <w:fldChar w:fldCharType="begin"/>
      </w:r>
      <w:r>
        <w:rPr>
          <w:color w:val="000000"/>
        </w:rPr>
        <w:instrText xml:space="preserve">PAGEREF _Toc_2_2_0000000007 \h</w:instrText>
      </w:r>
      <w:r>
        <w:rPr>
          <w:color w:val="000000"/>
        </w:rPr>
        <w:fldChar w:fldCharType="separate"/>
      </w:r>
      <w:r>
        <w:rPr>
          <w:color w:val="000000"/>
        </w:rPr>
        <w:t>1</w:t>
      </w:r>
      <w:r>
        <w:rPr>
          <w:rFonts w:hint="eastAsia"/>
          <w:color w:val="000000"/>
          <w:lang w:val="en-US" w:eastAsia="zh-CN"/>
        </w:rPr>
        <w:t>5</w:t>
      </w:r>
      <w:r>
        <w:rPr>
          <w:color w:val="000000"/>
        </w:rPr>
        <w:fldChar w:fldCharType="end"/>
      </w:r>
      <w:r>
        <w:rPr>
          <w:color w:val="000000"/>
        </w:rPr>
        <w:fldChar w:fldCharType="end"/>
      </w:r>
    </w:p>
    <w:p>
      <w:pPr>
        <w:pStyle w:val="2"/>
        <w:tabs>
          <w:tab w:val="right" w:leader="dot" w:pos="14562"/>
        </w:tabs>
        <w:rPr>
          <w:rFonts w:hint="eastAsia" w:eastAsia="方正仿宋_GBK"/>
          <w:color w:val="000000"/>
          <w:lang w:val="en-US" w:eastAsia="zh-CN"/>
        </w:rPr>
      </w:pPr>
      <w:r>
        <w:rPr>
          <w:color w:val="000000"/>
        </w:rPr>
        <w:fldChar w:fldCharType="begin"/>
      </w:r>
      <w:r>
        <w:rPr>
          <w:color w:val="000000"/>
        </w:rPr>
        <w:instrText xml:space="preserve">HYPERLINK \l _Toc_2_2_0000000008</w:instrText>
      </w:r>
      <w:r>
        <w:rPr>
          <w:color w:val="000000"/>
        </w:rPr>
        <w:fldChar w:fldCharType="separate"/>
      </w:r>
      <w:r>
        <w:rPr>
          <w:rFonts w:hint="eastAsia"/>
          <w:color w:val="000000"/>
          <w:lang w:val="en-US" w:eastAsia="zh-CN"/>
        </w:rPr>
        <w:t>单位</w:t>
      </w:r>
      <w:r>
        <w:rPr>
          <w:color w:val="000000"/>
        </w:rPr>
        <w:t>预算国有资本经营预算财政拨款支出表</w:t>
      </w:r>
      <w:r>
        <w:rPr>
          <w:color w:val="000000"/>
        </w:rPr>
        <w:tab/>
      </w:r>
      <w:r>
        <w:rPr>
          <w:color w:val="000000"/>
        </w:rPr>
        <w:fldChar w:fldCharType="begin"/>
      </w:r>
      <w:r>
        <w:rPr>
          <w:color w:val="000000"/>
        </w:rPr>
        <w:instrText xml:space="preserve">PAGEREF _Toc_2_2_0000000008 \h</w:instrText>
      </w:r>
      <w:r>
        <w:rPr>
          <w:color w:val="000000"/>
        </w:rPr>
        <w:fldChar w:fldCharType="separate"/>
      </w:r>
      <w:r>
        <w:rPr>
          <w:rFonts w:hint="eastAsia"/>
          <w:color w:val="000000"/>
          <w:lang w:val="en-US" w:eastAsia="zh-CN"/>
        </w:rPr>
        <w:t>1</w:t>
      </w:r>
      <w:r>
        <w:rPr>
          <w:color w:val="000000"/>
        </w:rPr>
        <w:fldChar w:fldCharType="end"/>
      </w:r>
      <w:r>
        <w:rPr>
          <w:color w:val="000000"/>
        </w:rPr>
        <w:fldChar w:fldCharType="end"/>
      </w:r>
      <w:r>
        <w:rPr>
          <w:rFonts w:hint="eastAsia"/>
          <w:color w:val="000000"/>
          <w:lang w:val="en-US" w:eastAsia="zh-CN"/>
        </w:rPr>
        <w:t>6</w:t>
      </w:r>
    </w:p>
    <w:p>
      <w:pPr>
        <w:pStyle w:val="2"/>
        <w:tabs>
          <w:tab w:val="right" w:leader="dot" w:pos="14562"/>
        </w:tabs>
      </w:pPr>
      <w:r>
        <w:rPr>
          <w:color w:val="000000"/>
        </w:rPr>
        <w:fldChar w:fldCharType="begin"/>
      </w:r>
      <w:r>
        <w:rPr>
          <w:color w:val="000000"/>
        </w:rPr>
        <w:instrText xml:space="preserve">HYPERLINK \l _Toc_2_2_0000000009</w:instrText>
      </w:r>
      <w:r>
        <w:rPr>
          <w:color w:val="000000"/>
        </w:rPr>
        <w:fldChar w:fldCharType="separate"/>
      </w:r>
      <w:r>
        <w:rPr>
          <w:rFonts w:hint="eastAsia"/>
          <w:color w:val="000000"/>
          <w:lang w:val="en-US" w:eastAsia="zh-CN"/>
        </w:rPr>
        <w:t>单位</w:t>
      </w:r>
      <w:r>
        <w:rPr>
          <w:color w:val="000000"/>
        </w:rPr>
        <w:t>预算财政拨款“三公”经费支出表</w:t>
      </w:r>
      <w:r>
        <w:rPr>
          <w:color w:val="000000"/>
        </w:rPr>
        <w:tab/>
      </w:r>
      <w:r>
        <w:rPr>
          <w:color w:val="000000"/>
        </w:rPr>
        <w:fldChar w:fldCharType="begin"/>
      </w:r>
      <w:r>
        <w:rPr>
          <w:color w:val="000000"/>
        </w:rPr>
        <w:instrText xml:space="preserve">PAGEREF _Toc_2_2_0000000009 \h</w:instrText>
      </w:r>
      <w:r>
        <w:rPr>
          <w:color w:val="000000"/>
        </w:rPr>
        <w:fldChar w:fldCharType="separate"/>
      </w:r>
      <w:r>
        <w:rPr>
          <w:color w:val="000000"/>
        </w:rPr>
        <w:t>1</w:t>
      </w:r>
      <w:r>
        <w:rPr>
          <w:rFonts w:hint="eastAsia"/>
          <w:color w:val="000000"/>
          <w:lang w:val="en-US" w:eastAsia="zh-CN"/>
        </w:rPr>
        <w:t>7</w:t>
      </w:r>
      <w:r>
        <w:rPr>
          <w:color w:val="000000"/>
        </w:rPr>
        <w:fldChar w:fldCharType="end"/>
      </w:r>
      <w:r>
        <w:rPr>
          <w:color w:val="000000"/>
        </w:rPr>
        <w:fldChar w:fldCharType="end"/>
      </w:r>
      <w:bookmarkStart w:id="0" w:name="_GoBack"/>
      <w:bookmarkEnd w:id="0"/>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color w:val="000000"/>
        </w:rPr>
      </w:pPr>
      <w:r>
        <w:fldChar w:fldCharType="begin"/>
      </w:r>
      <w:r>
        <w:instrText xml:space="preserve">TOC \o "3-3" \h \z \u</w:instrText>
      </w:r>
      <w:r>
        <w:fldChar w:fldCharType="separate"/>
      </w:r>
      <w:r>
        <w:rPr>
          <w:color w:val="000000"/>
        </w:rPr>
        <w:fldChar w:fldCharType="begin"/>
      </w:r>
      <w:r>
        <w:rPr>
          <w:color w:val="000000"/>
        </w:rPr>
        <w:instrText xml:space="preserve">HYPERLINK \l _Toc_3_3_0000000010</w:instrText>
      </w:r>
      <w:r>
        <w:rPr>
          <w:color w:val="000000"/>
        </w:rPr>
        <w:fldChar w:fldCharType="separate"/>
      </w:r>
      <w:r>
        <w:rPr>
          <w:color w:val="000000"/>
        </w:rPr>
        <w:t>一、</w:t>
      </w:r>
      <w:r>
        <w:rPr>
          <w:rFonts w:hint="eastAsia"/>
          <w:color w:val="000000"/>
          <w:lang w:val="en-US" w:eastAsia="zh-CN"/>
        </w:rPr>
        <w:t>单位</w:t>
      </w:r>
      <w:r>
        <w:rPr>
          <w:color w:val="000000"/>
        </w:rPr>
        <w:t>职责及机构设置情况</w:t>
      </w:r>
      <w:r>
        <w:rPr>
          <w:color w:val="000000"/>
        </w:rPr>
        <w:tab/>
      </w:r>
      <w:r>
        <w:rPr>
          <w:color w:val="000000"/>
        </w:rPr>
        <w:fldChar w:fldCharType="begin"/>
      </w:r>
      <w:r>
        <w:rPr>
          <w:color w:val="000000"/>
        </w:rPr>
        <w:instrText xml:space="preserve">PAGEREF _Toc_3_3_0000000010 \h</w:instrText>
      </w:r>
      <w:r>
        <w:rPr>
          <w:color w:val="000000"/>
        </w:rPr>
        <w:fldChar w:fldCharType="separate"/>
      </w:r>
      <w:r>
        <w:rPr>
          <w:color w:val="000000"/>
        </w:rPr>
        <w:t>1</w:t>
      </w:r>
      <w:r>
        <w:rPr>
          <w:rFonts w:hint="eastAsia"/>
          <w:color w:val="000000"/>
          <w:lang w:val="en-US" w:eastAsia="zh-CN"/>
        </w:rPr>
        <w:t>8</w:t>
      </w:r>
      <w:r>
        <w:rPr>
          <w:color w:val="000000"/>
        </w:rPr>
        <w:fldChar w:fldCharType="end"/>
      </w:r>
      <w:r>
        <w:rPr>
          <w:color w:val="000000"/>
        </w:rPr>
        <w:fldChar w:fldCharType="end"/>
      </w:r>
    </w:p>
    <w:p>
      <w:pPr>
        <w:pStyle w:val="2"/>
        <w:tabs>
          <w:tab w:val="right" w:leader="dot" w:pos="14562"/>
        </w:tabs>
        <w:rPr>
          <w:rFonts w:hint="eastAsia" w:eastAsia="方正仿宋_GBK"/>
          <w:color w:val="000000"/>
          <w:lang w:val="en-US" w:eastAsia="zh-CN"/>
        </w:rPr>
      </w:pPr>
      <w:r>
        <w:rPr>
          <w:color w:val="000000"/>
        </w:rPr>
        <w:fldChar w:fldCharType="begin"/>
      </w:r>
      <w:r>
        <w:rPr>
          <w:color w:val="000000"/>
        </w:rPr>
        <w:instrText xml:space="preserve">HYPERLINK \l _Toc_3_3_0000000011</w:instrText>
      </w:r>
      <w:r>
        <w:rPr>
          <w:color w:val="000000"/>
        </w:rPr>
        <w:fldChar w:fldCharType="separate"/>
      </w:r>
      <w:r>
        <w:rPr>
          <w:color w:val="000000"/>
        </w:rPr>
        <w:t>二、</w:t>
      </w:r>
      <w:r>
        <w:rPr>
          <w:rFonts w:hint="eastAsia"/>
          <w:color w:val="000000"/>
          <w:lang w:val="en-US" w:eastAsia="zh-CN"/>
        </w:rPr>
        <w:t>单位</w:t>
      </w:r>
      <w:r>
        <w:rPr>
          <w:color w:val="000000"/>
        </w:rPr>
        <w:t>预算安排的总体情况</w:t>
      </w:r>
      <w:r>
        <w:rPr>
          <w:color w:val="000000"/>
        </w:rPr>
        <w:tab/>
      </w:r>
      <w:r>
        <w:rPr>
          <w:rFonts w:hint="eastAsia"/>
          <w:color w:val="000000"/>
          <w:lang w:val="en-US" w:eastAsia="zh-CN"/>
        </w:rPr>
        <w:t>2</w:t>
      </w:r>
      <w:r>
        <w:rPr>
          <w:color w:val="000000"/>
        </w:rPr>
        <w:fldChar w:fldCharType="end"/>
      </w:r>
      <w:r>
        <w:rPr>
          <w:rFonts w:hint="eastAsia"/>
          <w:color w:val="000000"/>
          <w:lang w:val="en-US" w:eastAsia="zh-CN"/>
        </w:rPr>
        <w:t>0</w:t>
      </w:r>
    </w:p>
    <w:p>
      <w:pPr>
        <w:pStyle w:val="2"/>
        <w:tabs>
          <w:tab w:val="right" w:leader="dot" w:pos="14562"/>
        </w:tabs>
        <w:rPr>
          <w:color w:val="000000"/>
        </w:rPr>
      </w:pPr>
      <w:r>
        <w:rPr>
          <w:color w:val="000000"/>
        </w:rPr>
        <w:fldChar w:fldCharType="begin"/>
      </w:r>
      <w:r>
        <w:rPr>
          <w:color w:val="000000"/>
        </w:rPr>
        <w:instrText xml:space="preserve">HYPERLINK \l _Toc_3_3_0000000012</w:instrText>
      </w:r>
      <w:r>
        <w:rPr>
          <w:color w:val="000000"/>
        </w:rPr>
        <w:fldChar w:fldCharType="separate"/>
      </w:r>
      <w:r>
        <w:rPr>
          <w:color w:val="000000"/>
        </w:rPr>
        <w:t>三、机关运行经费安排情况</w:t>
      </w:r>
      <w:r>
        <w:rPr>
          <w:color w:val="000000"/>
        </w:rPr>
        <w:tab/>
      </w:r>
      <w:r>
        <w:rPr>
          <w:color w:val="000000"/>
        </w:rPr>
        <w:fldChar w:fldCharType="begin"/>
      </w:r>
      <w:r>
        <w:rPr>
          <w:color w:val="000000"/>
        </w:rPr>
        <w:instrText xml:space="preserve">PAGEREF _Toc_3_3_0000000012 \h</w:instrText>
      </w:r>
      <w:r>
        <w:rPr>
          <w:color w:val="000000"/>
        </w:rPr>
        <w:fldChar w:fldCharType="separate"/>
      </w:r>
      <w:r>
        <w:rPr>
          <w:color w:val="000000"/>
        </w:rPr>
        <w:t>2</w:t>
      </w:r>
      <w:r>
        <w:rPr>
          <w:rFonts w:hint="eastAsia"/>
          <w:color w:val="000000"/>
          <w:lang w:val="en-US" w:eastAsia="zh-CN"/>
        </w:rPr>
        <w:t>1</w:t>
      </w:r>
      <w:r>
        <w:rPr>
          <w:color w:val="000000"/>
        </w:rPr>
        <w:fldChar w:fldCharType="end"/>
      </w:r>
      <w:r>
        <w:rPr>
          <w:color w:val="000000"/>
        </w:rPr>
        <w:fldChar w:fldCharType="end"/>
      </w:r>
    </w:p>
    <w:p>
      <w:pPr>
        <w:pStyle w:val="2"/>
        <w:tabs>
          <w:tab w:val="right" w:leader="dot" w:pos="14562"/>
        </w:tabs>
        <w:rPr>
          <w:color w:val="000000"/>
        </w:rPr>
      </w:pPr>
      <w:r>
        <w:rPr>
          <w:color w:val="000000"/>
        </w:rPr>
        <w:fldChar w:fldCharType="begin"/>
      </w:r>
      <w:r>
        <w:rPr>
          <w:color w:val="000000"/>
        </w:rPr>
        <w:instrText xml:space="preserve">HYPERLINK \l _Toc_3_3_0000000013</w:instrText>
      </w:r>
      <w:r>
        <w:rPr>
          <w:color w:val="000000"/>
        </w:rPr>
        <w:fldChar w:fldCharType="separate"/>
      </w:r>
      <w:r>
        <w:rPr>
          <w:color w:val="000000"/>
        </w:rPr>
        <w:t>四、财政拨款“三公”经费预算情况及增减变化原因</w:t>
      </w:r>
      <w:r>
        <w:rPr>
          <w:color w:val="000000"/>
        </w:rPr>
        <w:tab/>
      </w:r>
      <w:r>
        <w:rPr>
          <w:color w:val="000000"/>
        </w:rPr>
        <w:fldChar w:fldCharType="begin"/>
      </w:r>
      <w:r>
        <w:rPr>
          <w:color w:val="000000"/>
        </w:rPr>
        <w:instrText xml:space="preserve">PAGEREF _Toc_3_3_0000000013 \h</w:instrText>
      </w:r>
      <w:r>
        <w:rPr>
          <w:color w:val="000000"/>
        </w:rPr>
        <w:fldChar w:fldCharType="separate"/>
      </w:r>
      <w:r>
        <w:rPr>
          <w:color w:val="000000"/>
        </w:rPr>
        <w:t>2</w:t>
      </w:r>
      <w:r>
        <w:rPr>
          <w:rFonts w:hint="eastAsia"/>
          <w:color w:val="000000"/>
          <w:lang w:val="en-US" w:eastAsia="zh-CN"/>
        </w:rPr>
        <w:t>1</w:t>
      </w:r>
      <w:r>
        <w:rPr>
          <w:color w:val="000000"/>
        </w:rPr>
        <w:fldChar w:fldCharType="end"/>
      </w:r>
      <w:r>
        <w:rPr>
          <w:color w:val="000000"/>
        </w:rPr>
        <w:fldChar w:fldCharType="end"/>
      </w:r>
    </w:p>
    <w:p>
      <w:pPr>
        <w:pStyle w:val="2"/>
        <w:tabs>
          <w:tab w:val="right" w:leader="dot" w:pos="14562"/>
        </w:tabs>
      </w:pPr>
      <w:r>
        <w:rPr>
          <w:color w:val="000000"/>
        </w:rPr>
        <w:fldChar w:fldCharType="begin"/>
      </w:r>
      <w:r>
        <w:rPr>
          <w:color w:val="000000"/>
        </w:rPr>
        <w:instrText xml:space="preserve">HYPERLINK \l _Toc_3_3_0000000016</w:instrText>
      </w:r>
      <w:r>
        <w:rPr>
          <w:color w:val="000000"/>
        </w:rPr>
        <w:fldChar w:fldCharType="separate"/>
      </w:r>
      <w:r>
        <w:rPr>
          <w:rFonts w:hint="eastAsia"/>
          <w:color w:val="000000"/>
          <w:lang w:val="en-US" w:eastAsia="zh-CN"/>
        </w:rPr>
        <w:t>五</w:t>
      </w:r>
      <w:r>
        <w:rPr>
          <w:color w:val="000000"/>
        </w:rPr>
        <w:t>、</w:t>
      </w:r>
      <w:r>
        <w:rPr>
          <w:rFonts w:hint="eastAsia"/>
          <w:color w:val="000000"/>
          <w:lang w:val="en-US" w:eastAsia="zh-CN"/>
        </w:rPr>
        <w:t>单位</w:t>
      </w:r>
      <w:r>
        <w:rPr>
          <w:color w:val="000000"/>
        </w:rPr>
        <w:t>项目预算安排情况及绩效目标</w:t>
      </w:r>
      <w:r>
        <w:rPr>
          <w:color w:val="000000"/>
        </w:rPr>
        <w:tab/>
      </w:r>
      <w:r>
        <w:rPr>
          <w:color w:val="000000"/>
        </w:rPr>
        <w:fldChar w:fldCharType="begin"/>
      </w:r>
      <w:r>
        <w:rPr>
          <w:color w:val="000000"/>
        </w:rPr>
        <w:instrText xml:space="preserve">PAGEREF _Toc_3_3_0000000016 \h</w:instrText>
      </w:r>
      <w:r>
        <w:rPr>
          <w:color w:val="000000"/>
        </w:rPr>
        <w:fldChar w:fldCharType="separate"/>
      </w:r>
      <w:r>
        <w:rPr>
          <w:color w:val="000000"/>
        </w:rPr>
        <w:t>2</w:t>
      </w:r>
      <w:r>
        <w:rPr>
          <w:rFonts w:hint="eastAsia"/>
          <w:color w:val="000000"/>
          <w:lang w:val="en-US" w:eastAsia="zh-CN"/>
        </w:rPr>
        <w:t>1</w:t>
      </w:r>
      <w:r>
        <w:rPr>
          <w:color w:val="000000"/>
        </w:rPr>
        <w:fldChar w:fldCharType="end"/>
      </w:r>
      <w:r>
        <w:rPr>
          <w:color w:val="000000"/>
        </w:rPr>
        <w:fldChar w:fldCharType="end"/>
      </w:r>
    </w:p>
    <w:p>
      <w:pPr>
        <w:pStyle w:val="2"/>
        <w:tabs>
          <w:tab w:val="right" w:leader="dot" w:pos="14562"/>
        </w:tabs>
      </w:pPr>
      <w:r>
        <w:fldChar w:fldCharType="begin"/>
      </w:r>
      <w:r>
        <w:instrText xml:space="preserve">HYPERLINK \l _Toc_3_3_0000000017</w:instrText>
      </w:r>
      <w:r>
        <w:fldChar w:fldCharType="separate"/>
      </w:r>
      <w:r>
        <w:rPr>
          <w:color w:val="000000"/>
        </w:rPr>
        <w:t>六</w:t>
      </w:r>
      <w:r>
        <w:t>、政府采购预算情况</w:t>
      </w:r>
      <w:r>
        <w:tab/>
      </w:r>
      <w:r>
        <w:fldChar w:fldCharType="begin"/>
      </w:r>
      <w:r>
        <w:instrText xml:space="preserve">PAGEREF _Toc_3_3_0000000017 \h</w:instrText>
      </w:r>
      <w:r>
        <w:fldChar w:fldCharType="separate"/>
      </w:r>
      <w:r>
        <w:t>4</w:t>
      </w:r>
      <w:r>
        <w:rPr>
          <w:rFonts w:hint="eastAsia"/>
          <w:lang w:val="en-US" w:eastAsia="zh-CN"/>
        </w:rPr>
        <w:t>5</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rPr>
          <w:color w:val="000000"/>
        </w:rPr>
        <w:t>七</w:t>
      </w:r>
      <w:r>
        <w:t>、国有资产信息</w:t>
      </w:r>
      <w:r>
        <w:tab/>
      </w:r>
      <w:r>
        <w:fldChar w:fldCharType="begin"/>
      </w:r>
      <w:r>
        <w:instrText xml:space="preserve">PAGEREF _Toc_3_3_0000000018 \h</w:instrText>
      </w:r>
      <w:r>
        <w:fldChar w:fldCharType="separate"/>
      </w:r>
      <w:r>
        <w:t>4</w:t>
      </w:r>
      <w:r>
        <w:rPr>
          <w:rFonts w:hint="eastAsia"/>
          <w:lang w:val="en-US" w:eastAsia="zh-CN"/>
        </w:rPr>
        <w:t>6</w:t>
      </w:r>
      <w:r>
        <w:fldChar w:fldCharType="end"/>
      </w:r>
      <w:r>
        <w:fldChar w:fldCharType="end"/>
      </w:r>
    </w:p>
    <w:p>
      <w:pPr>
        <w:pStyle w:val="2"/>
        <w:tabs>
          <w:tab w:val="right" w:leader="dot" w:pos="14562"/>
        </w:tabs>
      </w:pPr>
      <w:r>
        <w:fldChar w:fldCharType="begin"/>
      </w:r>
      <w:r>
        <w:instrText xml:space="preserve">HYPERLINK \l _Toc_3_3_0000000019</w:instrText>
      </w:r>
      <w:r>
        <w:fldChar w:fldCharType="separate"/>
      </w:r>
      <w:r>
        <w:t>八、名词解释</w:t>
      </w:r>
      <w:r>
        <w:tab/>
      </w:r>
      <w:r>
        <w:fldChar w:fldCharType="begin"/>
      </w:r>
      <w:r>
        <w:instrText xml:space="preserve">PAGEREF _Toc_3_3_0000000019 \h</w:instrText>
      </w:r>
      <w:r>
        <w:fldChar w:fldCharType="separate"/>
      </w:r>
      <w:r>
        <w:t>47</w:t>
      </w:r>
      <w:r>
        <w:fldChar w:fldCharType="end"/>
      </w:r>
      <w:r>
        <w:fldChar w:fldCharType="end"/>
      </w:r>
    </w:p>
    <w:p>
      <w:pPr>
        <w:pStyle w:val="2"/>
        <w:tabs>
          <w:tab w:val="right" w:leader="dot" w:pos="14562"/>
        </w:tabs>
      </w:pPr>
      <w:r>
        <w:fldChar w:fldCharType="begin"/>
      </w:r>
      <w:r>
        <w:instrText xml:space="preserve">HYPERLINK \l _Toc_3_3_0000000020</w:instrText>
      </w:r>
      <w:r>
        <w:fldChar w:fldCharType="separate"/>
      </w:r>
      <w:r>
        <w:t>九、其他需要说明的事项</w:t>
      </w:r>
      <w:r>
        <w:tab/>
      </w:r>
      <w:r>
        <w:fldChar w:fldCharType="begin"/>
      </w:r>
      <w:r>
        <w:instrText xml:space="preserve">PAGEREF _Toc_3_3_0000000020 \h</w:instrText>
      </w:r>
      <w:r>
        <w:fldChar w:fldCharType="separate"/>
      </w:r>
      <w:r>
        <w:t>4</w:t>
      </w:r>
      <w:r>
        <w:rPr>
          <w:rFonts w:hint="eastAsia"/>
          <w:lang w:val="en-US" w:eastAsia="zh-CN"/>
        </w:rPr>
        <w:t>8</w:t>
      </w:r>
      <w:r>
        <w:fldChar w:fldCharType="end"/>
      </w:r>
      <w:r>
        <w:fldChar w:fldCharType="end"/>
      </w:r>
    </w:p>
    <w:p>
      <w:pPr>
        <w:pStyle w:val="2"/>
        <w:tabs>
          <w:tab w:val="right" w:leader="dot" w:pos="14562"/>
        </w:tabs>
      </w:pP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951.45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867.09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951.45</w:t>
            </w:r>
          </w:p>
        </w:tc>
        <w:tc>
          <w:tcPr>
            <w:tcW w:w="4535" w:type="dxa"/>
            <w:vAlign w:val="center"/>
          </w:tcPr>
          <w:p>
            <w:pPr>
              <w:pStyle w:val="14"/>
            </w:pPr>
            <w:r>
              <w:t>本年支出合计</w:t>
            </w:r>
          </w:p>
        </w:tc>
        <w:tc>
          <w:tcPr>
            <w:tcW w:w="2126" w:type="dxa"/>
            <w:vAlign w:val="center"/>
          </w:tcPr>
          <w:p>
            <w:pPr>
              <w:pStyle w:val="15"/>
            </w:pPr>
            <w:r>
              <w:t>986.45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35.00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986.45</w:t>
            </w:r>
          </w:p>
        </w:tc>
        <w:tc>
          <w:tcPr>
            <w:tcW w:w="4535" w:type="dxa"/>
            <w:vAlign w:val="center"/>
          </w:tcPr>
          <w:p>
            <w:pPr>
              <w:pStyle w:val="14"/>
            </w:pPr>
            <w:r>
              <w:t>支出总计</w:t>
            </w:r>
          </w:p>
        </w:tc>
        <w:tc>
          <w:tcPr>
            <w:tcW w:w="2126" w:type="dxa"/>
            <w:vAlign w:val="center"/>
          </w:tcPr>
          <w:p>
            <w:pPr>
              <w:pStyle w:val="15"/>
            </w:pPr>
            <w:r>
              <w:t>986.45</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986.45</w:t>
            </w:r>
          </w:p>
        </w:tc>
        <w:tc>
          <w:tcPr>
            <w:tcW w:w="1134" w:type="dxa"/>
            <w:vAlign w:val="center"/>
          </w:tcPr>
          <w:p>
            <w:pPr>
              <w:pStyle w:val="15"/>
            </w:pPr>
            <w:r>
              <w:t>951.45</w:t>
            </w:r>
          </w:p>
        </w:tc>
        <w:tc>
          <w:tcPr>
            <w:tcW w:w="1134" w:type="dxa"/>
            <w:vAlign w:val="center"/>
          </w:tcPr>
          <w:p>
            <w:pPr>
              <w:pStyle w:val="15"/>
            </w:pPr>
            <w:r>
              <w:t>951.45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68.71</w:t>
            </w:r>
          </w:p>
        </w:tc>
        <w:tc>
          <w:tcPr>
            <w:tcW w:w="1134" w:type="dxa"/>
            <w:vAlign w:val="center"/>
          </w:tcPr>
          <w:p>
            <w:pPr>
              <w:pStyle w:val="11"/>
            </w:pPr>
            <w:r>
              <w:t>68.71</w:t>
            </w:r>
          </w:p>
        </w:tc>
        <w:tc>
          <w:tcPr>
            <w:tcW w:w="1134" w:type="dxa"/>
            <w:vAlign w:val="center"/>
          </w:tcPr>
          <w:p>
            <w:pPr>
              <w:pStyle w:val="11"/>
            </w:pPr>
            <w:r>
              <w:t>68.71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67.99</w:t>
            </w:r>
          </w:p>
        </w:tc>
        <w:tc>
          <w:tcPr>
            <w:tcW w:w="1134" w:type="dxa"/>
            <w:vAlign w:val="center"/>
          </w:tcPr>
          <w:p>
            <w:pPr>
              <w:pStyle w:val="11"/>
            </w:pPr>
            <w:r>
              <w:t>67.99</w:t>
            </w:r>
          </w:p>
        </w:tc>
        <w:tc>
          <w:tcPr>
            <w:tcW w:w="1134" w:type="dxa"/>
            <w:vAlign w:val="center"/>
          </w:tcPr>
          <w:p>
            <w:pPr>
              <w:pStyle w:val="11"/>
            </w:pPr>
            <w:r>
              <w:t>67.99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24.58</w:t>
            </w:r>
          </w:p>
        </w:tc>
        <w:tc>
          <w:tcPr>
            <w:tcW w:w="1134" w:type="dxa"/>
            <w:vAlign w:val="center"/>
          </w:tcPr>
          <w:p>
            <w:pPr>
              <w:pStyle w:val="11"/>
            </w:pPr>
            <w:r>
              <w:t>24.58</w:t>
            </w:r>
          </w:p>
        </w:tc>
        <w:tc>
          <w:tcPr>
            <w:tcW w:w="1134" w:type="dxa"/>
            <w:vAlign w:val="center"/>
          </w:tcPr>
          <w:p>
            <w:pPr>
              <w:pStyle w:val="11"/>
            </w:pPr>
            <w:r>
              <w:t>24.58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43.41</w:t>
            </w:r>
          </w:p>
        </w:tc>
        <w:tc>
          <w:tcPr>
            <w:tcW w:w="1134" w:type="dxa"/>
            <w:vAlign w:val="center"/>
          </w:tcPr>
          <w:p>
            <w:pPr>
              <w:pStyle w:val="11"/>
            </w:pPr>
            <w:r>
              <w:t>43.41</w:t>
            </w:r>
          </w:p>
        </w:tc>
        <w:tc>
          <w:tcPr>
            <w:tcW w:w="1134" w:type="dxa"/>
            <w:vAlign w:val="center"/>
          </w:tcPr>
          <w:p>
            <w:pPr>
              <w:pStyle w:val="11"/>
            </w:pPr>
            <w:r>
              <w:t>43.41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r>
              <w:t>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15.12</w:t>
            </w:r>
          </w:p>
        </w:tc>
        <w:tc>
          <w:tcPr>
            <w:tcW w:w="1134" w:type="dxa"/>
            <w:vAlign w:val="center"/>
          </w:tcPr>
          <w:p>
            <w:pPr>
              <w:pStyle w:val="11"/>
            </w:pPr>
            <w:r>
              <w:t>15.12</w:t>
            </w:r>
          </w:p>
        </w:tc>
        <w:tc>
          <w:tcPr>
            <w:tcW w:w="1134" w:type="dxa"/>
            <w:vAlign w:val="center"/>
          </w:tcPr>
          <w:p>
            <w:pPr>
              <w:pStyle w:val="11"/>
            </w:pPr>
            <w:r>
              <w:t>15.12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15.12</w:t>
            </w:r>
          </w:p>
        </w:tc>
        <w:tc>
          <w:tcPr>
            <w:tcW w:w="1134" w:type="dxa"/>
            <w:vAlign w:val="center"/>
          </w:tcPr>
          <w:p>
            <w:pPr>
              <w:pStyle w:val="11"/>
            </w:pPr>
            <w:r>
              <w:t>15.12</w:t>
            </w:r>
          </w:p>
        </w:tc>
        <w:tc>
          <w:tcPr>
            <w:tcW w:w="1134" w:type="dxa"/>
            <w:vAlign w:val="center"/>
          </w:tcPr>
          <w:p>
            <w:pPr>
              <w:pStyle w:val="11"/>
            </w:pPr>
            <w:r>
              <w:t>15.12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15.12</w:t>
            </w:r>
          </w:p>
        </w:tc>
        <w:tc>
          <w:tcPr>
            <w:tcW w:w="1134" w:type="dxa"/>
            <w:vAlign w:val="center"/>
          </w:tcPr>
          <w:p>
            <w:pPr>
              <w:pStyle w:val="11"/>
            </w:pPr>
            <w:r>
              <w:t>15.12</w:t>
            </w:r>
          </w:p>
        </w:tc>
        <w:tc>
          <w:tcPr>
            <w:tcW w:w="1134" w:type="dxa"/>
            <w:vAlign w:val="center"/>
          </w:tcPr>
          <w:p>
            <w:pPr>
              <w:pStyle w:val="11"/>
            </w:pPr>
            <w:r>
              <w:t>15.12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35.53</w:t>
            </w:r>
          </w:p>
        </w:tc>
        <w:tc>
          <w:tcPr>
            <w:tcW w:w="1134" w:type="dxa"/>
            <w:vAlign w:val="center"/>
          </w:tcPr>
          <w:p>
            <w:pPr>
              <w:pStyle w:val="11"/>
            </w:pPr>
            <w:r>
              <w:t>35.53</w:t>
            </w:r>
          </w:p>
        </w:tc>
        <w:tc>
          <w:tcPr>
            <w:tcW w:w="1134" w:type="dxa"/>
            <w:vAlign w:val="center"/>
          </w:tcPr>
          <w:p>
            <w:pPr>
              <w:pStyle w:val="11"/>
            </w:pPr>
            <w:r>
              <w:t>35.53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35.53</w:t>
            </w:r>
          </w:p>
        </w:tc>
        <w:tc>
          <w:tcPr>
            <w:tcW w:w="1134" w:type="dxa"/>
            <w:vAlign w:val="center"/>
          </w:tcPr>
          <w:p>
            <w:pPr>
              <w:pStyle w:val="11"/>
            </w:pPr>
            <w:r>
              <w:t>35.53</w:t>
            </w:r>
          </w:p>
        </w:tc>
        <w:tc>
          <w:tcPr>
            <w:tcW w:w="1134" w:type="dxa"/>
            <w:vAlign w:val="center"/>
          </w:tcPr>
          <w:p>
            <w:pPr>
              <w:pStyle w:val="11"/>
            </w:pPr>
            <w:r>
              <w:t>35.53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35.53</w:t>
            </w:r>
          </w:p>
        </w:tc>
        <w:tc>
          <w:tcPr>
            <w:tcW w:w="1134" w:type="dxa"/>
            <w:vAlign w:val="center"/>
          </w:tcPr>
          <w:p>
            <w:pPr>
              <w:pStyle w:val="11"/>
            </w:pPr>
            <w:r>
              <w:t>35.53</w:t>
            </w:r>
          </w:p>
        </w:tc>
        <w:tc>
          <w:tcPr>
            <w:tcW w:w="1134" w:type="dxa"/>
            <w:vAlign w:val="center"/>
          </w:tcPr>
          <w:p>
            <w:pPr>
              <w:pStyle w:val="11"/>
            </w:pPr>
            <w:r>
              <w:t>35.53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867.09</w:t>
            </w:r>
          </w:p>
        </w:tc>
        <w:tc>
          <w:tcPr>
            <w:tcW w:w="1134" w:type="dxa"/>
            <w:vAlign w:val="center"/>
          </w:tcPr>
          <w:p>
            <w:pPr>
              <w:pStyle w:val="11"/>
            </w:pPr>
            <w:r>
              <w:t>832.09</w:t>
            </w:r>
          </w:p>
        </w:tc>
        <w:tc>
          <w:tcPr>
            <w:tcW w:w="1134" w:type="dxa"/>
            <w:vAlign w:val="center"/>
          </w:tcPr>
          <w:p>
            <w:pPr>
              <w:pStyle w:val="11"/>
            </w:pPr>
            <w:r>
              <w:t>832.09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791.73</w:t>
            </w:r>
          </w:p>
        </w:tc>
        <w:tc>
          <w:tcPr>
            <w:tcW w:w="1134" w:type="dxa"/>
            <w:vAlign w:val="center"/>
          </w:tcPr>
          <w:p>
            <w:pPr>
              <w:pStyle w:val="11"/>
            </w:pPr>
            <w:r>
              <w:t>756.73</w:t>
            </w:r>
          </w:p>
        </w:tc>
        <w:tc>
          <w:tcPr>
            <w:tcW w:w="1134" w:type="dxa"/>
            <w:vAlign w:val="center"/>
          </w:tcPr>
          <w:p>
            <w:pPr>
              <w:pStyle w:val="11"/>
            </w:pPr>
            <w:r>
              <w:t>756.73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334.27</w:t>
            </w:r>
          </w:p>
        </w:tc>
        <w:tc>
          <w:tcPr>
            <w:tcW w:w="1134" w:type="dxa"/>
            <w:vAlign w:val="center"/>
          </w:tcPr>
          <w:p>
            <w:pPr>
              <w:pStyle w:val="11"/>
            </w:pPr>
            <w:r>
              <w:t>334.27</w:t>
            </w:r>
          </w:p>
        </w:tc>
        <w:tc>
          <w:tcPr>
            <w:tcW w:w="1134" w:type="dxa"/>
            <w:vAlign w:val="center"/>
          </w:tcPr>
          <w:p>
            <w:pPr>
              <w:pStyle w:val="11"/>
            </w:pPr>
            <w:r>
              <w:t>334.27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311.55</w:t>
            </w:r>
          </w:p>
        </w:tc>
        <w:tc>
          <w:tcPr>
            <w:tcW w:w="1134" w:type="dxa"/>
            <w:vAlign w:val="center"/>
          </w:tcPr>
          <w:p>
            <w:pPr>
              <w:pStyle w:val="11"/>
            </w:pPr>
            <w:r>
              <w:t>311.55</w:t>
            </w:r>
          </w:p>
        </w:tc>
        <w:tc>
          <w:tcPr>
            <w:tcW w:w="1134" w:type="dxa"/>
            <w:vAlign w:val="center"/>
          </w:tcPr>
          <w:p>
            <w:pPr>
              <w:pStyle w:val="11"/>
            </w:pPr>
            <w:r>
              <w:t>311.55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27.56</w:t>
            </w:r>
          </w:p>
        </w:tc>
        <w:tc>
          <w:tcPr>
            <w:tcW w:w="1134" w:type="dxa"/>
            <w:vAlign w:val="center"/>
          </w:tcPr>
          <w:p>
            <w:pPr>
              <w:pStyle w:val="11"/>
            </w:pPr>
            <w:r>
              <w:t>27.56</w:t>
            </w:r>
          </w:p>
        </w:tc>
        <w:tc>
          <w:tcPr>
            <w:tcW w:w="1134" w:type="dxa"/>
            <w:vAlign w:val="center"/>
          </w:tcPr>
          <w:p>
            <w:pPr>
              <w:pStyle w:val="11"/>
            </w:pPr>
            <w:r>
              <w:t>27.56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2240150</w:t>
            </w:r>
          </w:p>
        </w:tc>
        <w:tc>
          <w:tcPr>
            <w:tcW w:w="1559" w:type="dxa"/>
            <w:vAlign w:val="center"/>
          </w:tcPr>
          <w:p>
            <w:pPr>
              <w:pStyle w:val="12"/>
            </w:pPr>
            <w:r>
              <w:t>事业运行</w:t>
            </w:r>
          </w:p>
        </w:tc>
        <w:tc>
          <w:tcPr>
            <w:tcW w:w="1134" w:type="dxa"/>
            <w:vAlign w:val="center"/>
          </w:tcPr>
          <w:p>
            <w:pPr>
              <w:pStyle w:val="11"/>
            </w:pPr>
            <w:r>
              <w:t>83.35</w:t>
            </w:r>
          </w:p>
        </w:tc>
        <w:tc>
          <w:tcPr>
            <w:tcW w:w="1134" w:type="dxa"/>
            <w:vAlign w:val="center"/>
          </w:tcPr>
          <w:p>
            <w:pPr>
              <w:pStyle w:val="11"/>
            </w:pPr>
            <w:r>
              <w:t>83.35</w:t>
            </w:r>
          </w:p>
        </w:tc>
        <w:tc>
          <w:tcPr>
            <w:tcW w:w="1134" w:type="dxa"/>
            <w:vAlign w:val="center"/>
          </w:tcPr>
          <w:p>
            <w:pPr>
              <w:pStyle w:val="11"/>
            </w:pPr>
            <w:r>
              <w:t>83.35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0.96</w:t>
            </w:r>
          </w:p>
        </w:tc>
        <w:tc>
          <w:tcPr>
            <w:tcW w:w="1134" w:type="dxa"/>
            <w:vAlign w:val="center"/>
          </w:tcPr>
          <w:p>
            <w:pPr>
              <w:pStyle w:val="11"/>
            </w:pPr>
            <w:r>
              <w:t>0.96</w:t>
            </w:r>
          </w:p>
        </w:tc>
        <w:tc>
          <w:tcPr>
            <w:tcW w:w="1134" w:type="dxa"/>
            <w:vAlign w:val="center"/>
          </w:tcPr>
          <w:p>
            <w:pPr>
              <w:pStyle w:val="11"/>
            </w:pPr>
            <w:r>
              <w:t>0.96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2240202</w:t>
            </w:r>
          </w:p>
        </w:tc>
        <w:tc>
          <w:tcPr>
            <w:tcW w:w="1559" w:type="dxa"/>
            <w:vAlign w:val="center"/>
          </w:tcPr>
          <w:p>
            <w:pPr>
              <w:pStyle w:val="12"/>
            </w:pPr>
            <w:r>
              <w:t>一般行政管理事务</w:t>
            </w:r>
          </w:p>
        </w:tc>
        <w:tc>
          <w:tcPr>
            <w:tcW w:w="1134" w:type="dxa"/>
            <w:vAlign w:val="center"/>
          </w:tcPr>
          <w:p>
            <w:pPr>
              <w:pStyle w:val="11"/>
            </w:pPr>
            <w:r>
              <w:t>0.96</w:t>
            </w:r>
          </w:p>
        </w:tc>
        <w:tc>
          <w:tcPr>
            <w:tcW w:w="1134" w:type="dxa"/>
            <w:vAlign w:val="center"/>
          </w:tcPr>
          <w:p>
            <w:pPr>
              <w:pStyle w:val="11"/>
            </w:pPr>
            <w:r>
              <w:t>0.96</w:t>
            </w:r>
          </w:p>
        </w:tc>
        <w:tc>
          <w:tcPr>
            <w:tcW w:w="1134" w:type="dxa"/>
            <w:vAlign w:val="center"/>
          </w:tcPr>
          <w:p>
            <w:pPr>
              <w:pStyle w:val="11"/>
            </w:pPr>
            <w:r>
              <w:t>0.96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74.40</w:t>
            </w:r>
          </w:p>
        </w:tc>
        <w:tc>
          <w:tcPr>
            <w:tcW w:w="1134" w:type="dxa"/>
            <w:vAlign w:val="center"/>
          </w:tcPr>
          <w:p>
            <w:pPr>
              <w:pStyle w:val="11"/>
            </w:pPr>
            <w:r>
              <w:t>74.40</w:t>
            </w:r>
          </w:p>
        </w:tc>
        <w:tc>
          <w:tcPr>
            <w:tcW w:w="1134" w:type="dxa"/>
            <w:vAlign w:val="center"/>
          </w:tcPr>
          <w:p>
            <w:pPr>
              <w:pStyle w:val="11"/>
            </w:pPr>
            <w:r>
              <w:t>74.40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74.40</w:t>
            </w:r>
          </w:p>
        </w:tc>
        <w:tc>
          <w:tcPr>
            <w:tcW w:w="1134" w:type="dxa"/>
            <w:vAlign w:val="center"/>
          </w:tcPr>
          <w:p>
            <w:pPr>
              <w:pStyle w:val="11"/>
            </w:pPr>
            <w:r>
              <w:t>74.40</w:t>
            </w:r>
          </w:p>
        </w:tc>
        <w:tc>
          <w:tcPr>
            <w:tcW w:w="1134" w:type="dxa"/>
            <w:vAlign w:val="center"/>
          </w:tcPr>
          <w:p>
            <w:pPr>
              <w:pStyle w:val="11"/>
            </w:pPr>
            <w:r>
              <w:t>74.40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986.45</w:t>
            </w:r>
          </w:p>
        </w:tc>
        <w:tc>
          <w:tcPr>
            <w:tcW w:w="1361" w:type="dxa"/>
            <w:vAlign w:val="center"/>
          </w:tcPr>
          <w:p>
            <w:pPr>
              <w:pStyle w:val="15"/>
            </w:pPr>
            <w:r>
              <w:t>536.26</w:t>
            </w:r>
          </w:p>
        </w:tc>
        <w:tc>
          <w:tcPr>
            <w:tcW w:w="1361" w:type="dxa"/>
            <w:vAlign w:val="center"/>
          </w:tcPr>
          <w:p>
            <w:pPr>
              <w:pStyle w:val="15"/>
            </w:pPr>
            <w:r>
              <w:t>450.19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68.71</w:t>
            </w:r>
          </w:p>
        </w:tc>
        <w:tc>
          <w:tcPr>
            <w:tcW w:w="1361" w:type="dxa"/>
            <w:vAlign w:val="center"/>
          </w:tcPr>
          <w:p>
            <w:pPr>
              <w:pStyle w:val="11"/>
            </w:pPr>
            <w:r>
              <w:t>67.99</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67.99</w:t>
            </w:r>
          </w:p>
        </w:tc>
        <w:tc>
          <w:tcPr>
            <w:tcW w:w="1361" w:type="dxa"/>
            <w:vAlign w:val="center"/>
          </w:tcPr>
          <w:p>
            <w:pPr>
              <w:pStyle w:val="11"/>
            </w:pPr>
            <w:r>
              <w:t>67.99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24.58</w:t>
            </w:r>
          </w:p>
        </w:tc>
        <w:tc>
          <w:tcPr>
            <w:tcW w:w="1361" w:type="dxa"/>
            <w:vAlign w:val="center"/>
          </w:tcPr>
          <w:p>
            <w:pPr>
              <w:pStyle w:val="11"/>
            </w:pPr>
            <w:r>
              <w:t>24.58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43.41</w:t>
            </w:r>
          </w:p>
        </w:tc>
        <w:tc>
          <w:tcPr>
            <w:tcW w:w="1361" w:type="dxa"/>
            <w:vAlign w:val="center"/>
          </w:tcPr>
          <w:p>
            <w:pPr>
              <w:pStyle w:val="11"/>
            </w:pPr>
            <w:r>
              <w:t>43.41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r>
              <w:t>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15.12</w:t>
            </w:r>
          </w:p>
        </w:tc>
        <w:tc>
          <w:tcPr>
            <w:tcW w:w="1361" w:type="dxa"/>
            <w:vAlign w:val="center"/>
          </w:tcPr>
          <w:p>
            <w:pPr>
              <w:pStyle w:val="11"/>
            </w:pPr>
            <w:r>
              <w:t>15.12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15.12</w:t>
            </w:r>
          </w:p>
        </w:tc>
        <w:tc>
          <w:tcPr>
            <w:tcW w:w="1361" w:type="dxa"/>
            <w:vAlign w:val="center"/>
          </w:tcPr>
          <w:p>
            <w:pPr>
              <w:pStyle w:val="11"/>
            </w:pPr>
            <w:r>
              <w:t>15.12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15.12</w:t>
            </w:r>
          </w:p>
        </w:tc>
        <w:tc>
          <w:tcPr>
            <w:tcW w:w="1361" w:type="dxa"/>
            <w:vAlign w:val="center"/>
          </w:tcPr>
          <w:p>
            <w:pPr>
              <w:pStyle w:val="11"/>
            </w:pPr>
            <w:r>
              <w:t>15.12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35.53</w:t>
            </w:r>
          </w:p>
        </w:tc>
        <w:tc>
          <w:tcPr>
            <w:tcW w:w="1361" w:type="dxa"/>
            <w:vAlign w:val="center"/>
          </w:tcPr>
          <w:p>
            <w:pPr>
              <w:pStyle w:val="11"/>
            </w:pPr>
            <w:r>
              <w:t>35.53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35.53</w:t>
            </w:r>
          </w:p>
        </w:tc>
        <w:tc>
          <w:tcPr>
            <w:tcW w:w="1361" w:type="dxa"/>
            <w:vAlign w:val="center"/>
          </w:tcPr>
          <w:p>
            <w:pPr>
              <w:pStyle w:val="11"/>
            </w:pPr>
            <w:r>
              <w:t>35.53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35.53</w:t>
            </w:r>
          </w:p>
        </w:tc>
        <w:tc>
          <w:tcPr>
            <w:tcW w:w="1361" w:type="dxa"/>
            <w:vAlign w:val="center"/>
          </w:tcPr>
          <w:p>
            <w:pPr>
              <w:pStyle w:val="11"/>
            </w:pPr>
            <w:r>
              <w:t>35.53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867.09</w:t>
            </w:r>
          </w:p>
        </w:tc>
        <w:tc>
          <w:tcPr>
            <w:tcW w:w="1361" w:type="dxa"/>
            <w:vAlign w:val="center"/>
          </w:tcPr>
          <w:p>
            <w:pPr>
              <w:pStyle w:val="11"/>
            </w:pPr>
            <w:r>
              <w:t>417.62</w:t>
            </w:r>
          </w:p>
        </w:tc>
        <w:tc>
          <w:tcPr>
            <w:tcW w:w="1361" w:type="dxa"/>
            <w:vAlign w:val="center"/>
          </w:tcPr>
          <w:p>
            <w:pPr>
              <w:pStyle w:val="11"/>
            </w:pPr>
            <w:r>
              <w:t>449.47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791.73</w:t>
            </w:r>
          </w:p>
        </w:tc>
        <w:tc>
          <w:tcPr>
            <w:tcW w:w="1361" w:type="dxa"/>
            <w:vAlign w:val="center"/>
          </w:tcPr>
          <w:p>
            <w:pPr>
              <w:pStyle w:val="11"/>
            </w:pPr>
            <w:r>
              <w:t>417.62</w:t>
            </w:r>
          </w:p>
        </w:tc>
        <w:tc>
          <w:tcPr>
            <w:tcW w:w="1361" w:type="dxa"/>
            <w:vAlign w:val="center"/>
          </w:tcPr>
          <w:p>
            <w:pPr>
              <w:pStyle w:val="11"/>
            </w:pPr>
            <w:r>
              <w:t>374.11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334.27</w:t>
            </w:r>
          </w:p>
        </w:tc>
        <w:tc>
          <w:tcPr>
            <w:tcW w:w="1361" w:type="dxa"/>
            <w:vAlign w:val="center"/>
          </w:tcPr>
          <w:p>
            <w:pPr>
              <w:pStyle w:val="11"/>
            </w:pPr>
            <w:r>
              <w:t>334.27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311.55</w:t>
            </w:r>
          </w:p>
        </w:tc>
        <w:tc>
          <w:tcPr>
            <w:tcW w:w="1361" w:type="dxa"/>
            <w:vAlign w:val="center"/>
          </w:tcPr>
          <w:p>
            <w:pPr>
              <w:pStyle w:val="11"/>
            </w:pPr>
          </w:p>
        </w:tc>
        <w:tc>
          <w:tcPr>
            <w:tcW w:w="1361" w:type="dxa"/>
            <w:vAlign w:val="center"/>
          </w:tcPr>
          <w:p>
            <w:pPr>
              <w:pStyle w:val="11"/>
            </w:pPr>
            <w:r>
              <w:t>311.55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27.56</w:t>
            </w:r>
          </w:p>
        </w:tc>
        <w:tc>
          <w:tcPr>
            <w:tcW w:w="1361" w:type="dxa"/>
            <w:vAlign w:val="center"/>
          </w:tcPr>
          <w:p>
            <w:pPr>
              <w:pStyle w:val="11"/>
            </w:pPr>
          </w:p>
        </w:tc>
        <w:tc>
          <w:tcPr>
            <w:tcW w:w="1361" w:type="dxa"/>
            <w:vAlign w:val="center"/>
          </w:tcPr>
          <w:p>
            <w:pPr>
              <w:pStyle w:val="11"/>
            </w:pPr>
            <w:r>
              <w:t>27.56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2240150</w:t>
            </w:r>
          </w:p>
        </w:tc>
        <w:tc>
          <w:tcPr>
            <w:tcW w:w="4535" w:type="dxa"/>
            <w:vAlign w:val="center"/>
          </w:tcPr>
          <w:p>
            <w:pPr>
              <w:pStyle w:val="12"/>
            </w:pPr>
            <w:r>
              <w:t>事业运行</w:t>
            </w:r>
          </w:p>
        </w:tc>
        <w:tc>
          <w:tcPr>
            <w:tcW w:w="1361" w:type="dxa"/>
            <w:vAlign w:val="center"/>
          </w:tcPr>
          <w:p>
            <w:pPr>
              <w:pStyle w:val="11"/>
            </w:pPr>
            <w:r>
              <w:t>83.35</w:t>
            </w:r>
          </w:p>
        </w:tc>
        <w:tc>
          <w:tcPr>
            <w:tcW w:w="1361" w:type="dxa"/>
            <w:vAlign w:val="center"/>
          </w:tcPr>
          <w:p>
            <w:pPr>
              <w:pStyle w:val="11"/>
            </w:pPr>
            <w:r>
              <w:t>83.35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0.96</w:t>
            </w:r>
          </w:p>
        </w:tc>
        <w:tc>
          <w:tcPr>
            <w:tcW w:w="1361" w:type="dxa"/>
            <w:vAlign w:val="center"/>
          </w:tcPr>
          <w:p>
            <w:pPr>
              <w:pStyle w:val="11"/>
            </w:pPr>
          </w:p>
        </w:tc>
        <w:tc>
          <w:tcPr>
            <w:tcW w:w="1361" w:type="dxa"/>
            <w:vAlign w:val="center"/>
          </w:tcPr>
          <w:p>
            <w:pPr>
              <w:pStyle w:val="11"/>
            </w:pPr>
            <w:r>
              <w:t>0.96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2240202</w:t>
            </w:r>
          </w:p>
        </w:tc>
        <w:tc>
          <w:tcPr>
            <w:tcW w:w="4535" w:type="dxa"/>
            <w:vAlign w:val="center"/>
          </w:tcPr>
          <w:p>
            <w:pPr>
              <w:pStyle w:val="12"/>
            </w:pPr>
            <w:r>
              <w:t>一般行政管理事务</w:t>
            </w:r>
          </w:p>
        </w:tc>
        <w:tc>
          <w:tcPr>
            <w:tcW w:w="1361" w:type="dxa"/>
            <w:vAlign w:val="center"/>
          </w:tcPr>
          <w:p>
            <w:pPr>
              <w:pStyle w:val="11"/>
            </w:pPr>
            <w:r>
              <w:t>0.96</w:t>
            </w:r>
          </w:p>
        </w:tc>
        <w:tc>
          <w:tcPr>
            <w:tcW w:w="1361" w:type="dxa"/>
            <w:vAlign w:val="center"/>
          </w:tcPr>
          <w:p>
            <w:pPr>
              <w:pStyle w:val="11"/>
            </w:pPr>
          </w:p>
        </w:tc>
        <w:tc>
          <w:tcPr>
            <w:tcW w:w="1361" w:type="dxa"/>
            <w:vAlign w:val="center"/>
          </w:tcPr>
          <w:p>
            <w:pPr>
              <w:pStyle w:val="11"/>
            </w:pPr>
            <w:r>
              <w:t>0.96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74.40</w:t>
            </w:r>
          </w:p>
        </w:tc>
        <w:tc>
          <w:tcPr>
            <w:tcW w:w="1361" w:type="dxa"/>
            <w:vAlign w:val="center"/>
          </w:tcPr>
          <w:p>
            <w:pPr>
              <w:pStyle w:val="11"/>
            </w:pPr>
          </w:p>
        </w:tc>
        <w:tc>
          <w:tcPr>
            <w:tcW w:w="1361" w:type="dxa"/>
            <w:vAlign w:val="center"/>
          </w:tcPr>
          <w:p>
            <w:pPr>
              <w:pStyle w:val="11"/>
            </w:pPr>
            <w:r>
              <w:t>74.40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74.40</w:t>
            </w:r>
          </w:p>
        </w:tc>
        <w:tc>
          <w:tcPr>
            <w:tcW w:w="1361" w:type="dxa"/>
            <w:vAlign w:val="center"/>
          </w:tcPr>
          <w:p>
            <w:pPr>
              <w:pStyle w:val="11"/>
            </w:pPr>
          </w:p>
        </w:tc>
        <w:tc>
          <w:tcPr>
            <w:tcW w:w="1361" w:type="dxa"/>
            <w:vAlign w:val="center"/>
          </w:tcPr>
          <w:p>
            <w:pPr>
              <w:pStyle w:val="11"/>
            </w:pPr>
            <w:r>
              <w:t>74.40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951.45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68.71</w:t>
            </w:r>
          </w:p>
        </w:tc>
        <w:tc>
          <w:tcPr>
            <w:tcW w:w="1474" w:type="dxa"/>
            <w:vAlign w:val="center"/>
          </w:tcPr>
          <w:p>
            <w:pPr>
              <w:pStyle w:val="11"/>
            </w:pPr>
            <w:r>
              <w:t>68.71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15.12</w:t>
            </w:r>
          </w:p>
        </w:tc>
        <w:tc>
          <w:tcPr>
            <w:tcW w:w="1474" w:type="dxa"/>
            <w:vAlign w:val="center"/>
          </w:tcPr>
          <w:p>
            <w:pPr>
              <w:pStyle w:val="11"/>
            </w:pPr>
            <w:r>
              <w:t>15.12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35.53</w:t>
            </w:r>
          </w:p>
        </w:tc>
        <w:tc>
          <w:tcPr>
            <w:tcW w:w="1474" w:type="dxa"/>
            <w:vAlign w:val="center"/>
          </w:tcPr>
          <w:p>
            <w:pPr>
              <w:pStyle w:val="11"/>
            </w:pPr>
            <w:r>
              <w:t>35.53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867.09</w:t>
            </w:r>
          </w:p>
        </w:tc>
        <w:tc>
          <w:tcPr>
            <w:tcW w:w="1474" w:type="dxa"/>
            <w:vAlign w:val="center"/>
          </w:tcPr>
          <w:p>
            <w:pPr>
              <w:pStyle w:val="11"/>
            </w:pPr>
            <w:r>
              <w:t>867.09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951.45</w:t>
            </w:r>
          </w:p>
        </w:tc>
        <w:tc>
          <w:tcPr>
            <w:tcW w:w="3402" w:type="dxa"/>
            <w:vAlign w:val="center"/>
          </w:tcPr>
          <w:p>
            <w:pPr>
              <w:pStyle w:val="14"/>
            </w:pPr>
            <w:r>
              <w:t>本年支出合计</w:t>
            </w:r>
          </w:p>
        </w:tc>
        <w:tc>
          <w:tcPr>
            <w:tcW w:w="1474" w:type="dxa"/>
            <w:vAlign w:val="center"/>
          </w:tcPr>
          <w:p>
            <w:pPr>
              <w:pStyle w:val="15"/>
            </w:pPr>
            <w:r>
              <w:t>986.45</w:t>
            </w:r>
          </w:p>
        </w:tc>
        <w:tc>
          <w:tcPr>
            <w:tcW w:w="1474" w:type="dxa"/>
            <w:vAlign w:val="center"/>
          </w:tcPr>
          <w:p>
            <w:pPr>
              <w:pStyle w:val="15"/>
            </w:pPr>
            <w:r>
              <w:t>986.45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35.00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986.45</w:t>
            </w:r>
          </w:p>
        </w:tc>
        <w:tc>
          <w:tcPr>
            <w:tcW w:w="3402" w:type="dxa"/>
            <w:vAlign w:val="center"/>
          </w:tcPr>
          <w:p>
            <w:pPr>
              <w:pStyle w:val="14"/>
            </w:pPr>
            <w:r>
              <w:t>支出总计</w:t>
            </w:r>
          </w:p>
        </w:tc>
        <w:tc>
          <w:tcPr>
            <w:tcW w:w="1474" w:type="dxa"/>
            <w:vAlign w:val="center"/>
          </w:tcPr>
          <w:p>
            <w:pPr>
              <w:pStyle w:val="15"/>
            </w:pPr>
            <w:r>
              <w:t>986.45</w:t>
            </w:r>
          </w:p>
        </w:tc>
        <w:tc>
          <w:tcPr>
            <w:tcW w:w="1474" w:type="dxa"/>
            <w:vAlign w:val="center"/>
          </w:tcPr>
          <w:p>
            <w:pPr>
              <w:pStyle w:val="15"/>
            </w:pPr>
            <w:r>
              <w:t>986.45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986.45</w:t>
            </w:r>
          </w:p>
        </w:tc>
        <w:tc>
          <w:tcPr>
            <w:tcW w:w="2551" w:type="dxa"/>
            <w:vAlign w:val="center"/>
          </w:tcPr>
          <w:p>
            <w:pPr>
              <w:pStyle w:val="15"/>
            </w:pPr>
            <w:r>
              <w:t>536.26</w:t>
            </w:r>
          </w:p>
        </w:tc>
        <w:tc>
          <w:tcPr>
            <w:tcW w:w="2551" w:type="dxa"/>
            <w:vAlign w:val="center"/>
          </w:tcPr>
          <w:p>
            <w:pPr>
              <w:pStyle w:val="15"/>
            </w:pPr>
            <w:r>
              <w:t>450.19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68.71</w:t>
            </w:r>
          </w:p>
        </w:tc>
        <w:tc>
          <w:tcPr>
            <w:tcW w:w="2551" w:type="dxa"/>
            <w:vAlign w:val="center"/>
          </w:tcPr>
          <w:p>
            <w:pPr>
              <w:pStyle w:val="11"/>
            </w:pPr>
            <w:r>
              <w:t>67.99</w:t>
            </w:r>
          </w:p>
        </w:tc>
        <w:tc>
          <w:tcPr>
            <w:tcW w:w="2551"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67.99</w:t>
            </w:r>
          </w:p>
        </w:tc>
        <w:tc>
          <w:tcPr>
            <w:tcW w:w="2551" w:type="dxa"/>
            <w:vAlign w:val="center"/>
          </w:tcPr>
          <w:p>
            <w:pPr>
              <w:pStyle w:val="11"/>
            </w:pPr>
            <w:r>
              <w:t>67.99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24.58</w:t>
            </w:r>
          </w:p>
        </w:tc>
        <w:tc>
          <w:tcPr>
            <w:tcW w:w="2551" w:type="dxa"/>
            <w:vAlign w:val="center"/>
          </w:tcPr>
          <w:p>
            <w:pPr>
              <w:pStyle w:val="11"/>
            </w:pPr>
            <w:r>
              <w:t>24.58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43.41</w:t>
            </w:r>
          </w:p>
        </w:tc>
        <w:tc>
          <w:tcPr>
            <w:tcW w:w="2551" w:type="dxa"/>
            <w:vAlign w:val="center"/>
          </w:tcPr>
          <w:p>
            <w:pPr>
              <w:pStyle w:val="11"/>
            </w:pPr>
            <w:r>
              <w:t>43.41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15.12</w:t>
            </w:r>
          </w:p>
        </w:tc>
        <w:tc>
          <w:tcPr>
            <w:tcW w:w="2551" w:type="dxa"/>
            <w:vAlign w:val="center"/>
          </w:tcPr>
          <w:p>
            <w:pPr>
              <w:pStyle w:val="11"/>
            </w:pPr>
            <w:r>
              <w:t>15.12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15.12</w:t>
            </w:r>
          </w:p>
        </w:tc>
        <w:tc>
          <w:tcPr>
            <w:tcW w:w="2551" w:type="dxa"/>
            <w:vAlign w:val="center"/>
          </w:tcPr>
          <w:p>
            <w:pPr>
              <w:pStyle w:val="11"/>
            </w:pPr>
            <w:r>
              <w:t>15.12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15.12</w:t>
            </w:r>
          </w:p>
        </w:tc>
        <w:tc>
          <w:tcPr>
            <w:tcW w:w="2551" w:type="dxa"/>
            <w:vAlign w:val="center"/>
          </w:tcPr>
          <w:p>
            <w:pPr>
              <w:pStyle w:val="11"/>
            </w:pPr>
            <w:r>
              <w:t>15.12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35.53</w:t>
            </w:r>
          </w:p>
        </w:tc>
        <w:tc>
          <w:tcPr>
            <w:tcW w:w="2551" w:type="dxa"/>
            <w:vAlign w:val="center"/>
          </w:tcPr>
          <w:p>
            <w:pPr>
              <w:pStyle w:val="11"/>
            </w:pPr>
            <w:r>
              <w:t>35.53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35.53</w:t>
            </w:r>
          </w:p>
        </w:tc>
        <w:tc>
          <w:tcPr>
            <w:tcW w:w="2551" w:type="dxa"/>
            <w:vAlign w:val="center"/>
          </w:tcPr>
          <w:p>
            <w:pPr>
              <w:pStyle w:val="11"/>
            </w:pPr>
            <w:r>
              <w:t>35.53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35.53</w:t>
            </w:r>
          </w:p>
        </w:tc>
        <w:tc>
          <w:tcPr>
            <w:tcW w:w="2551" w:type="dxa"/>
            <w:vAlign w:val="center"/>
          </w:tcPr>
          <w:p>
            <w:pPr>
              <w:pStyle w:val="11"/>
            </w:pPr>
            <w:r>
              <w:t>35.53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867.09</w:t>
            </w:r>
          </w:p>
        </w:tc>
        <w:tc>
          <w:tcPr>
            <w:tcW w:w="2551" w:type="dxa"/>
            <w:vAlign w:val="center"/>
          </w:tcPr>
          <w:p>
            <w:pPr>
              <w:pStyle w:val="11"/>
            </w:pPr>
            <w:r>
              <w:t>417.62</w:t>
            </w:r>
          </w:p>
        </w:tc>
        <w:tc>
          <w:tcPr>
            <w:tcW w:w="2551" w:type="dxa"/>
            <w:vAlign w:val="center"/>
          </w:tcPr>
          <w:p>
            <w:pPr>
              <w:pStyle w:val="11"/>
            </w:pPr>
            <w:r>
              <w:t>449.47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791.73</w:t>
            </w:r>
          </w:p>
        </w:tc>
        <w:tc>
          <w:tcPr>
            <w:tcW w:w="2551" w:type="dxa"/>
            <w:vAlign w:val="center"/>
          </w:tcPr>
          <w:p>
            <w:pPr>
              <w:pStyle w:val="11"/>
            </w:pPr>
            <w:r>
              <w:t>417.62</w:t>
            </w:r>
          </w:p>
        </w:tc>
        <w:tc>
          <w:tcPr>
            <w:tcW w:w="2551" w:type="dxa"/>
            <w:vAlign w:val="center"/>
          </w:tcPr>
          <w:p>
            <w:pPr>
              <w:pStyle w:val="11"/>
            </w:pPr>
            <w:r>
              <w:t>374.11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334.27</w:t>
            </w:r>
          </w:p>
        </w:tc>
        <w:tc>
          <w:tcPr>
            <w:tcW w:w="2551" w:type="dxa"/>
            <w:vAlign w:val="center"/>
          </w:tcPr>
          <w:p>
            <w:pPr>
              <w:pStyle w:val="11"/>
            </w:pPr>
            <w:r>
              <w:t>334.27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311.55</w:t>
            </w:r>
          </w:p>
        </w:tc>
        <w:tc>
          <w:tcPr>
            <w:tcW w:w="2551" w:type="dxa"/>
            <w:vAlign w:val="center"/>
          </w:tcPr>
          <w:p>
            <w:pPr>
              <w:pStyle w:val="11"/>
            </w:pPr>
          </w:p>
        </w:tc>
        <w:tc>
          <w:tcPr>
            <w:tcW w:w="2551" w:type="dxa"/>
            <w:vAlign w:val="center"/>
          </w:tcPr>
          <w:p>
            <w:pPr>
              <w:pStyle w:val="11"/>
            </w:pPr>
            <w:r>
              <w:t>311.55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27.56</w:t>
            </w:r>
          </w:p>
        </w:tc>
        <w:tc>
          <w:tcPr>
            <w:tcW w:w="2551" w:type="dxa"/>
            <w:vAlign w:val="center"/>
          </w:tcPr>
          <w:p>
            <w:pPr>
              <w:pStyle w:val="11"/>
            </w:pPr>
          </w:p>
        </w:tc>
        <w:tc>
          <w:tcPr>
            <w:tcW w:w="2551" w:type="dxa"/>
            <w:vAlign w:val="center"/>
          </w:tcPr>
          <w:p>
            <w:pPr>
              <w:pStyle w:val="11"/>
            </w:pPr>
            <w:r>
              <w:t>27.56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83.35</w:t>
            </w:r>
          </w:p>
        </w:tc>
        <w:tc>
          <w:tcPr>
            <w:tcW w:w="2551" w:type="dxa"/>
            <w:vAlign w:val="center"/>
          </w:tcPr>
          <w:p>
            <w:pPr>
              <w:pStyle w:val="11"/>
            </w:pPr>
            <w:r>
              <w:t>83.35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2240202</w:t>
            </w:r>
          </w:p>
        </w:tc>
        <w:tc>
          <w:tcPr>
            <w:tcW w:w="4535" w:type="dxa"/>
            <w:vAlign w:val="center"/>
          </w:tcPr>
          <w:p>
            <w:pPr>
              <w:pStyle w:val="12"/>
            </w:pPr>
            <w:r>
              <w:t>一般行政管理事务</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74.40</w:t>
            </w:r>
          </w:p>
        </w:tc>
        <w:tc>
          <w:tcPr>
            <w:tcW w:w="2551" w:type="dxa"/>
            <w:vAlign w:val="center"/>
          </w:tcPr>
          <w:p>
            <w:pPr>
              <w:pStyle w:val="11"/>
            </w:pPr>
          </w:p>
        </w:tc>
        <w:tc>
          <w:tcPr>
            <w:tcW w:w="2551" w:type="dxa"/>
            <w:vAlign w:val="center"/>
          </w:tcPr>
          <w:p>
            <w:pPr>
              <w:pStyle w:val="11"/>
            </w:pPr>
            <w:r>
              <w:t>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74.40</w:t>
            </w:r>
          </w:p>
        </w:tc>
        <w:tc>
          <w:tcPr>
            <w:tcW w:w="2551" w:type="dxa"/>
            <w:vAlign w:val="center"/>
          </w:tcPr>
          <w:p>
            <w:pPr>
              <w:pStyle w:val="11"/>
            </w:pPr>
          </w:p>
        </w:tc>
        <w:tc>
          <w:tcPr>
            <w:tcW w:w="2551" w:type="dxa"/>
            <w:vAlign w:val="center"/>
          </w:tcPr>
          <w:p>
            <w:pPr>
              <w:pStyle w:val="11"/>
            </w:pPr>
            <w:r>
              <w:t>74.40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536.26</w:t>
            </w:r>
          </w:p>
        </w:tc>
        <w:tc>
          <w:tcPr>
            <w:tcW w:w="2551" w:type="dxa"/>
            <w:vAlign w:val="center"/>
          </w:tcPr>
          <w:p>
            <w:pPr>
              <w:pStyle w:val="15"/>
            </w:pPr>
            <w:r>
              <w:t>487.15</w:t>
            </w:r>
          </w:p>
        </w:tc>
        <w:tc>
          <w:tcPr>
            <w:tcW w:w="2551" w:type="dxa"/>
            <w:vAlign w:val="center"/>
          </w:tcPr>
          <w:p>
            <w:pPr>
              <w:pStyle w:val="15"/>
            </w:pPr>
            <w:r>
              <w:t>49.11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461.39</w:t>
            </w:r>
          </w:p>
        </w:tc>
        <w:tc>
          <w:tcPr>
            <w:tcW w:w="2551" w:type="dxa"/>
            <w:vAlign w:val="center"/>
          </w:tcPr>
          <w:p>
            <w:pPr>
              <w:pStyle w:val="11"/>
            </w:pPr>
            <w:r>
              <w:t>461.39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162.09</w:t>
            </w:r>
          </w:p>
        </w:tc>
        <w:tc>
          <w:tcPr>
            <w:tcW w:w="2551" w:type="dxa"/>
            <w:vAlign w:val="center"/>
          </w:tcPr>
          <w:p>
            <w:pPr>
              <w:pStyle w:val="11"/>
            </w:pPr>
            <w:r>
              <w:t>162.09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96.47</w:t>
            </w:r>
          </w:p>
        </w:tc>
        <w:tc>
          <w:tcPr>
            <w:tcW w:w="2551" w:type="dxa"/>
            <w:vAlign w:val="center"/>
          </w:tcPr>
          <w:p>
            <w:pPr>
              <w:pStyle w:val="11"/>
            </w:pPr>
            <w:r>
              <w:t>96.47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61.90</w:t>
            </w:r>
          </w:p>
        </w:tc>
        <w:tc>
          <w:tcPr>
            <w:tcW w:w="2551" w:type="dxa"/>
            <w:vAlign w:val="center"/>
          </w:tcPr>
          <w:p>
            <w:pPr>
              <w:pStyle w:val="11"/>
            </w:pPr>
            <w:r>
              <w:t>61.90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45.36</w:t>
            </w:r>
          </w:p>
        </w:tc>
        <w:tc>
          <w:tcPr>
            <w:tcW w:w="2551" w:type="dxa"/>
            <w:vAlign w:val="center"/>
          </w:tcPr>
          <w:p>
            <w:pPr>
              <w:pStyle w:val="11"/>
            </w:pPr>
            <w:r>
              <w:t>45.36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43.41</w:t>
            </w:r>
          </w:p>
        </w:tc>
        <w:tc>
          <w:tcPr>
            <w:tcW w:w="2551" w:type="dxa"/>
            <w:vAlign w:val="center"/>
          </w:tcPr>
          <w:p>
            <w:pPr>
              <w:pStyle w:val="11"/>
            </w:pPr>
            <w:r>
              <w:t>43.41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15.12</w:t>
            </w:r>
          </w:p>
        </w:tc>
        <w:tc>
          <w:tcPr>
            <w:tcW w:w="2551" w:type="dxa"/>
            <w:vAlign w:val="center"/>
          </w:tcPr>
          <w:p>
            <w:pPr>
              <w:pStyle w:val="11"/>
            </w:pPr>
            <w:r>
              <w:t>15.12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35.53</w:t>
            </w:r>
          </w:p>
        </w:tc>
        <w:tc>
          <w:tcPr>
            <w:tcW w:w="2551" w:type="dxa"/>
            <w:vAlign w:val="center"/>
          </w:tcPr>
          <w:p>
            <w:pPr>
              <w:pStyle w:val="11"/>
            </w:pPr>
            <w:r>
              <w:t>35.53</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49.11</w:t>
            </w:r>
          </w:p>
        </w:tc>
        <w:tc>
          <w:tcPr>
            <w:tcW w:w="2551" w:type="dxa"/>
            <w:vAlign w:val="center"/>
          </w:tcPr>
          <w:p>
            <w:pPr>
              <w:pStyle w:val="11"/>
            </w:pPr>
          </w:p>
        </w:tc>
        <w:tc>
          <w:tcPr>
            <w:tcW w:w="2551" w:type="dxa"/>
            <w:vAlign w:val="center"/>
          </w:tcPr>
          <w:p>
            <w:pPr>
              <w:pStyle w:val="11"/>
            </w:pPr>
            <w:r>
              <w:t>49.11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6.34</w:t>
            </w:r>
          </w:p>
        </w:tc>
        <w:tc>
          <w:tcPr>
            <w:tcW w:w="2551" w:type="dxa"/>
            <w:vAlign w:val="center"/>
          </w:tcPr>
          <w:p>
            <w:pPr>
              <w:pStyle w:val="11"/>
            </w:pPr>
          </w:p>
        </w:tc>
        <w:tc>
          <w:tcPr>
            <w:tcW w:w="2551" w:type="dxa"/>
            <w:vAlign w:val="center"/>
          </w:tcPr>
          <w:p>
            <w:pPr>
              <w:pStyle w:val="11"/>
            </w:pPr>
            <w:r>
              <w:t>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7.62</w:t>
            </w:r>
          </w:p>
        </w:tc>
        <w:tc>
          <w:tcPr>
            <w:tcW w:w="2551" w:type="dxa"/>
            <w:vAlign w:val="center"/>
          </w:tcPr>
          <w:p>
            <w:pPr>
              <w:pStyle w:val="11"/>
            </w:pPr>
          </w:p>
        </w:tc>
        <w:tc>
          <w:tcPr>
            <w:tcW w:w="2551" w:type="dxa"/>
            <w:vAlign w:val="center"/>
          </w:tcPr>
          <w:p>
            <w:pPr>
              <w:pStyle w:val="11"/>
            </w:pPr>
            <w:r>
              <w:t>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4.44</w:t>
            </w:r>
          </w:p>
        </w:tc>
        <w:tc>
          <w:tcPr>
            <w:tcW w:w="2551" w:type="dxa"/>
            <w:vAlign w:val="center"/>
          </w:tcPr>
          <w:p>
            <w:pPr>
              <w:pStyle w:val="11"/>
            </w:pPr>
          </w:p>
        </w:tc>
        <w:tc>
          <w:tcPr>
            <w:tcW w:w="2551" w:type="dxa"/>
            <w:vAlign w:val="center"/>
          </w:tcPr>
          <w:p>
            <w:pPr>
              <w:pStyle w:val="11"/>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9.40</w:t>
            </w:r>
          </w:p>
        </w:tc>
        <w:tc>
          <w:tcPr>
            <w:tcW w:w="2551" w:type="dxa"/>
            <w:vAlign w:val="center"/>
          </w:tcPr>
          <w:p>
            <w:pPr>
              <w:pStyle w:val="11"/>
            </w:pPr>
          </w:p>
        </w:tc>
        <w:tc>
          <w:tcPr>
            <w:tcW w:w="2551" w:type="dxa"/>
            <w:vAlign w:val="center"/>
          </w:tcPr>
          <w:p>
            <w:pPr>
              <w:pStyle w:val="11"/>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12.78</w:t>
            </w:r>
          </w:p>
        </w:tc>
        <w:tc>
          <w:tcPr>
            <w:tcW w:w="2551" w:type="dxa"/>
            <w:vAlign w:val="center"/>
          </w:tcPr>
          <w:p>
            <w:pPr>
              <w:pStyle w:val="11"/>
            </w:pPr>
          </w:p>
        </w:tc>
        <w:tc>
          <w:tcPr>
            <w:tcW w:w="2551" w:type="dxa"/>
            <w:vAlign w:val="center"/>
          </w:tcPr>
          <w:p>
            <w:pPr>
              <w:pStyle w:val="11"/>
            </w:pPr>
            <w:r>
              <w:t>12.78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7.31</w:t>
            </w:r>
          </w:p>
        </w:tc>
        <w:tc>
          <w:tcPr>
            <w:tcW w:w="2551" w:type="dxa"/>
            <w:vAlign w:val="center"/>
          </w:tcPr>
          <w:p>
            <w:pPr>
              <w:pStyle w:val="11"/>
            </w:pPr>
          </w:p>
        </w:tc>
        <w:tc>
          <w:tcPr>
            <w:tcW w:w="2551" w:type="dxa"/>
            <w:vAlign w:val="center"/>
          </w:tcPr>
          <w:p>
            <w:pPr>
              <w:pStyle w:val="11"/>
            </w:pPr>
            <w:r>
              <w:t>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25.76</w:t>
            </w:r>
          </w:p>
        </w:tc>
        <w:tc>
          <w:tcPr>
            <w:tcW w:w="2551" w:type="dxa"/>
            <w:vAlign w:val="center"/>
          </w:tcPr>
          <w:p>
            <w:pPr>
              <w:pStyle w:val="11"/>
            </w:pPr>
            <w:r>
              <w:t>25.76</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23.95</w:t>
            </w:r>
          </w:p>
        </w:tc>
        <w:tc>
          <w:tcPr>
            <w:tcW w:w="2551" w:type="dxa"/>
            <w:vAlign w:val="center"/>
          </w:tcPr>
          <w:p>
            <w:pPr>
              <w:pStyle w:val="11"/>
            </w:pPr>
            <w:r>
              <w:t>23.95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1.82</w:t>
            </w:r>
          </w:p>
        </w:tc>
        <w:tc>
          <w:tcPr>
            <w:tcW w:w="2551" w:type="dxa"/>
            <w:vAlign w:val="center"/>
          </w:tcPr>
          <w:p>
            <w:pPr>
              <w:pStyle w:val="11"/>
            </w:pPr>
            <w:r>
              <w:t>1.82</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9.40</w:t>
            </w:r>
          </w:p>
        </w:tc>
        <w:tc>
          <w:tcPr>
            <w:tcW w:w="2381" w:type="dxa"/>
            <w:vAlign w:val="center"/>
          </w:tcPr>
          <w:p>
            <w:pPr>
              <w:pStyle w:val="15"/>
            </w:pPr>
            <w:r>
              <w:t>9.40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9.40</w:t>
            </w:r>
          </w:p>
        </w:tc>
        <w:tc>
          <w:tcPr>
            <w:tcW w:w="2381" w:type="dxa"/>
            <w:vAlign w:val="center"/>
          </w:tcPr>
          <w:p>
            <w:pPr>
              <w:pStyle w:val="11"/>
            </w:pPr>
            <w:r>
              <w:t>9.40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保定市徐水区应急管理局本级2026年单位预算信息公开情况说明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按照《中华人民共和国预算法》、《地方预决算公开操作规程》和《关于进一步推进预算公开工作的实施意见》规定，现将保定市徐水区应急管理局本级2026年单位预算公开如下：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（一）负责应急管理工作，指导各级各部门应对安全生产类、自然灾害类等突发事件和综合防灾减灾救灾工作。负责安全生产综合监督管理和工矿商贸行业安全生产监督管理工作。</w:t>
      </w:r>
    </w:p>
    <w:p>
      <w:pPr>
        <w:pStyle w:val="17"/>
      </w:pPr>
      <w:r>
        <w:t>（二）落实应急管理、安全生产等方针政策，组织落实区应急体系建设、安全生产和综合防灾减灾规划以及地方性法规和政府规章草案，组织实施相关规程和标准并监督实施。</w:t>
      </w:r>
    </w:p>
    <w:p>
      <w:pPr>
        <w:pStyle w:val="17"/>
      </w:pPr>
      <w:r>
        <w:t>（三）指导应急预案体系建设，建立完善事故灾难和自然灾害分级应对制度，组织编制区总体应急预案和安全生产类、自然灾害类专项预案，综合协调应急预案衔接工作，组织开展各类预案演练，推动应急避难设施建设。</w:t>
      </w:r>
    </w:p>
    <w:p>
      <w:pPr>
        <w:pStyle w:val="17"/>
      </w:pPr>
      <w:r>
        <w:t>（四）牵头建立统一的全区应急管理信息系统，负责信息传输渠道的规划和布局，建立监测预警和灾情报告制度，健全自然灾害信息资源获取和共享机制，依法统一发布灾情。</w:t>
      </w:r>
    </w:p>
    <w:p>
      <w:pPr>
        <w:pStyle w:val="17"/>
      </w:pPr>
      <w:r>
        <w:t>（五）组织指导协调安全生产类、自然灾害类等突发事件应急救援，承担区应对特别重大灾害指挥部工作，综合研判突发事件发展态势并提出应对建议，协助区委、区政府指定的负责同志组织特别重大灾害应急处置工作。</w:t>
      </w:r>
    </w:p>
    <w:p>
      <w:pPr>
        <w:pStyle w:val="17"/>
      </w:pPr>
      <w:r>
        <w:t>（六）统一协调指挥各类应急专业队伍，建立应急协调联动机制，推进指挥平台对接。</w:t>
      </w:r>
    </w:p>
    <w:p>
      <w:pPr>
        <w:pStyle w:val="17"/>
      </w:pPr>
      <w:r>
        <w:t>（七）统筹应急救援力量建设，负责消防、森林和草原火灾扑救、抗洪抢险、地震和地质灾害救援、生产安全事故救援等专业应急救援力量建设，管理区综合性应急救援队伍，指导各级及各社会应急救援力量建设。</w:t>
      </w:r>
    </w:p>
    <w:p>
      <w:pPr>
        <w:pStyle w:val="17"/>
      </w:pPr>
      <w:r>
        <w:t>（八）负责消防工作，指导各级消防监督、火灾预防、火灾扑救等工作。</w:t>
      </w:r>
    </w:p>
    <w:p>
      <w:pPr>
        <w:pStyle w:val="17"/>
      </w:pPr>
      <w:r>
        <w:t>（九）指导协调森林和草原火灾、水旱灾害、地震和地质灾害等防治工作，负责自然灾害综合监测预警工作，指导开展自然灾害综合风险评估工作。</w:t>
      </w:r>
    </w:p>
    <w:p>
      <w:pPr>
        <w:pStyle w:val="17"/>
      </w:pPr>
      <w:r>
        <w:t>（十）组织协调灾害救助工作，组织指导灾情核查、损失评估、救灾捐赠工作，管理、分配区救灾款物并监督使用。</w:t>
      </w:r>
    </w:p>
    <w:p>
      <w:pPr>
        <w:pStyle w:val="17"/>
      </w:pPr>
      <w:r>
        <w:t>（十一）依法行使区安全生产综合监督管理职权，指导协调、监督检查区直有关部门和各乡镇、开发区管委会安全生产工作，组织开展安全生产巡查、考核工作。</w:t>
      </w:r>
    </w:p>
    <w:p>
      <w:pPr>
        <w:pStyle w:val="17"/>
      </w:pPr>
      <w: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pStyle w:val="17"/>
      </w:pPr>
      <w:r>
        <w:t>（十三）依法组织指导生产安全事故调查处理，监督事故查处和责任追究落实情况；组织开展自然灾害类突发事件的调查评估工作。</w:t>
      </w:r>
    </w:p>
    <w:p>
      <w:pPr>
        <w:pStyle w:val="17"/>
      </w:pPr>
      <w:r>
        <w:t>（十四）制定应急物资储备和应急救援装备规划并组织实施，会同区粮食和物资储备等部门建立健全应急物资信息平台和调拨制度，在救灾时统一调度。</w:t>
      </w:r>
    </w:p>
    <w:p>
      <w:pPr>
        <w:pStyle w:val="17"/>
      </w:pPr>
      <w:r>
        <w:t>（十五）负责应急管理、安全生产宣传教育和培训工作，组织指导应急管理、安全生产的科学技术研究、推广应用和信息化建设工作。</w:t>
      </w:r>
    </w:p>
    <w:p>
      <w:pPr>
        <w:pStyle w:val="17"/>
      </w:pPr>
      <w:r>
        <w:t>（十六）负责组织指导协调和监督全区安全生产行政执法检查工作，组织开展对安全生产重点企业的执法检查。</w:t>
      </w:r>
    </w:p>
    <w:p>
      <w:pPr>
        <w:pStyle w:val="17"/>
      </w:pPr>
      <w:r>
        <w:t>（十七）负责地震监测、震灾防御和震灾救援指挥工作。</w:t>
      </w:r>
    </w:p>
    <w:p>
      <w:pPr>
        <w:pStyle w:val="17"/>
      </w:pPr>
      <w:r>
        <w:t>（十八）完成区委、区政府交办的其他任务。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保定市徐水区应急管理局本级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986.45万元，其中：一般公共预算收入951.45万元，基金预算收入0.00万元，国有资本经营预算收入0.00万元，财政专户核拨收入0.00万元，单位资金收入0.00万元，上年结转结余35.00万元。</w:t>
      </w:r>
    </w:p>
    <w:p>
      <w:pPr>
        <w:pStyle w:val="18"/>
      </w:pPr>
      <w:r>
        <w:t>2、支出说明</w:t>
      </w:r>
    </w:p>
    <w:p>
      <w:pPr>
        <w:pStyle w:val="18"/>
      </w:pPr>
      <w:r>
        <w:t>收支预算总表支出栏、基本支出表、项目支出表按经济分类和支出功能分类科目编制，反映保定市徐水区应急管理局本级年度单位预算中支出预算的总体情况。2026年支出预算986.45万元，其中基本支出536.26万元，包括人员经费487.15万元和日常公用经费49.11万元；项目支出450.19万元，主要为应急综合管理工作经费、退役军人专岗人员提高待遇资金、机关劳务派遣人员工资保险、网络视频系统服务费、提前下达2026年自然灾害救助专项资金（农房保险保险试点补助经费）、河北省自然灾害应急能力提升工程预警指挥项目国债项目省级配套、河北省自然灾害应急能力提升工程预警指挥项目国债项目中央资金、安全生产专项经费、安全生产专家经费、森林草原消防大队基本运转经费\森林草原、专业消防队伍建设经费等项目；预计下年使用的单位资金结余0.00万元。委托业务费共计安排74.40万元，主要用于因技术原因确需对外委托的辅助性工作和确有必要对外委托开展咨询、评审、规划等工作。</w:t>
      </w:r>
    </w:p>
    <w:p>
      <w:pPr>
        <w:pStyle w:val="18"/>
      </w:pPr>
      <w:r>
        <w:t>3、比上年增减情况</w:t>
      </w:r>
    </w:p>
    <w:p>
      <w:pPr>
        <w:pStyle w:val="18"/>
      </w:pPr>
      <w:r>
        <w:t>2026年预算收支安排986.45万元，较2025年预算减少70.41万元，其中：基本支出增加50.94万元，主要为2026年工资调整增加致使基本支出增加。项目支出减少121.35万元，主要为2026年国债项目减少致使项目支出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2026年，我单位机关运行经费共计安排49.11万元，主要用于日常维修、办公用房水电费、办公用房取暖费、办公用房物业管理费等日常运行支出。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9.40万元，其中因公出国（境）费0.00万元；公务用车购置及运维费9.40万元（其中：公务用车购置费为0.00万元，公务用车运维费9.40万元)；公务接待费0.00万元。与2025年相比减少0.32万元，增减变化的主要原因是严格落实中央八项规定，，过紧日子要求，严格控制支出规模；实行总额控制，只减不增，杜绝超标准、无预算支出。</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1、安全生产专家经费绩效目标表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13062526P00023410133F</w:t>
            </w:r>
          </w:p>
        </w:tc>
        <w:tc>
          <w:tcPr>
            <w:tcW w:w="2835" w:type="dxa"/>
            <w:vAlign w:val="center"/>
          </w:tcPr>
          <w:p>
            <w:pPr>
              <w:pStyle w:val="10"/>
            </w:pPr>
            <w:r>
              <w:t>项目名称</w:t>
            </w:r>
          </w:p>
        </w:tc>
        <w:tc>
          <w:tcPr>
            <w:tcW w:w="6095" w:type="dxa"/>
            <w:gridSpan w:val="3"/>
            <w:vAlign w:val="center"/>
          </w:tcPr>
          <w:p>
            <w:pPr>
              <w:pStyle w:val="12"/>
            </w:pPr>
            <w:r>
              <w:t>安全生产专家经费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6.56</w:t>
            </w:r>
          </w:p>
        </w:tc>
        <w:tc>
          <w:tcPr>
            <w:tcW w:w="2835" w:type="dxa"/>
            <w:vAlign w:val="center"/>
          </w:tcPr>
          <w:p>
            <w:pPr>
              <w:pStyle w:val="10"/>
            </w:pPr>
            <w:r>
              <w:t>其中：财政    资金</w:t>
            </w:r>
          </w:p>
        </w:tc>
        <w:tc>
          <w:tcPr>
            <w:tcW w:w="2551" w:type="dxa"/>
            <w:vAlign w:val="center"/>
          </w:tcPr>
          <w:p>
            <w:pPr>
              <w:pStyle w:val="12"/>
            </w:pPr>
            <w:r>
              <w:t>6.56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用于支付安全生产专家检查企业劳务费、法律专家咨询服务劳务费。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0.80</w:t>
            </w:r>
          </w:p>
        </w:tc>
        <w:tc>
          <w:tcPr>
            <w:tcW w:w="2551" w:type="dxa"/>
            <w:vAlign w:val="center"/>
          </w:tcPr>
          <w:p>
            <w:pPr>
              <w:pStyle w:val="13"/>
            </w:pPr>
            <w:r>
              <w:t xml:space="preserve"> </w:t>
            </w:r>
          </w:p>
        </w:tc>
        <w:tc>
          <w:tcPr>
            <w:tcW w:w="3544" w:type="dxa"/>
            <w:gridSpan w:val="2"/>
            <w:vAlign w:val="center"/>
          </w:tcPr>
          <w:p>
            <w:pPr>
              <w:pStyle w:val="13"/>
            </w:pPr>
            <w:r>
              <w:t>6.56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1.全年聘请安全生产专家144人次以上对企业进行安全生产检查、培训等技术服务。聘法律专家1人，负责执法卷宗的法律审查及单位涉诉问题。</w:t>
            </w:r>
          </w:p>
          <w:p>
            <w:pPr>
              <w:pStyle w:val="12"/>
            </w:pPr>
            <w:r>
              <w:t>2.进一步强化安全生产工作，防止和减少生产安全事故的发生，确保“十五五”期间安全生产形势的持续稳定。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全年使用安全生产专家人次</w:t>
            </w:r>
          </w:p>
        </w:tc>
        <w:tc>
          <w:tcPr>
            <w:tcW w:w="5386" w:type="dxa"/>
            <w:vAlign w:val="center"/>
          </w:tcPr>
          <w:p>
            <w:pPr>
              <w:pStyle w:val="12"/>
            </w:pPr>
            <w:r>
              <w:t>全年使用安全生产专家人次</w:t>
            </w:r>
          </w:p>
        </w:tc>
        <w:tc>
          <w:tcPr>
            <w:tcW w:w="2268" w:type="dxa"/>
            <w:vAlign w:val="center"/>
          </w:tcPr>
          <w:p>
            <w:pPr>
              <w:pStyle w:val="12"/>
            </w:pPr>
            <w:r>
              <w:t>≥144人次</w:t>
            </w:r>
          </w:p>
        </w:tc>
        <w:tc>
          <w:tcPr>
            <w:tcW w:w="1276" w:type="dxa"/>
            <w:vAlign w:val="center"/>
          </w:tcPr>
          <w:p>
            <w:pPr>
              <w:pStyle w:val="12"/>
            </w:pPr>
            <w:r>
              <w:t>依据（徐政办【2014】18号文件）专家组使用规定、安全生产专家经费项目实施计划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法律专家人数</w:t>
            </w:r>
          </w:p>
        </w:tc>
        <w:tc>
          <w:tcPr>
            <w:tcW w:w="5386" w:type="dxa"/>
            <w:vAlign w:val="center"/>
          </w:tcPr>
          <w:p>
            <w:pPr>
              <w:pStyle w:val="12"/>
            </w:pPr>
            <w:r>
              <w:t>每年聘请法律专家人数</w:t>
            </w:r>
          </w:p>
        </w:tc>
        <w:tc>
          <w:tcPr>
            <w:tcW w:w="2268" w:type="dxa"/>
            <w:vAlign w:val="center"/>
          </w:tcPr>
          <w:p>
            <w:pPr>
              <w:pStyle w:val="12"/>
            </w:pPr>
            <w:r>
              <w:t>1人</w:t>
            </w:r>
          </w:p>
        </w:tc>
        <w:tc>
          <w:tcPr>
            <w:tcW w:w="1276" w:type="dxa"/>
            <w:vAlign w:val="center"/>
          </w:tcPr>
          <w:p>
            <w:pPr>
              <w:pStyle w:val="12"/>
            </w:pPr>
            <w:r>
              <w:t>安全生产专家经费项目实施计划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劳务费发放到位率</w:t>
            </w:r>
          </w:p>
        </w:tc>
        <w:tc>
          <w:tcPr>
            <w:tcW w:w="5386" w:type="dxa"/>
            <w:vAlign w:val="center"/>
          </w:tcPr>
          <w:p>
            <w:pPr>
              <w:pStyle w:val="12"/>
            </w:pPr>
            <w:r>
              <w:t>安全生产专家劳务费发放到位率</w:t>
            </w:r>
          </w:p>
        </w:tc>
        <w:tc>
          <w:tcPr>
            <w:tcW w:w="2268" w:type="dxa"/>
            <w:vAlign w:val="center"/>
          </w:tcPr>
          <w:p>
            <w:pPr>
              <w:pStyle w:val="12"/>
            </w:pPr>
            <w:r>
              <w:t>≥90%</w:t>
            </w:r>
          </w:p>
        </w:tc>
        <w:tc>
          <w:tcPr>
            <w:tcW w:w="1276" w:type="dxa"/>
            <w:vAlign w:val="center"/>
          </w:tcPr>
          <w:p>
            <w:pPr>
              <w:pStyle w:val="12"/>
            </w:pPr>
            <w:r>
              <w:t>安全生产专家经费项目实施计划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劳务费支付及时率</w:t>
            </w:r>
          </w:p>
        </w:tc>
        <w:tc>
          <w:tcPr>
            <w:tcW w:w="5386" w:type="dxa"/>
            <w:vAlign w:val="center"/>
          </w:tcPr>
          <w:p>
            <w:pPr>
              <w:pStyle w:val="12"/>
            </w:pPr>
            <w:r>
              <w:t>安全生产专家劳务费支付及时率</w:t>
            </w:r>
          </w:p>
        </w:tc>
        <w:tc>
          <w:tcPr>
            <w:tcW w:w="2268" w:type="dxa"/>
            <w:vAlign w:val="center"/>
          </w:tcPr>
          <w:p>
            <w:pPr>
              <w:pStyle w:val="12"/>
            </w:pPr>
            <w:r>
              <w:t>≥90%</w:t>
            </w:r>
          </w:p>
        </w:tc>
        <w:tc>
          <w:tcPr>
            <w:tcW w:w="1276" w:type="dxa"/>
            <w:vAlign w:val="center"/>
          </w:tcPr>
          <w:p>
            <w:pPr>
              <w:pStyle w:val="12"/>
            </w:pPr>
            <w:r>
              <w:t>安全生产专家经费项目实施计划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项目预算总成本</w:t>
            </w:r>
          </w:p>
        </w:tc>
        <w:tc>
          <w:tcPr>
            <w:tcW w:w="5386" w:type="dxa"/>
            <w:vAlign w:val="center"/>
          </w:tcPr>
          <w:p>
            <w:pPr>
              <w:pStyle w:val="12"/>
            </w:pPr>
            <w:r>
              <w:t>项目支出控制在预算范围内</w:t>
            </w:r>
          </w:p>
        </w:tc>
        <w:tc>
          <w:tcPr>
            <w:tcW w:w="2268" w:type="dxa"/>
            <w:vAlign w:val="center"/>
          </w:tcPr>
          <w:p>
            <w:pPr>
              <w:pStyle w:val="12"/>
            </w:pPr>
            <w:r>
              <w:t>≤65600元</w:t>
            </w:r>
          </w:p>
        </w:tc>
        <w:tc>
          <w:tcPr>
            <w:tcW w:w="1276" w:type="dxa"/>
            <w:vAlign w:val="center"/>
          </w:tcPr>
          <w:p>
            <w:pPr>
              <w:pStyle w:val="12"/>
            </w:pPr>
            <w:r>
              <w:t>安全生产专家经费项目实施计划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全年发生较大以上安全生产事故发生数</w:t>
            </w:r>
          </w:p>
        </w:tc>
        <w:tc>
          <w:tcPr>
            <w:tcW w:w="2268" w:type="dxa"/>
            <w:vAlign w:val="center"/>
          </w:tcPr>
          <w:p>
            <w:pPr>
              <w:pStyle w:val="12"/>
            </w:pPr>
            <w:r>
              <w:t>0次</w:t>
            </w:r>
          </w:p>
        </w:tc>
        <w:tc>
          <w:tcPr>
            <w:tcW w:w="1276" w:type="dxa"/>
            <w:vAlign w:val="center"/>
          </w:tcPr>
          <w:p>
            <w:pPr>
              <w:pStyle w:val="12"/>
            </w:pPr>
            <w:r>
              <w:t>安全生产专家经费项目实施计划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服务企业满意度指标</w:t>
            </w:r>
          </w:p>
        </w:tc>
        <w:tc>
          <w:tcPr>
            <w:tcW w:w="5386" w:type="dxa"/>
            <w:vAlign w:val="center"/>
          </w:tcPr>
          <w:p>
            <w:pPr>
              <w:pStyle w:val="12"/>
            </w:pPr>
            <w:r>
              <w:t>安全生产专家服务企业满意度指标</w:t>
            </w:r>
          </w:p>
        </w:tc>
        <w:tc>
          <w:tcPr>
            <w:tcW w:w="2268" w:type="dxa"/>
            <w:vAlign w:val="center"/>
          </w:tcPr>
          <w:p>
            <w:pPr>
              <w:pStyle w:val="12"/>
            </w:pPr>
            <w:r>
              <w:t>≥90%</w:t>
            </w:r>
          </w:p>
        </w:tc>
        <w:tc>
          <w:tcPr>
            <w:tcW w:w="1276" w:type="dxa"/>
            <w:vAlign w:val="center"/>
          </w:tcPr>
          <w:p>
            <w:pPr>
              <w:pStyle w:val="12"/>
            </w:pPr>
            <w:r>
              <w:t>服务企业满意度调查问卷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2、安全生产专项经费绩效目标表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13062526P00023410132U</w:t>
            </w:r>
          </w:p>
        </w:tc>
        <w:tc>
          <w:tcPr>
            <w:tcW w:w="2835" w:type="dxa"/>
            <w:vAlign w:val="center"/>
          </w:tcPr>
          <w:p>
            <w:pPr>
              <w:pStyle w:val="10"/>
            </w:pPr>
            <w:r>
              <w:t>项目名称</w:t>
            </w:r>
          </w:p>
        </w:tc>
        <w:tc>
          <w:tcPr>
            <w:tcW w:w="6095" w:type="dxa"/>
            <w:gridSpan w:val="3"/>
            <w:vAlign w:val="center"/>
          </w:tcPr>
          <w:p>
            <w:pPr>
              <w:pStyle w:val="12"/>
            </w:pPr>
            <w:r>
              <w:t>安全生产专项经费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用于支付安全生产宣传品印刷费及保障执法办公费用。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11.00</w:t>
            </w:r>
          </w:p>
        </w:tc>
        <w:tc>
          <w:tcPr>
            <w:tcW w:w="2551" w:type="dxa"/>
            <w:vAlign w:val="center"/>
          </w:tcPr>
          <w:p>
            <w:pPr>
              <w:pStyle w:val="13"/>
            </w:pPr>
            <w:r>
              <w:t xml:space="preserve"> </w:t>
            </w:r>
          </w:p>
        </w:tc>
        <w:tc>
          <w:tcPr>
            <w:tcW w:w="3544" w:type="dxa"/>
            <w:gridSpan w:val="2"/>
            <w:vAlign w:val="center"/>
          </w:tcPr>
          <w:p>
            <w:pPr>
              <w:pStyle w:val="13"/>
            </w:pPr>
            <w:r>
              <w:t>21.00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1.项目资金21万元，用于保障监管执法必需的人员、经费和车辆等支出，印刷安全生产宣传材料、法律法规材料40000册。</w:t>
            </w:r>
          </w:p>
          <w:p>
            <w:pPr>
              <w:pStyle w:val="12"/>
            </w:pPr>
            <w:r>
              <w:t>2.进一步强化安全生产工作，防止和减少生产安全事故的发生，确保“十五五”期间安全生产形势的持续稳定。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资料印刷数量</w:t>
            </w:r>
          </w:p>
        </w:tc>
        <w:tc>
          <w:tcPr>
            <w:tcW w:w="5386" w:type="dxa"/>
            <w:vAlign w:val="center"/>
          </w:tcPr>
          <w:p>
            <w:pPr>
              <w:pStyle w:val="12"/>
            </w:pPr>
            <w:r>
              <w:t>安全生产宣传材料、法律法规材料印刷数量</w:t>
            </w:r>
          </w:p>
        </w:tc>
        <w:tc>
          <w:tcPr>
            <w:tcW w:w="2268" w:type="dxa"/>
            <w:vAlign w:val="center"/>
          </w:tcPr>
          <w:p>
            <w:pPr>
              <w:pStyle w:val="12"/>
            </w:pPr>
            <w:r>
              <w:t>40000册</w:t>
            </w:r>
          </w:p>
        </w:tc>
        <w:tc>
          <w:tcPr>
            <w:tcW w:w="1276" w:type="dxa"/>
            <w:vAlign w:val="center"/>
          </w:tcPr>
          <w:p>
            <w:pPr>
              <w:pStyle w:val="12"/>
            </w:pPr>
            <w:r>
              <w:t>依据安全生产专项经费项目实施计划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材料验收合格率</w:t>
            </w:r>
          </w:p>
        </w:tc>
        <w:tc>
          <w:tcPr>
            <w:tcW w:w="5386" w:type="dxa"/>
            <w:vAlign w:val="center"/>
          </w:tcPr>
          <w:p>
            <w:pPr>
              <w:pStyle w:val="12"/>
            </w:pPr>
            <w:r>
              <w:t>印刷安全生产宣传材料、法律法规材料验收合格率</w:t>
            </w:r>
          </w:p>
        </w:tc>
        <w:tc>
          <w:tcPr>
            <w:tcW w:w="2268" w:type="dxa"/>
            <w:vAlign w:val="center"/>
          </w:tcPr>
          <w:p>
            <w:pPr>
              <w:pStyle w:val="12"/>
            </w:pPr>
            <w:r>
              <w:t>≥95%</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材料印刷及时率</w:t>
            </w:r>
          </w:p>
        </w:tc>
        <w:tc>
          <w:tcPr>
            <w:tcW w:w="5386" w:type="dxa"/>
            <w:vAlign w:val="center"/>
          </w:tcPr>
          <w:p>
            <w:pPr>
              <w:pStyle w:val="12"/>
            </w:pPr>
            <w:r>
              <w:t>印刷安全生产宣传材料、法律法规材料印刷及时率</w:t>
            </w:r>
          </w:p>
        </w:tc>
        <w:tc>
          <w:tcPr>
            <w:tcW w:w="2268" w:type="dxa"/>
            <w:vAlign w:val="center"/>
          </w:tcPr>
          <w:p>
            <w:pPr>
              <w:pStyle w:val="12"/>
            </w:pPr>
            <w:r>
              <w:t>≥95%</w:t>
            </w:r>
          </w:p>
        </w:tc>
        <w:tc>
          <w:tcPr>
            <w:tcW w:w="1276" w:type="dxa"/>
            <w:vAlign w:val="center"/>
          </w:tcPr>
          <w:p>
            <w:pPr>
              <w:pStyle w:val="12"/>
            </w:pPr>
            <w:r>
              <w:t>依据安全生产专项经费项目实施计划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项目支出控制在预算范围内</w:t>
            </w:r>
          </w:p>
        </w:tc>
        <w:tc>
          <w:tcPr>
            <w:tcW w:w="2268" w:type="dxa"/>
            <w:vAlign w:val="center"/>
          </w:tcPr>
          <w:p>
            <w:pPr>
              <w:pStyle w:val="12"/>
            </w:pPr>
            <w:r>
              <w:t>≤210000元</w:t>
            </w:r>
          </w:p>
        </w:tc>
        <w:tc>
          <w:tcPr>
            <w:tcW w:w="1276" w:type="dxa"/>
            <w:vAlign w:val="center"/>
          </w:tcPr>
          <w:p>
            <w:pPr>
              <w:pStyle w:val="12"/>
            </w:pPr>
            <w:r>
              <w:t>依据安全生产专项经费项目实施计划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发生重大安全事故次数</w:t>
            </w:r>
          </w:p>
        </w:tc>
        <w:tc>
          <w:tcPr>
            <w:tcW w:w="5386" w:type="dxa"/>
            <w:vAlign w:val="center"/>
          </w:tcPr>
          <w:p>
            <w:pPr>
              <w:pStyle w:val="12"/>
            </w:pPr>
            <w:r>
              <w:t>发生重大安全事故次数</w:t>
            </w:r>
          </w:p>
        </w:tc>
        <w:tc>
          <w:tcPr>
            <w:tcW w:w="2268" w:type="dxa"/>
            <w:vAlign w:val="center"/>
          </w:tcPr>
          <w:p>
            <w:pPr>
              <w:pStyle w:val="12"/>
            </w:pPr>
            <w:r>
              <w:t>0次</w:t>
            </w:r>
          </w:p>
        </w:tc>
        <w:tc>
          <w:tcPr>
            <w:tcW w:w="1276" w:type="dxa"/>
            <w:vAlign w:val="center"/>
          </w:tcPr>
          <w:p>
            <w:pPr>
              <w:pStyle w:val="12"/>
            </w:pPr>
            <w:r>
              <w:t>依据安全生产专项经费项目实施计划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执法工作人员满意度</w:t>
            </w:r>
          </w:p>
        </w:tc>
        <w:tc>
          <w:tcPr>
            <w:tcW w:w="5386" w:type="dxa"/>
            <w:vAlign w:val="center"/>
          </w:tcPr>
          <w:p>
            <w:pPr>
              <w:pStyle w:val="12"/>
            </w:pPr>
            <w:r>
              <w:t>单位执法工作人员对执法保障情况满意度</w:t>
            </w:r>
          </w:p>
        </w:tc>
        <w:tc>
          <w:tcPr>
            <w:tcW w:w="2268" w:type="dxa"/>
            <w:vAlign w:val="center"/>
          </w:tcPr>
          <w:p>
            <w:pPr>
              <w:pStyle w:val="12"/>
            </w:pPr>
            <w:r>
              <w:t>≥90%</w:t>
            </w:r>
          </w:p>
        </w:tc>
        <w:tc>
          <w:tcPr>
            <w:tcW w:w="1276" w:type="dxa"/>
            <w:vAlign w:val="center"/>
          </w:tcPr>
          <w:p>
            <w:pPr>
              <w:pStyle w:val="12"/>
            </w:pPr>
            <w:r>
              <w:t>满意度调查表</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3、河北省自然灾害应急能力提升工程预警指挥项目国债项目省级配套绩效目标表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13062524P000017102769</w:t>
            </w:r>
          </w:p>
        </w:tc>
        <w:tc>
          <w:tcPr>
            <w:tcW w:w="2835" w:type="dxa"/>
            <w:vAlign w:val="center"/>
          </w:tcPr>
          <w:p>
            <w:pPr>
              <w:pStyle w:val="10"/>
            </w:pPr>
            <w:r>
              <w:t>项目名称</w:t>
            </w:r>
          </w:p>
        </w:tc>
        <w:tc>
          <w:tcPr>
            <w:tcW w:w="6095" w:type="dxa"/>
            <w:gridSpan w:val="3"/>
            <w:vAlign w:val="center"/>
          </w:tcPr>
          <w:p>
            <w:pPr>
              <w:pStyle w:val="12"/>
            </w:pPr>
            <w:r>
              <w:t>河北省自然灾害应急能力提升工程预警指挥项目国债项目省级配套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w:t>
            </w:r>
          </w:p>
        </w:tc>
        <w:tc>
          <w:tcPr>
            <w:tcW w:w="2835" w:type="dxa"/>
            <w:vAlign w:val="center"/>
          </w:tcPr>
          <w:p>
            <w:pPr>
              <w:pStyle w:val="10"/>
            </w:pPr>
            <w:r>
              <w:t>其中：财政    资金</w:t>
            </w:r>
          </w:p>
        </w:tc>
        <w:tc>
          <w:tcPr>
            <w:tcW w:w="2551" w:type="dxa"/>
            <w:vAlign w:val="center"/>
          </w:tcPr>
          <w:p>
            <w:pPr>
              <w:pStyle w:val="12"/>
            </w:pPr>
            <w:r>
              <w:t>3.90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用于支付自然灾害应急能力提升工程资金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1.提升我省灾害综合监测、预警响应、指挥调度和纵向贯通、横向互联的协同联动能力。</w:t>
            </w:r>
          </w:p>
          <w:p>
            <w:pPr>
              <w:pStyle w:val="12"/>
            </w:pPr>
            <w:r>
              <w:t>2.为我区建设预警指挥项目，项目配套资金3.895845万元，购置值班室调度显示设备1台2万元，指挥中心音视频改造100万元，指挥中心音视频改造集成费2.5万元，370MHZ多模终端10台4.5万元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设备购置数量</w:t>
            </w:r>
          </w:p>
        </w:tc>
        <w:tc>
          <w:tcPr>
            <w:tcW w:w="5386" w:type="dxa"/>
            <w:vAlign w:val="center"/>
          </w:tcPr>
          <w:p>
            <w:pPr>
              <w:pStyle w:val="12"/>
            </w:pPr>
            <w:r>
              <w:t>依据能力提升设备购置数量</w:t>
            </w:r>
          </w:p>
        </w:tc>
        <w:tc>
          <w:tcPr>
            <w:tcW w:w="2268" w:type="dxa"/>
            <w:vAlign w:val="center"/>
          </w:tcPr>
          <w:p>
            <w:pPr>
              <w:pStyle w:val="12"/>
            </w:pPr>
            <w:r>
              <w:t>≥11台</w:t>
            </w:r>
          </w:p>
        </w:tc>
        <w:tc>
          <w:tcPr>
            <w:tcW w:w="1276" w:type="dxa"/>
            <w:vAlign w:val="center"/>
          </w:tcPr>
          <w:p>
            <w:pPr>
              <w:pStyle w:val="12"/>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设备、设施验收通过率（%）</w:t>
            </w:r>
          </w:p>
        </w:tc>
        <w:tc>
          <w:tcPr>
            <w:tcW w:w="5386" w:type="dxa"/>
            <w:vAlign w:val="center"/>
          </w:tcPr>
          <w:p>
            <w:pPr>
              <w:pStyle w:val="12"/>
            </w:pPr>
            <w:r>
              <w:t>设备、设施验收通过率（%）</w:t>
            </w:r>
          </w:p>
        </w:tc>
        <w:tc>
          <w:tcPr>
            <w:tcW w:w="2268" w:type="dxa"/>
            <w:vAlign w:val="center"/>
          </w:tcPr>
          <w:p>
            <w:pPr>
              <w:pStyle w:val="12"/>
            </w:pPr>
            <w:r>
              <w:t>100%</w:t>
            </w:r>
          </w:p>
        </w:tc>
        <w:tc>
          <w:tcPr>
            <w:tcW w:w="1276" w:type="dxa"/>
            <w:vAlign w:val="center"/>
          </w:tcPr>
          <w:p>
            <w:pPr>
              <w:pStyle w:val="12"/>
            </w:pPr>
            <w: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根据预算及工作需要及时支付</w:t>
            </w:r>
          </w:p>
        </w:tc>
        <w:tc>
          <w:tcPr>
            <w:tcW w:w="2268" w:type="dxa"/>
            <w:vAlign w:val="center"/>
          </w:tcPr>
          <w:p>
            <w:pPr>
              <w:pStyle w:val="12"/>
            </w:pPr>
            <w:r>
              <w:t>≥90%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项目预算资金总额</w:t>
            </w:r>
          </w:p>
        </w:tc>
        <w:tc>
          <w:tcPr>
            <w:tcW w:w="5386" w:type="dxa"/>
            <w:vAlign w:val="center"/>
          </w:tcPr>
          <w:p>
            <w:pPr>
              <w:pStyle w:val="12"/>
            </w:pPr>
            <w:r>
              <w:t>项目资金总额支出数控制在预算范围内</w:t>
            </w:r>
          </w:p>
        </w:tc>
        <w:tc>
          <w:tcPr>
            <w:tcW w:w="2268" w:type="dxa"/>
            <w:vAlign w:val="center"/>
          </w:tcPr>
          <w:p>
            <w:pPr>
              <w:pStyle w:val="12"/>
            </w:pPr>
            <w:r>
              <w:t>≤38958.45元</w:t>
            </w:r>
          </w:p>
        </w:tc>
        <w:tc>
          <w:tcPr>
            <w:tcW w:w="1276" w:type="dxa"/>
            <w:vAlign w:val="center"/>
          </w:tcPr>
          <w:p>
            <w:pPr>
              <w:pStyle w:val="12"/>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应急救援任务有效完成率</w:t>
            </w:r>
          </w:p>
        </w:tc>
        <w:tc>
          <w:tcPr>
            <w:tcW w:w="5386" w:type="dxa"/>
            <w:vAlign w:val="center"/>
          </w:tcPr>
          <w:p>
            <w:pPr>
              <w:pStyle w:val="12"/>
            </w:pPr>
            <w:r>
              <w:t>应急救援任务有效完成数占全部任务数比例</w:t>
            </w:r>
          </w:p>
        </w:tc>
        <w:tc>
          <w:tcPr>
            <w:tcW w:w="2268" w:type="dxa"/>
            <w:vAlign w:val="center"/>
          </w:tcPr>
          <w:p>
            <w:pPr>
              <w:pStyle w:val="12"/>
            </w:pPr>
            <w:r>
              <w:t>100%</w:t>
            </w:r>
          </w:p>
        </w:tc>
        <w:tc>
          <w:tcPr>
            <w:tcW w:w="1276" w:type="dxa"/>
            <w:vAlign w:val="center"/>
          </w:tcPr>
          <w:p>
            <w:pPr>
              <w:pStyle w:val="12"/>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设备可持续使用时间</w:t>
            </w:r>
          </w:p>
        </w:tc>
        <w:tc>
          <w:tcPr>
            <w:tcW w:w="5386" w:type="dxa"/>
            <w:vAlign w:val="center"/>
          </w:tcPr>
          <w:p>
            <w:pPr>
              <w:pStyle w:val="12"/>
            </w:pPr>
            <w:r>
              <w:t>设备正常使用年限</w:t>
            </w:r>
          </w:p>
        </w:tc>
        <w:tc>
          <w:tcPr>
            <w:tcW w:w="2268" w:type="dxa"/>
            <w:vAlign w:val="center"/>
          </w:tcPr>
          <w:p>
            <w:pPr>
              <w:pStyle w:val="12"/>
            </w:pPr>
            <w:r>
              <w:t>≥10年</w:t>
            </w:r>
          </w:p>
        </w:tc>
        <w:tc>
          <w:tcPr>
            <w:tcW w:w="1276" w:type="dxa"/>
            <w:vAlign w:val="center"/>
          </w:tcPr>
          <w:p>
            <w:pPr>
              <w:pStyle w:val="12"/>
            </w:pPr>
            <w:r>
              <w:t>固定资产相关财务制度规定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反映通过问卷调查受益群体满意情况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4、河北省自然灾害应急能力提升工程预警指挥项目国债项目中央资金绩效目标表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13062524P00001710275M</w:t>
            </w:r>
          </w:p>
        </w:tc>
        <w:tc>
          <w:tcPr>
            <w:tcW w:w="2835" w:type="dxa"/>
            <w:vAlign w:val="center"/>
          </w:tcPr>
          <w:p>
            <w:pPr>
              <w:pStyle w:val="10"/>
            </w:pPr>
            <w:r>
              <w:t>项目名称</w:t>
            </w:r>
          </w:p>
        </w:tc>
        <w:tc>
          <w:tcPr>
            <w:tcW w:w="6095" w:type="dxa"/>
            <w:gridSpan w:val="3"/>
            <w:vAlign w:val="center"/>
          </w:tcPr>
          <w:p>
            <w:pPr>
              <w:pStyle w:val="12"/>
            </w:pPr>
            <w:r>
              <w:t>河北省自然灾害应急能力提升工程预警指挥项目国债项目中央资金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31.11</w:t>
            </w:r>
          </w:p>
        </w:tc>
        <w:tc>
          <w:tcPr>
            <w:tcW w:w="2835" w:type="dxa"/>
            <w:vAlign w:val="center"/>
          </w:tcPr>
          <w:p>
            <w:pPr>
              <w:pStyle w:val="10"/>
            </w:pPr>
            <w:r>
              <w:t>其中：财政    资金</w:t>
            </w:r>
          </w:p>
        </w:tc>
        <w:tc>
          <w:tcPr>
            <w:tcW w:w="2551" w:type="dxa"/>
            <w:vAlign w:val="center"/>
          </w:tcPr>
          <w:p>
            <w:pPr>
              <w:pStyle w:val="12"/>
            </w:pPr>
            <w:r>
              <w:t>31.11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用于支付自然支行应急能力提升工程项目资金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1.提升我省灾害综合监测、预警响应、指挥调度和纵向贯通、横向互联的协同联动能力。</w:t>
            </w:r>
          </w:p>
          <w:p>
            <w:pPr>
              <w:pStyle w:val="12"/>
            </w:pPr>
            <w:r>
              <w:t>2.为我区建设预警指挥项目，项目配套资金60.63076万元，购置值班室调度显示设备1台2万元，指挥中心音视频改造100万元，指挥中心音视频改造集成费2.5万元，370MHZ多模终端10台4.5万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设备购置数量</w:t>
            </w:r>
          </w:p>
        </w:tc>
        <w:tc>
          <w:tcPr>
            <w:tcW w:w="5386" w:type="dxa"/>
            <w:vAlign w:val="center"/>
          </w:tcPr>
          <w:p>
            <w:pPr>
              <w:pStyle w:val="12"/>
            </w:pPr>
            <w:r>
              <w:t>依据能力提升设备购置数量</w:t>
            </w:r>
          </w:p>
        </w:tc>
        <w:tc>
          <w:tcPr>
            <w:tcW w:w="2268" w:type="dxa"/>
            <w:vAlign w:val="center"/>
          </w:tcPr>
          <w:p>
            <w:pPr>
              <w:pStyle w:val="12"/>
            </w:pPr>
            <w:r>
              <w:t>≥11台</w:t>
            </w:r>
          </w:p>
        </w:tc>
        <w:tc>
          <w:tcPr>
            <w:tcW w:w="1276" w:type="dxa"/>
            <w:vAlign w:val="center"/>
          </w:tcPr>
          <w:p>
            <w:pPr>
              <w:pStyle w:val="12"/>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设备、设施验收通过率（%）</w:t>
            </w:r>
          </w:p>
        </w:tc>
        <w:tc>
          <w:tcPr>
            <w:tcW w:w="5386" w:type="dxa"/>
            <w:vAlign w:val="center"/>
          </w:tcPr>
          <w:p>
            <w:pPr>
              <w:pStyle w:val="12"/>
            </w:pPr>
            <w:r>
              <w:t>设备、设施验收通过率（%）</w:t>
            </w:r>
          </w:p>
        </w:tc>
        <w:tc>
          <w:tcPr>
            <w:tcW w:w="2268" w:type="dxa"/>
            <w:vAlign w:val="center"/>
          </w:tcPr>
          <w:p>
            <w:pPr>
              <w:pStyle w:val="12"/>
            </w:pPr>
            <w:r>
              <w:t>100%</w:t>
            </w:r>
          </w:p>
        </w:tc>
        <w:tc>
          <w:tcPr>
            <w:tcW w:w="1276" w:type="dxa"/>
            <w:vAlign w:val="center"/>
          </w:tcPr>
          <w:p>
            <w:pPr>
              <w:pStyle w:val="12"/>
            </w:pPr>
            <w: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根据预算及工作需要及时支付</w:t>
            </w:r>
          </w:p>
        </w:tc>
        <w:tc>
          <w:tcPr>
            <w:tcW w:w="2268" w:type="dxa"/>
            <w:vAlign w:val="center"/>
          </w:tcPr>
          <w:p>
            <w:pPr>
              <w:pStyle w:val="12"/>
            </w:pPr>
            <w:r>
              <w:t>≥90%</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项目预算资金总额</w:t>
            </w:r>
          </w:p>
        </w:tc>
        <w:tc>
          <w:tcPr>
            <w:tcW w:w="5386" w:type="dxa"/>
            <w:vAlign w:val="center"/>
          </w:tcPr>
          <w:p>
            <w:pPr>
              <w:pStyle w:val="12"/>
            </w:pPr>
            <w:r>
              <w:t>项目资金总额支出数控制在预算范围内</w:t>
            </w:r>
          </w:p>
        </w:tc>
        <w:tc>
          <w:tcPr>
            <w:tcW w:w="2268" w:type="dxa"/>
            <w:vAlign w:val="center"/>
          </w:tcPr>
          <w:p>
            <w:pPr>
              <w:pStyle w:val="12"/>
            </w:pPr>
            <w:r>
              <w:t>≤606307.6元</w:t>
            </w:r>
          </w:p>
        </w:tc>
        <w:tc>
          <w:tcPr>
            <w:tcW w:w="1276" w:type="dxa"/>
            <w:vAlign w:val="center"/>
          </w:tcPr>
          <w:p>
            <w:pPr>
              <w:pStyle w:val="12"/>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应急救援任务有效完成率</w:t>
            </w:r>
          </w:p>
        </w:tc>
        <w:tc>
          <w:tcPr>
            <w:tcW w:w="5386" w:type="dxa"/>
            <w:vAlign w:val="center"/>
          </w:tcPr>
          <w:p>
            <w:pPr>
              <w:pStyle w:val="12"/>
            </w:pPr>
            <w:r>
              <w:t>应急救援任务有效完成数占全部任务数比例</w:t>
            </w:r>
          </w:p>
        </w:tc>
        <w:tc>
          <w:tcPr>
            <w:tcW w:w="2268" w:type="dxa"/>
            <w:vAlign w:val="center"/>
          </w:tcPr>
          <w:p>
            <w:pPr>
              <w:pStyle w:val="12"/>
            </w:pPr>
            <w:r>
              <w:t>100%</w:t>
            </w:r>
          </w:p>
        </w:tc>
        <w:tc>
          <w:tcPr>
            <w:tcW w:w="1276" w:type="dxa"/>
            <w:vAlign w:val="center"/>
          </w:tcPr>
          <w:p>
            <w:pPr>
              <w:pStyle w:val="12"/>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设备可持续使用时间</w:t>
            </w:r>
          </w:p>
        </w:tc>
        <w:tc>
          <w:tcPr>
            <w:tcW w:w="5386" w:type="dxa"/>
            <w:vAlign w:val="center"/>
          </w:tcPr>
          <w:p>
            <w:pPr>
              <w:pStyle w:val="12"/>
            </w:pPr>
            <w:r>
              <w:t>设备正常使用年限</w:t>
            </w:r>
          </w:p>
        </w:tc>
        <w:tc>
          <w:tcPr>
            <w:tcW w:w="2268" w:type="dxa"/>
            <w:vAlign w:val="center"/>
          </w:tcPr>
          <w:p>
            <w:pPr>
              <w:pStyle w:val="12"/>
            </w:pPr>
            <w:r>
              <w:t>≥10年</w:t>
            </w:r>
          </w:p>
        </w:tc>
        <w:tc>
          <w:tcPr>
            <w:tcW w:w="1276" w:type="dxa"/>
            <w:vAlign w:val="center"/>
          </w:tcPr>
          <w:p>
            <w:pPr>
              <w:pStyle w:val="12"/>
            </w:pPr>
            <w:r>
              <w:t>固定资产相关财务制度规定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反映通过问卷调查受益群体满意情况</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5、机关劳务派遣人员工资保险绩效目标表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13062526P00023210271M</w:t>
            </w:r>
          </w:p>
        </w:tc>
        <w:tc>
          <w:tcPr>
            <w:tcW w:w="2835" w:type="dxa"/>
            <w:vAlign w:val="center"/>
          </w:tcPr>
          <w:p>
            <w:pPr>
              <w:pStyle w:val="10"/>
            </w:pPr>
            <w:r>
              <w:t>项目名称</w:t>
            </w:r>
          </w:p>
        </w:tc>
        <w:tc>
          <w:tcPr>
            <w:tcW w:w="6095" w:type="dxa"/>
            <w:gridSpan w:val="3"/>
            <w:vAlign w:val="center"/>
          </w:tcPr>
          <w:p>
            <w:pPr>
              <w:pStyle w:val="12"/>
            </w:pPr>
            <w:r>
              <w:t>机关劳务派遣人员工资保险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35.08</w:t>
            </w:r>
          </w:p>
        </w:tc>
        <w:tc>
          <w:tcPr>
            <w:tcW w:w="2835" w:type="dxa"/>
            <w:vAlign w:val="center"/>
          </w:tcPr>
          <w:p>
            <w:pPr>
              <w:pStyle w:val="10"/>
            </w:pPr>
            <w:r>
              <w:t>其中：财政    资金</w:t>
            </w:r>
          </w:p>
        </w:tc>
        <w:tc>
          <w:tcPr>
            <w:tcW w:w="2551" w:type="dxa"/>
            <w:vAlign w:val="center"/>
          </w:tcPr>
          <w:p>
            <w:pPr>
              <w:pStyle w:val="12"/>
            </w:pPr>
            <w:r>
              <w:t>35.08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用于支付机关劳务派遣人员工资保险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8.77</w:t>
            </w:r>
          </w:p>
        </w:tc>
        <w:tc>
          <w:tcPr>
            <w:tcW w:w="2835" w:type="dxa"/>
            <w:vAlign w:val="center"/>
          </w:tcPr>
          <w:p>
            <w:pPr>
              <w:pStyle w:val="13"/>
            </w:pPr>
            <w:r>
              <w:t>17.54</w:t>
            </w:r>
          </w:p>
        </w:tc>
        <w:tc>
          <w:tcPr>
            <w:tcW w:w="2551" w:type="dxa"/>
            <w:vAlign w:val="center"/>
          </w:tcPr>
          <w:p>
            <w:pPr>
              <w:pStyle w:val="13"/>
            </w:pPr>
            <w:r>
              <w:t>26.31</w:t>
            </w:r>
          </w:p>
        </w:tc>
        <w:tc>
          <w:tcPr>
            <w:tcW w:w="3544" w:type="dxa"/>
            <w:gridSpan w:val="2"/>
            <w:vAlign w:val="center"/>
          </w:tcPr>
          <w:p>
            <w:pPr>
              <w:pStyle w:val="13"/>
            </w:pPr>
            <w:r>
              <w:t>35.08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1.通过公开招聘，利用劳务派遣形式聘用工作人员8人，缓解了单位人员紧张的压力。</w:t>
            </w:r>
          </w:p>
          <w:p>
            <w:pPr>
              <w:pStyle w:val="12"/>
            </w:pPr>
            <w:r>
              <w:t>2.项目资金350794.56元，为劳务派遣人员8人支付工资缴纳四险一金。</w:t>
            </w:r>
          </w:p>
          <w:p>
            <w:pPr>
              <w:pStyle w:val="12"/>
            </w:pPr>
            <w:r>
              <w:t>3.进一步强化安全生产工作，防止和减少生产安全事故的发生，确保“十四五”期间安全生产形势的持续稳定。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机关劳务派遣人员数量</w:t>
            </w:r>
          </w:p>
        </w:tc>
        <w:tc>
          <w:tcPr>
            <w:tcW w:w="2268" w:type="dxa"/>
            <w:vAlign w:val="center"/>
          </w:tcPr>
          <w:p>
            <w:pPr>
              <w:pStyle w:val="12"/>
            </w:pPr>
            <w:r>
              <w:t>8人</w:t>
            </w:r>
          </w:p>
        </w:tc>
        <w:tc>
          <w:tcPr>
            <w:tcW w:w="1276" w:type="dxa"/>
            <w:vAlign w:val="center"/>
          </w:tcPr>
          <w:p>
            <w:pPr>
              <w:pStyle w:val="12"/>
            </w:pPr>
            <w:r>
              <w:t>徐水县安全生产监督管理局关于安全生产应急信息系统建设工作、隐患排查信息化建设工作的相关请示及相关领导批示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劳务费发放准确率</w:t>
            </w:r>
          </w:p>
        </w:tc>
        <w:tc>
          <w:tcPr>
            <w:tcW w:w="5386" w:type="dxa"/>
            <w:vAlign w:val="center"/>
          </w:tcPr>
          <w:p>
            <w:pPr>
              <w:pStyle w:val="12"/>
            </w:pPr>
            <w:r>
              <w:t>机关劳务派遣人员劳务费发放准确率</w:t>
            </w:r>
          </w:p>
        </w:tc>
        <w:tc>
          <w:tcPr>
            <w:tcW w:w="2268" w:type="dxa"/>
            <w:vAlign w:val="center"/>
          </w:tcPr>
          <w:p>
            <w:pPr>
              <w:pStyle w:val="12"/>
            </w:pPr>
            <w:r>
              <w:t>≥95</w:t>
            </w:r>
          </w:p>
        </w:tc>
        <w:tc>
          <w:tcPr>
            <w:tcW w:w="1276" w:type="dxa"/>
            <w:vAlign w:val="center"/>
          </w:tcPr>
          <w:p>
            <w:pPr>
              <w:pStyle w:val="12"/>
            </w:pPr>
            <w:r>
              <w:t>机关劳务派遣人员工资保险项目实施计划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劳务费发放及时率</w:t>
            </w:r>
          </w:p>
        </w:tc>
        <w:tc>
          <w:tcPr>
            <w:tcW w:w="5386" w:type="dxa"/>
            <w:vAlign w:val="center"/>
          </w:tcPr>
          <w:p>
            <w:pPr>
              <w:pStyle w:val="12"/>
            </w:pPr>
            <w:r>
              <w:t>机关劳务派遣人员劳务费发放及时率</w:t>
            </w:r>
          </w:p>
        </w:tc>
        <w:tc>
          <w:tcPr>
            <w:tcW w:w="2268" w:type="dxa"/>
            <w:vAlign w:val="center"/>
          </w:tcPr>
          <w:p>
            <w:pPr>
              <w:pStyle w:val="12"/>
            </w:pPr>
            <w:r>
              <w:t>≥95</w:t>
            </w:r>
          </w:p>
        </w:tc>
        <w:tc>
          <w:tcPr>
            <w:tcW w:w="1276" w:type="dxa"/>
            <w:vAlign w:val="center"/>
          </w:tcPr>
          <w:p>
            <w:pPr>
              <w:pStyle w:val="12"/>
            </w:pPr>
            <w:r>
              <w:t>机关劳务派遣人员工资保险项目实施计划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项目预算总成本</w:t>
            </w:r>
          </w:p>
        </w:tc>
        <w:tc>
          <w:tcPr>
            <w:tcW w:w="5386" w:type="dxa"/>
            <w:vAlign w:val="center"/>
          </w:tcPr>
          <w:p>
            <w:pPr>
              <w:pStyle w:val="12"/>
            </w:pPr>
            <w:r>
              <w:t>项目支出控制在预算范围内</w:t>
            </w:r>
          </w:p>
        </w:tc>
        <w:tc>
          <w:tcPr>
            <w:tcW w:w="2268" w:type="dxa"/>
            <w:vAlign w:val="center"/>
          </w:tcPr>
          <w:p>
            <w:pPr>
              <w:pStyle w:val="12"/>
            </w:pPr>
            <w:r>
              <w:t>≤350794.56元</w:t>
            </w:r>
          </w:p>
        </w:tc>
        <w:tc>
          <w:tcPr>
            <w:tcW w:w="1276" w:type="dxa"/>
            <w:vAlign w:val="center"/>
          </w:tcPr>
          <w:p>
            <w:pPr>
              <w:pStyle w:val="12"/>
            </w:pPr>
            <w:r>
              <w:t>机关劳务派遣人员工资保险项目实施计划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全年较大以上安全生产事故发生次数</w:t>
            </w:r>
          </w:p>
        </w:tc>
        <w:tc>
          <w:tcPr>
            <w:tcW w:w="2268" w:type="dxa"/>
            <w:vAlign w:val="center"/>
          </w:tcPr>
          <w:p>
            <w:pPr>
              <w:pStyle w:val="12"/>
            </w:pPr>
            <w:r>
              <w:t>0次</w:t>
            </w:r>
          </w:p>
        </w:tc>
        <w:tc>
          <w:tcPr>
            <w:tcW w:w="1276" w:type="dxa"/>
            <w:vAlign w:val="center"/>
          </w:tcPr>
          <w:p>
            <w:pPr>
              <w:pStyle w:val="12"/>
            </w:pPr>
            <w:r>
              <w:t>机关劳务派遣人员工资保险项目实施计划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w:t>
            </w:r>
          </w:p>
        </w:tc>
        <w:tc>
          <w:tcPr>
            <w:tcW w:w="5386" w:type="dxa"/>
            <w:vAlign w:val="center"/>
          </w:tcPr>
          <w:p>
            <w:pPr>
              <w:pStyle w:val="12"/>
            </w:pPr>
            <w:r>
              <w:t>机关劳务派遣人员满意度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6、森林草原消防大队基本运转经费绩效目标表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13062526P000208100195</w:t>
            </w:r>
          </w:p>
        </w:tc>
        <w:tc>
          <w:tcPr>
            <w:tcW w:w="2835" w:type="dxa"/>
            <w:vAlign w:val="center"/>
          </w:tcPr>
          <w:p>
            <w:pPr>
              <w:pStyle w:val="10"/>
            </w:pPr>
            <w:r>
              <w:t>项目名称</w:t>
            </w:r>
          </w:p>
        </w:tc>
        <w:tc>
          <w:tcPr>
            <w:tcW w:w="6095" w:type="dxa"/>
            <w:gridSpan w:val="3"/>
            <w:vAlign w:val="center"/>
          </w:tcPr>
          <w:p>
            <w:pPr>
              <w:pStyle w:val="12"/>
            </w:pPr>
            <w:r>
              <w:t>森林草原消防大队基本运转经费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7.42</w:t>
            </w:r>
          </w:p>
        </w:tc>
        <w:tc>
          <w:tcPr>
            <w:tcW w:w="2835" w:type="dxa"/>
            <w:vAlign w:val="center"/>
          </w:tcPr>
          <w:p>
            <w:pPr>
              <w:pStyle w:val="10"/>
            </w:pPr>
            <w:r>
              <w:t>其中：财政    资金</w:t>
            </w:r>
          </w:p>
        </w:tc>
        <w:tc>
          <w:tcPr>
            <w:tcW w:w="2551" w:type="dxa"/>
            <w:vAlign w:val="center"/>
          </w:tcPr>
          <w:p>
            <w:pPr>
              <w:pStyle w:val="12"/>
            </w:pPr>
            <w:r>
              <w:t>7.42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用于支付森林草原消防大队厨师工资保险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1.86</w:t>
            </w:r>
          </w:p>
        </w:tc>
        <w:tc>
          <w:tcPr>
            <w:tcW w:w="2835" w:type="dxa"/>
            <w:vAlign w:val="center"/>
          </w:tcPr>
          <w:p>
            <w:pPr>
              <w:pStyle w:val="13"/>
            </w:pPr>
            <w:r>
              <w:t>3.71</w:t>
            </w:r>
          </w:p>
        </w:tc>
        <w:tc>
          <w:tcPr>
            <w:tcW w:w="2551" w:type="dxa"/>
            <w:vAlign w:val="center"/>
          </w:tcPr>
          <w:p>
            <w:pPr>
              <w:pStyle w:val="13"/>
            </w:pPr>
            <w:r>
              <w:t>5.57</w:t>
            </w:r>
          </w:p>
        </w:tc>
        <w:tc>
          <w:tcPr>
            <w:tcW w:w="3544" w:type="dxa"/>
            <w:gridSpan w:val="2"/>
            <w:vAlign w:val="center"/>
          </w:tcPr>
          <w:p>
            <w:pPr>
              <w:pStyle w:val="13"/>
            </w:pPr>
            <w:r>
              <w:t>7.42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1.森林草原消防大队实行准军事化管理，需雇佣厨师2人，解决消防队员饮食问题。</w:t>
            </w:r>
          </w:p>
          <w:p>
            <w:pPr>
              <w:pStyle w:val="12"/>
            </w:pPr>
            <w:r>
              <w:t>2.厨师每人每月工资3000元，全年需工资72000元；意外险年1000元；管理费每人每月50元，年需1200元。共计年需资金74200元。</w:t>
            </w:r>
          </w:p>
          <w:p>
            <w:pPr>
              <w:pStyle w:val="12"/>
            </w:pPr>
            <w:r>
              <w:t>3.建立健全森林草原消防专业队伍体系，切实提升全省森林草原火灾和其他灾害事故应急救援水平。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雇佣厨师人数</w:t>
            </w:r>
          </w:p>
        </w:tc>
        <w:tc>
          <w:tcPr>
            <w:tcW w:w="5386" w:type="dxa"/>
            <w:vAlign w:val="center"/>
          </w:tcPr>
          <w:p>
            <w:pPr>
              <w:pStyle w:val="12"/>
            </w:pPr>
            <w:r>
              <w:t>森防大队雇佣厨师人数</w:t>
            </w:r>
          </w:p>
        </w:tc>
        <w:tc>
          <w:tcPr>
            <w:tcW w:w="2268" w:type="dxa"/>
            <w:vAlign w:val="center"/>
          </w:tcPr>
          <w:p>
            <w:pPr>
              <w:pStyle w:val="12"/>
            </w:pPr>
            <w:r>
              <w:t>2人</w:t>
            </w:r>
          </w:p>
        </w:tc>
        <w:tc>
          <w:tcPr>
            <w:tcW w:w="1276" w:type="dxa"/>
            <w:vAlign w:val="center"/>
          </w:tcPr>
          <w:p>
            <w:pPr>
              <w:pStyle w:val="12"/>
            </w:pPr>
            <w:r>
              <w:t>森林草原消防大队基本运转项目实施计划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劳务费发放准确率</w:t>
            </w:r>
          </w:p>
        </w:tc>
        <w:tc>
          <w:tcPr>
            <w:tcW w:w="5386" w:type="dxa"/>
            <w:vAlign w:val="center"/>
          </w:tcPr>
          <w:p>
            <w:pPr>
              <w:pStyle w:val="12"/>
            </w:pPr>
            <w:r>
              <w:t>厨师劳务费发放准确率</w:t>
            </w:r>
          </w:p>
        </w:tc>
        <w:tc>
          <w:tcPr>
            <w:tcW w:w="2268" w:type="dxa"/>
            <w:vAlign w:val="center"/>
          </w:tcPr>
          <w:p>
            <w:pPr>
              <w:pStyle w:val="12"/>
            </w:pPr>
            <w:r>
              <w:t>≥95%</w:t>
            </w:r>
          </w:p>
        </w:tc>
        <w:tc>
          <w:tcPr>
            <w:tcW w:w="1276" w:type="dxa"/>
            <w:vAlign w:val="center"/>
          </w:tcPr>
          <w:p>
            <w:pPr>
              <w:pStyle w:val="12"/>
            </w:pPr>
            <w:r>
              <w:t>森林草原消防大队基本运转项目实施计划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劳务费发放及时率</w:t>
            </w:r>
          </w:p>
        </w:tc>
        <w:tc>
          <w:tcPr>
            <w:tcW w:w="5386" w:type="dxa"/>
            <w:vAlign w:val="center"/>
          </w:tcPr>
          <w:p>
            <w:pPr>
              <w:pStyle w:val="12"/>
            </w:pPr>
            <w:r>
              <w:t>厨师劳务费发放及时率</w:t>
            </w:r>
          </w:p>
        </w:tc>
        <w:tc>
          <w:tcPr>
            <w:tcW w:w="2268" w:type="dxa"/>
            <w:vAlign w:val="center"/>
          </w:tcPr>
          <w:p>
            <w:pPr>
              <w:pStyle w:val="12"/>
            </w:pPr>
            <w:r>
              <w:t>≥95%</w:t>
            </w:r>
          </w:p>
        </w:tc>
        <w:tc>
          <w:tcPr>
            <w:tcW w:w="1276" w:type="dxa"/>
            <w:vAlign w:val="center"/>
          </w:tcPr>
          <w:p>
            <w:pPr>
              <w:pStyle w:val="12"/>
            </w:pPr>
            <w:r>
              <w:t>森林草原消防大队基本运转项目实施计划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项目预算总成本</w:t>
            </w:r>
          </w:p>
        </w:tc>
        <w:tc>
          <w:tcPr>
            <w:tcW w:w="5386" w:type="dxa"/>
            <w:vAlign w:val="center"/>
          </w:tcPr>
          <w:p>
            <w:pPr>
              <w:pStyle w:val="12"/>
            </w:pPr>
            <w:r>
              <w:t>项目支出控制在预算范围内</w:t>
            </w:r>
          </w:p>
        </w:tc>
        <w:tc>
          <w:tcPr>
            <w:tcW w:w="2268" w:type="dxa"/>
            <w:vAlign w:val="center"/>
          </w:tcPr>
          <w:p>
            <w:pPr>
              <w:pStyle w:val="12"/>
            </w:pPr>
            <w:r>
              <w:t>≤74200元</w:t>
            </w:r>
          </w:p>
        </w:tc>
        <w:tc>
          <w:tcPr>
            <w:tcW w:w="1276" w:type="dxa"/>
            <w:vAlign w:val="center"/>
          </w:tcPr>
          <w:p>
            <w:pPr>
              <w:pStyle w:val="12"/>
            </w:pPr>
            <w:r>
              <w:t>森林草原消防大队基本运转项目实施计划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应急救援水平提升率</w:t>
            </w:r>
          </w:p>
        </w:tc>
        <w:tc>
          <w:tcPr>
            <w:tcW w:w="5386" w:type="dxa"/>
            <w:vAlign w:val="center"/>
          </w:tcPr>
          <w:p>
            <w:pPr>
              <w:pStyle w:val="12"/>
            </w:pPr>
            <w:r>
              <w:t>应急救援水平与去年同期对比提升率</w:t>
            </w:r>
          </w:p>
        </w:tc>
        <w:tc>
          <w:tcPr>
            <w:tcW w:w="2268" w:type="dxa"/>
            <w:vAlign w:val="center"/>
          </w:tcPr>
          <w:p>
            <w:pPr>
              <w:pStyle w:val="12"/>
            </w:pPr>
            <w:r>
              <w:t>≥50%</w:t>
            </w:r>
          </w:p>
        </w:tc>
        <w:tc>
          <w:tcPr>
            <w:tcW w:w="1276" w:type="dxa"/>
            <w:vAlign w:val="center"/>
          </w:tcPr>
          <w:p>
            <w:pPr>
              <w:pStyle w:val="12"/>
            </w:pPr>
            <w:r>
              <w:t>森林草原消防大队基本运转项目实施计划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消防队员满意度</w:t>
            </w:r>
          </w:p>
        </w:tc>
        <w:tc>
          <w:tcPr>
            <w:tcW w:w="5386" w:type="dxa"/>
            <w:vAlign w:val="center"/>
          </w:tcPr>
          <w:p>
            <w:pPr>
              <w:pStyle w:val="12"/>
            </w:pPr>
            <w:r>
              <w:t>森防大队消防队员满意度</w:t>
            </w:r>
          </w:p>
        </w:tc>
        <w:tc>
          <w:tcPr>
            <w:tcW w:w="2268" w:type="dxa"/>
            <w:vAlign w:val="center"/>
          </w:tcPr>
          <w:p>
            <w:pPr>
              <w:pStyle w:val="12"/>
            </w:pPr>
            <w:r>
              <w:t>≥90%</w:t>
            </w:r>
          </w:p>
        </w:tc>
        <w:tc>
          <w:tcPr>
            <w:tcW w:w="1276" w:type="dxa"/>
            <w:vAlign w:val="center"/>
          </w:tcPr>
          <w:p>
            <w:pPr>
              <w:pStyle w:val="12"/>
            </w:pPr>
            <w:r>
              <w:t>满意度调查表</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7、森林草原专业消防队伍建设经费绩效目标表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13062526P00020810018H</w:t>
            </w:r>
          </w:p>
        </w:tc>
        <w:tc>
          <w:tcPr>
            <w:tcW w:w="2835" w:type="dxa"/>
            <w:vAlign w:val="center"/>
          </w:tcPr>
          <w:p>
            <w:pPr>
              <w:pStyle w:val="10"/>
            </w:pPr>
            <w:r>
              <w:t>项目名称</w:t>
            </w:r>
          </w:p>
        </w:tc>
        <w:tc>
          <w:tcPr>
            <w:tcW w:w="6095" w:type="dxa"/>
            <w:gridSpan w:val="3"/>
            <w:vAlign w:val="center"/>
          </w:tcPr>
          <w:p>
            <w:pPr>
              <w:pStyle w:val="12"/>
            </w:pPr>
            <w:r>
              <w:t>森林草原专业消防队伍建设经费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246.80</w:t>
            </w:r>
          </w:p>
        </w:tc>
        <w:tc>
          <w:tcPr>
            <w:tcW w:w="2835" w:type="dxa"/>
            <w:vAlign w:val="center"/>
          </w:tcPr>
          <w:p>
            <w:pPr>
              <w:pStyle w:val="10"/>
            </w:pPr>
            <w:r>
              <w:t>其中：财政    资金</w:t>
            </w:r>
          </w:p>
        </w:tc>
        <w:tc>
          <w:tcPr>
            <w:tcW w:w="2551" w:type="dxa"/>
            <w:vAlign w:val="center"/>
          </w:tcPr>
          <w:p>
            <w:pPr>
              <w:pStyle w:val="12"/>
            </w:pPr>
            <w:r>
              <w:t>246.80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用于支付森林草原消防大队劳务派遣人员工资保险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61.70</w:t>
            </w:r>
          </w:p>
        </w:tc>
        <w:tc>
          <w:tcPr>
            <w:tcW w:w="2835" w:type="dxa"/>
            <w:vAlign w:val="center"/>
          </w:tcPr>
          <w:p>
            <w:pPr>
              <w:pStyle w:val="13"/>
            </w:pPr>
            <w:r>
              <w:t>123.40</w:t>
            </w:r>
          </w:p>
        </w:tc>
        <w:tc>
          <w:tcPr>
            <w:tcW w:w="2551" w:type="dxa"/>
            <w:vAlign w:val="center"/>
          </w:tcPr>
          <w:p>
            <w:pPr>
              <w:pStyle w:val="13"/>
            </w:pPr>
            <w:r>
              <w:t>185.10</w:t>
            </w:r>
          </w:p>
        </w:tc>
        <w:tc>
          <w:tcPr>
            <w:tcW w:w="3544" w:type="dxa"/>
            <w:gridSpan w:val="2"/>
            <w:vAlign w:val="center"/>
          </w:tcPr>
          <w:p>
            <w:pPr>
              <w:pStyle w:val="13"/>
            </w:pPr>
            <w:r>
              <w:t>246.80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1.成立了森林草原消防专业队伍，森林草原消防大队实行准军事化管理，队员平时训练、备勤，发生火情、汛情等灾害时出动进行灭火、抢险救援任务。</w:t>
            </w:r>
          </w:p>
          <w:p>
            <w:pPr>
              <w:pStyle w:val="12"/>
            </w:pPr>
            <w:r>
              <w:t>2.项目资金2467972.80元，为队员40人支付工资缴纳四险一金。</w:t>
            </w:r>
          </w:p>
          <w:p>
            <w:pPr>
              <w:pStyle w:val="12"/>
            </w:pPr>
            <w:r>
              <w:t>3.建立健全森林草原消防专业队伍体系，切实提升全省森林草原火灾和其他灾害事故应急救援水平。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森林草原消防专业队伍人数</w:t>
            </w:r>
          </w:p>
        </w:tc>
        <w:tc>
          <w:tcPr>
            <w:tcW w:w="5386" w:type="dxa"/>
            <w:vAlign w:val="center"/>
          </w:tcPr>
          <w:p>
            <w:pPr>
              <w:pStyle w:val="12"/>
            </w:pPr>
            <w:r>
              <w:t>森林草原消防专业队伍招聘劳务派遣人数</w:t>
            </w:r>
          </w:p>
        </w:tc>
        <w:tc>
          <w:tcPr>
            <w:tcW w:w="2268" w:type="dxa"/>
            <w:vAlign w:val="center"/>
          </w:tcPr>
          <w:p>
            <w:pPr>
              <w:pStyle w:val="12"/>
            </w:pPr>
            <w:r>
              <w:t>40人</w:t>
            </w:r>
          </w:p>
        </w:tc>
        <w:tc>
          <w:tcPr>
            <w:tcW w:w="1276" w:type="dxa"/>
            <w:vAlign w:val="center"/>
          </w:tcPr>
          <w:p>
            <w:pPr>
              <w:pStyle w:val="12"/>
            </w:pPr>
            <w:r>
              <w:t>《关于印发河北省森林草原消防专业队伍建设方案的通知》（冀政办字【2021】39号）《徐水区招聘森林草原消防专业队员的方案》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劳务费发放准确率</w:t>
            </w:r>
          </w:p>
        </w:tc>
        <w:tc>
          <w:tcPr>
            <w:tcW w:w="5386" w:type="dxa"/>
            <w:vAlign w:val="center"/>
          </w:tcPr>
          <w:p>
            <w:pPr>
              <w:pStyle w:val="12"/>
            </w:pPr>
            <w:r>
              <w:t>森林草原消防大队劳务派遣人员劳务费发放准确率</w:t>
            </w:r>
          </w:p>
        </w:tc>
        <w:tc>
          <w:tcPr>
            <w:tcW w:w="2268" w:type="dxa"/>
            <w:vAlign w:val="center"/>
          </w:tcPr>
          <w:p>
            <w:pPr>
              <w:pStyle w:val="12"/>
            </w:pPr>
            <w:r>
              <w:t>≥95%</w:t>
            </w:r>
          </w:p>
        </w:tc>
        <w:tc>
          <w:tcPr>
            <w:tcW w:w="1276" w:type="dxa"/>
            <w:vAlign w:val="center"/>
          </w:tcPr>
          <w:p>
            <w:pPr>
              <w:pStyle w:val="12"/>
            </w:pPr>
            <w:r>
              <w:t>森林草原消防专业队伍建设经费项目实施计划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劳务费发放及时率</w:t>
            </w:r>
          </w:p>
        </w:tc>
        <w:tc>
          <w:tcPr>
            <w:tcW w:w="5386" w:type="dxa"/>
            <w:vAlign w:val="center"/>
          </w:tcPr>
          <w:p>
            <w:pPr>
              <w:pStyle w:val="12"/>
            </w:pPr>
            <w:r>
              <w:t>森林草原消防大队劳务派遣人员劳务费发放及时率</w:t>
            </w:r>
          </w:p>
        </w:tc>
        <w:tc>
          <w:tcPr>
            <w:tcW w:w="2268" w:type="dxa"/>
            <w:vAlign w:val="center"/>
          </w:tcPr>
          <w:p>
            <w:pPr>
              <w:pStyle w:val="12"/>
            </w:pPr>
            <w:r>
              <w:t>≥95%</w:t>
            </w:r>
          </w:p>
        </w:tc>
        <w:tc>
          <w:tcPr>
            <w:tcW w:w="1276" w:type="dxa"/>
            <w:vAlign w:val="center"/>
          </w:tcPr>
          <w:p>
            <w:pPr>
              <w:pStyle w:val="12"/>
            </w:pPr>
            <w:r>
              <w:t>森林草原消防专业队伍建设经费项目实施计划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项目预算总成本</w:t>
            </w:r>
          </w:p>
        </w:tc>
        <w:tc>
          <w:tcPr>
            <w:tcW w:w="5386" w:type="dxa"/>
            <w:vAlign w:val="center"/>
          </w:tcPr>
          <w:p>
            <w:pPr>
              <w:pStyle w:val="12"/>
            </w:pPr>
            <w:r>
              <w:t>项目支出控制在预算范围内</w:t>
            </w:r>
          </w:p>
        </w:tc>
        <w:tc>
          <w:tcPr>
            <w:tcW w:w="2268" w:type="dxa"/>
            <w:vAlign w:val="center"/>
          </w:tcPr>
          <w:p>
            <w:pPr>
              <w:pStyle w:val="12"/>
            </w:pPr>
            <w:r>
              <w:t>≤2467972.8元</w:t>
            </w:r>
          </w:p>
        </w:tc>
        <w:tc>
          <w:tcPr>
            <w:tcW w:w="1276" w:type="dxa"/>
            <w:vAlign w:val="center"/>
          </w:tcPr>
          <w:p>
            <w:pPr>
              <w:pStyle w:val="12"/>
            </w:pPr>
            <w:r>
              <w:t>森林草原消防专业队伍建设经费项目实施计划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应急救援水平提升率</w:t>
            </w:r>
          </w:p>
        </w:tc>
        <w:tc>
          <w:tcPr>
            <w:tcW w:w="5386" w:type="dxa"/>
            <w:vAlign w:val="center"/>
          </w:tcPr>
          <w:p>
            <w:pPr>
              <w:pStyle w:val="12"/>
            </w:pPr>
            <w:r>
              <w:t>应急救援水平与去年相比提升率</w:t>
            </w:r>
          </w:p>
        </w:tc>
        <w:tc>
          <w:tcPr>
            <w:tcW w:w="2268" w:type="dxa"/>
            <w:vAlign w:val="center"/>
          </w:tcPr>
          <w:p>
            <w:pPr>
              <w:pStyle w:val="12"/>
            </w:pPr>
            <w:r>
              <w:t>≥50%</w:t>
            </w:r>
          </w:p>
        </w:tc>
        <w:tc>
          <w:tcPr>
            <w:tcW w:w="1276" w:type="dxa"/>
            <w:vAlign w:val="center"/>
          </w:tcPr>
          <w:p>
            <w:pPr>
              <w:pStyle w:val="12"/>
            </w:pPr>
            <w:r>
              <w:t>森林草原消防专业队伍建设经费项目实施计划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消防队员满意度</w:t>
            </w:r>
          </w:p>
        </w:tc>
        <w:tc>
          <w:tcPr>
            <w:tcW w:w="5386" w:type="dxa"/>
            <w:vAlign w:val="center"/>
          </w:tcPr>
          <w:p>
            <w:pPr>
              <w:pStyle w:val="12"/>
            </w:pPr>
            <w:r>
              <w:t>森防大队消防队员满意度</w:t>
            </w:r>
          </w:p>
        </w:tc>
        <w:tc>
          <w:tcPr>
            <w:tcW w:w="2268" w:type="dxa"/>
            <w:vAlign w:val="center"/>
          </w:tcPr>
          <w:p>
            <w:pPr>
              <w:pStyle w:val="12"/>
            </w:pPr>
            <w:r>
              <w:t>≥90%</w:t>
            </w:r>
          </w:p>
        </w:tc>
        <w:tc>
          <w:tcPr>
            <w:tcW w:w="1276" w:type="dxa"/>
            <w:vAlign w:val="center"/>
          </w:tcPr>
          <w:p>
            <w:pPr>
              <w:pStyle w:val="12"/>
            </w:pPr>
            <w:r>
              <w:t>消防队员满意度调查问卷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8、提前下达2026年自然灾害救助专项资金（农房保险试点补助经费）绩效目标表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13062526P000203100062</w:t>
            </w:r>
          </w:p>
        </w:tc>
        <w:tc>
          <w:tcPr>
            <w:tcW w:w="2835" w:type="dxa"/>
            <w:vAlign w:val="center"/>
          </w:tcPr>
          <w:p>
            <w:pPr>
              <w:pStyle w:val="10"/>
            </w:pPr>
            <w:r>
              <w:t>项目名称</w:t>
            </w:r>
          </w:p>
        </w:tc>
        <w:tc>
          <w:tcPr>
            <w:tcW w:w="6095" w:type="dxa"/>
            <w:gridSpan w:val="3"/>
            <w:vAlign w:val="center"/>
          </w:tcPr>
          <w:p>
            <w:pPr>
              <w:pStyle w:val="12"/>
            </w:pPr>
            <w:r>
              <w:t>提前下达2026年自然灾害救助专项资金（农房保险试点补助经费）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74.40</w:t>
            </w:r>
          </w:p>
        </w:tc>
        <w:tc>
          <w:tcPr>
            <w:tcW w:w="2835" w:type="dxa"/>
            <w:vAlign w:val="center"/>
          </w:tcPr>
          <w:p>
            <w:pPr>
              <w:pStyle w:val="10"/>
            </w:pPr>
            <w:r>
              <w:t>其中：财政    资金</w:t>
            </w:r>
          </w:p>
        </w:tc>
        <w:tc>
          <w:tcPr>
            <w:tcW w:w="2551" w:type="dxa"/>
            <w:vAlign w:val="center"/>
          </w:tcPr>
          <w:p>
            <w:pPr>
              <w:pStyle w:val="12"/>
            </w:pPr>
            <w:r>
              <w:t>74.40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用于支付农房保险保费支出。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74.40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1.项目资金74.4万元，用于为全区农村住房支付农村住房灾害保险支出。</w:t>
            </w:r>
          </w:p>
          <w:p>
            <w:pPr>
              <w:pStyle w:val="12"/>
            </w:pPr>
            <w:r>
              <w:t>2.通过项目实施，提升受灾农户抵御自然灾害和突发事故能力，提高农村居民住房灾后重建保障能力。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农房保险参保户数</w:t>
            </w:r>
          </w:p>
        </w:tc>
        <w:tc>
          <w:tcPr>
            <w:tcW w:w="5386" w:type="dxa"/>
            <w:vAlign w:val="center"/>
          </w:tcPr>
          <w:p>
            <w:pPr>
              <w:pStyle w:val="12"/>
            </w:pPr>
            <w:r>
              <w:t>农房保险参保户数标准</w:t>
            </w:r>
          </w:p>
        </w:tc>
        <w:tc>
          <w:tcPr>
            <w:tcW w:w="2268" w:type="dxa"/>
            <w:vAlign w:val="center"/>
          </w:tcPr>
          <w:p>
            <w:pPr>
              <w:pStyle w:val="12"/>
            </w:pPr>
            <w:r>
              <w:t>≥12.4万户</w:t>
            </w:r>
          </w:p>
        </w:tc>
        <w:tc>
          <w:tcPr>
            <w:tcW w:w="1276" w:type="dxa"/>
            <w:vAlign w:val="center"/>
          </w:tcPr>
          <w:p>
            <w:pPr>
              <w:pStyle w:val="12"/>
            </w:pPr>
            <w:r>
              <w:t>依据徐水区农村住房保险工作实施方案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农房保险覆盖率</w:t>
            </w:r>
          </w:p>
        </w:tc>
        <w:tc>
          <w:tcPr>
            <w:tcW w:w="5386" w:type="dxa"/>
            <w:vAlign w:val="center"/>
          </w:tcPr>
          <w:p>
            <w:pPr>
              <w:pStyle w:val="12"/>
            </w:pPr>
            <w:r>
              <w:t>农房保险覆盖乡镇占全部乡镇比例</w:t>
            </w:r>
          </w:p>
        </w:tc>
        <w:tc>
          <w:tcPr>
            <w:tcW w:w="2268" w:type="dxa"/>
            <w:vAlign w:val="center"/>
          </w:tcPr>
          <w:p>
            <w:pPr>
              <w:pStyle w:val="12"/>
            </w:pPr>
            <w:r>
              <w:t>100%</w:t>
            </w:r>
          </w:p>
        </w:tc>
        <w:tc>
          <w:tcPr>
            <w:tcW w:w="1276" w:type="dxa"/>
            <w:vAlign w:val="center"/>
          </w:tcPr>
          <w:p>
            <w:pPr>
              <w:pStyle w:val="12"/>
            </w:pPr>
            <w:r>
              <w:t>依据徐水区农村住房保险工作实施方案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农房保险到期续保时间</w:t>
            </w:r>
          </w:p>
        </w:tc>
        <w:tc>
          <w:tcPr>
            <w:tcW w:w="5386" w:type="dxa"/>
            <w:vAlign w:val="center"/>
          </w:tcPr>
          <w:p>
            <w:pPr>
              <w:pStyle w:val="12"/>
            </w:pPr>
            <w:r>
              <w:t>农房保险到期续保时间</w:t>
            </w:r>
          </w:p>
        </w:tc>
        <w:tc>
          <w:tcPr>
            <w:tcW w:w="2268" w:type="dxa"/>
            <w:vAlign w:val="center"/>
          </w:tcPr>
          <w:p>
            <w:pPr>
              <w:pStyle w:val="12"/>
            </w:pPr>
            <w:r>
              <w:t>≤30天</w:t>
            </w:r>
          </w:p>
        </w:tc>
        <w:tc>
          <w:tcPr>
            <w:tcW w:w="1276" w:type="dxa"/>
            <w:vAlign w:val="center"/>
          </w:tcPr>
          <w:p>
            <w:pPr>
              <w:pStyle w:val="12"/>
            </w:pPr>
            <w:r>
              <w:t>依据保财建【2025】53号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资金支出控制在预算范围内</w:t>
            </w:r>
          </w:p>
        </w:tc>
        <w:tc>
          <w:tcPr>
            <w:tcW w:w="2268" w:type="dxa"/>
            <w:vAlign w:val="center"/>
          </w:tcPr>
          <w:p>
            <w:pPr>
              <w:pStyle w:val="12"/>
            </w:pPr>
            <w:r>
              <w:t>≤74.4万元</w:t>
            </w:r>
          </w:p>
        </w:tc>
        <w:tc>
          <w:tcPr>
            <w:tcW w:w="1276" w:type="dxa"/>
            <w:vAlign w:val="center"/>
          </w:tcPr>
          <w:p>
            <w:pPr>
              <w:pStyle w:val="12"/>
            </w:pPr>
            <w:r>
              <w:t>依据保财建【2025】53号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农房保险理赔保障率</w:t>
            </w:r>
          </w:p>
        </w:tc>
        <w:tc>
          <w:tcPr>
            <w:tcW w:w="5386" w:type="dxa"/>
            <w:vAlign w:val="center"/>
          </w:tcPr>
          <w:p>
            <w:pPr>
              <w:pStyle w:val="12"/>
            </w:pPr>
            <w:r>
              <w:t>农房保险理赔保障率</w:t>
            </w:r>
          </w:p>
        </w:tc>
        <w:tc>
          <w:tcPr>
            <w:tcW w:w="2268" w:type="dxa"/>
            <w:vAlign w:val="center"/>
          </w:tcPr>
          <w:p>
            <w:pPr>
              <w:pStyle w:val="12"/>
            </w:pPr>
            <w:r>
              <w:t>100%</w:t>
            </w:r>
          </w:p>
        </w:tc>
        <w:tc>
          <w:tcPr>
            <w:tcW w:w="1276" w:type="dxa"/>
            <w:vAlign w:val="center"/>
          </w:tcPr>
          <w:p>
            <w:pPr>
              <w:pStyle w:val="12"/>
            </w:pPr>
            <w:r>
              <w:t>依据徐水区农村住房保险工作实施方案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农房保险参保农户满意率</w:t>
            </w:r>
          </w:p>
        </w:tc>
        <w:tc>
          <w:tcPr>
            <w:tcW w:w="5386" w:type="dxa"/>
            <w:vAlign w:val="center"/>
          </w:tcPr>
          <w:p>
            <w:pPr>
              <w:pStyle w:val="12"/>
            </w:pPr>
            <w:r>
              <w:t>农房保险参保农户满意率</w:t>
            </w:r>
          </w:p>
        </w:tc>
        <w:tc>
          <w:tcPr>
            <w:tcW w:w="2268" w:type="dxa"/>
            <w:vAlign w:val="center"/>
          </w:tcPr>
          <w:p>
            <w:pPr>
              <w:pStyle w:val="12"/>
            </w:pPr>
            <w:r>
              <w:t>≥95%</w:t>
            </w:r>
          </w:p>
        </w:tc>
        <w:tc>
          <w:tcPr>
            <w:tcW w:w="1276" w:type="dxa"/>
            <w:vAlign w:val="center"/>
          </w:tcPr>
          <w:p>
            <w:pPr>
              <w:pStyle w:val="12"/>
            </w:pPr>
            <w:r>
              <w:t>依据满意度调查表</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9、退役军人专岗人员提高待遇资金绩效目标表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13062526P00022911971A</w:t>
            </w:r>
          </w:p>
        </w:tc>
        <w:tc>
          <w:tcPr>
            <w:tcW w:w="2835" w:type="dxa"/>
            <w:vAlign w:val="center"/>
          </w:tcPr>
          <w:p>
            <w:pPr>
              <w:pStyle w:val="10"/>
            </w:pPr>
            <w:r>
              <w:t>项目名称</w:t>
            </w:r>
          </w:p>
        </w:tc>
        <w:tc>
          <w:tcPr>
            <w:tcW w:w="6095" w:type="dxa"/>
            <w:gridSpan w:val="3"/>
            <w:vAlign w:val="center"/>
          </w:tcPr>
          <w:p>
            <w:pPr>
              <w:pStyle w:val="12"/>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0.72</w:t>
            </w:r>
          </w:p>
        </w:tc>
        <w:tc>
          <w:tcPr>
            <w:tcW w:w="2835" w:type="dxa"/>
            <w:vAlign w:val="center"/>
          </w:tcPr>
          <w:p>
            <w:pPr>
              <w:pStyle w:val="10"/>
            </w:pPr>
            <w:r>
              <w:t>其中：财政    资金</w:t>
            </w:r>
          </w:p>
        </w:tc>
        <w:tc>
          <w:tcPr>
            <w:tcW w:w="2551" w:type="dxa"/>
            <w:vAlign w:val="center"/>
          </w:tcPr>
          <w:p>
            <w:pPr>
              <w:pStyle w:val="12"/>
            </w:pPr>
            <w:r>
              <w:t>0.72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用于退役军人出勤补助支出。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0.18</w:t>
            </w:r>
          </w:p>
        </w:tc>
        <w:tc>
          <w:tcPr>
            <w:tcW w:w="2835" w:type="dxa"/>
            <w:vAlign w:val="center"/>
          </w:tcPr>
          <w:p>
            <w:pPr>
              <w:pStyle w:val="13"/>
            </w:pPr>
            <w:r>
              <w:t>0.36</w:t>
            </w:r>
          </w:p>
        </w:tc>
        <w:tc>
          <w:tcPr>
            <w:tcW w:w="2551" w:type="dxa"/>
            <w:vAlign w:val="center"/>
          </w:tcPr>
          <w:p>
            <w:pPr>
              <w:pStyle w:val="13"/>
            </w:pPr>
            <w:r>
              <w:t>0.54</w:t>
            </w:r>
          </w:p>
        </w:tc>
        <w:tc>
          <w:tcPr>
            <w:tcW w:w="3544" w:type="dxa"/>
            <w:gridSpan w:val="2"/>
            <w:vAlign w:val="center"/>
          </w:tcPr>
          <w:p>
            <w:pPr>
              <w:pStyle w:val="13"/>
            </w:pPr>
            <w:r>
              <w:t>0.72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1.每人每月300元，共计2人，按月及时足额发放到位，落实专岗人员待遇。</w:t>
            </w:r>
          </w:p>
          <w:p>
            <w:pPr>
              <w:pStyle w:val="12"/>
            </w:pPr>
            <w:r>
              <w:t>2.提高退役军人专岗待遇，保证专岗人员更好发挥作用。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专岗人员人数</w:t>
            </w:r>
          </w:p>
        </w:tc>
        <w:tc>
          <w:tcPr>
            <w:tcW w:w="5386" w:type="dxa"/>
            <w:vAlign w:val="center"/>
          </w:tcPr>
          <w:p>
            <w:pPr>
              <w:pStyle w:val="12"/>
            </w:pPr>
            <w:r>
              <w:t>反映专岗人员数量</w:t>
            </w:r>
          </w:p>
        </w:tc>
        <w:tc>
          <w:tcPr>
            <w:tcW w:w="2268" w:type="dxa"/>
            <w:vAlign w:val="center"/>
          </w:tcPr>
          <w:p>
            <w:pPr>
              <w:pStyle w:val="12"/>
            </w:pPr>
            <w:r>
              <w:t>2人</w:t>
            </w:r>
          </w:p>
        </w:tc>
        <w:tc>
          <w:tcPr>
            <w:tcW w:w="1276" w:type="dxa"/>
            <w:vAlign w:val="center"/>
          </w:tcPr>
          <w:p>
            <w:pPr>
              <w:pStyle w:val="12"/>
            </w:pPr>
            <w:r>
              <w:t xml:space="preserve"> 退役军人专岗人员提高待遇资金分配表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反应按月发放到位情况</w:t>
            </w:r>
          </w:p>
        </w:tc>
        <w:tc>
          <w:tcPr>
            <w:tcW w:w="2268" w:type="dxa"/>
            <w:vAlign w:val="center"/>
          </w:tcPr>
          <w:p>
            <w:pPr>
              <w:pStyle w:val="12"/>
            </w:pPr>
            <w:r>
              <w:t>100%</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月支出标准</w:t>
            </w:r>
          </w:p>
        </w:tc>
        <w:tc>
          <w:tcPr>
            <w:tcW w:w="2268" w:type="dxa"/>
            <w:vAlign w:val="center"/>
          </w:tcPr>
          <w:p>
            <w:pPr>
              <w:pStyle w:val="12"/>
            </w:pPr>
            <w:r>
              <w:t>300元</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专岗人员上访次数</w:t>
            </w:r>
          </w:p>
        </w:tc>
        <w:tc>
          <w:tcPr>
            <w:tcW w:w="5386" w:type="dxa"/>
            <w:vAlign w:val="center"/>
          </w:tcPr>
          <w:p>
            <w:pPr>
              <w:pStyle w:val="12"/>
            </w:pPr>
            <w:r>
              <w:t>专岗人员因为生活补贴上访的次数</w:t>
            </w:r>
          </w:p>
        </w:tc>
        <w:tc>
          <w:tcPr>
            <w:tcW w:w="2268" w:type="dxa"/>
            <w:vAlign w:val="center"/>
          </w:tcPr>
          <w:p>
            <w:pPr>
              <w:pStyle w:val="12"/>
            </w:pPr>
            <w:r>
              <w:t>≤2次</w:t>
            </w:r>
          </w:p>
        </w:tc>
        <w:tc>
          <w:tcPr>
            <w:tcW w:w="1276" w:type="dxa"/>
            <w:vAlign w:val="center"/>
          </w:tcPr>
          <w:p>
            <w:pPr>
              <w:pStyle w:val="12"/>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退役军人专岗人员满意度</w:t>
            </w:r>
          </w:p>
        </w:tc>
        <w:tc>
          <w:tcPr>
            <w:tcW w:w="5386" w:type="dxa"/>
            <w:vAlign w:val="center"/>
          </w:tcPr>
          <w:p>
            <w:pPr>
              <w:pStyle w:val="12"/>
            </w:pPr>
            <w:r>
              <w:t>项目相关的退役军人专岗人员满意度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10、网络视频系统服务费绩效目标表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13062526P00003110029F</w:t>
            </w:r>
          </w:p>
        </w:tc>
        <w:tc>
          <w:tcPr>
            <w:tcW w:w="2835" w:type="dxa"/>
            <w:vAlign w:val="center"/>
          </w:tcPr>
          <w:p>
            <w:pPr>
              <w:pStyle w:val="10"/>
            </w:pPr>
            <w:r>
              <w:t>项目名称</w:t>
            </w:r>
          </w:p>
        </w:tc>
        <w:tc>
          <w:tcPr>
            <w:tcW w:w="6095" w:type="dxa"/>
            <w:gridSpan w:val="3"/>
            <w:vAlign w:val="center"/>
          </w:tcPr>
          <w:p>
            <w:pPr>
              <w:pStyle w:val="12"/>
            </w:pPr>
            <w:r>
              <w:t>网络视频系统服务费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0.96</w:t>
            </w:r>
          </w:p>
        </w:tc>
        <w:tc>
          <w:tcPr>
            <w:tcW w:w="2835" w:type="dxa"/>
            <w:vAlign w:val="center"/>
          </w:tcPr>
          <w:p>
            <w:pPr>
              <w:pStyle w:val="10"/>
            </w:pPr>
            <w:r>
              <w:t>其中：财政    资金</w:t>
            </w:r>
          </w:p>
        </w:tc>
        <w:tc>
          <w:tcPr>
            <w:tcW w:w="2551" w:type="dxa"/>
            <w:vAlign w:val="center"/>
          </w:tcPr>
          <w:p>
            <w:pPr>
              <w:pStyle w:val="12"/>
            </w:pPr>
            <w:r>
              <w:t>0.96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用于支付会议室视频系统网络服务费。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0.96</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1.项目资金9600元，缴纳1套网络视频系统每年所需服务费。</w:t>
            </w:r>
          </w:p>
          <w:p>
            <w:pPr>
              <w:pStyle w:val="12"/>
            </w:pPr>
            <w:r>
              <w:t>2.有力保障应急综合管理工作，有效提升应急救援管理水平。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网络视频系统使用数量</w:t>
            </w:r>
          </w:p>
        </w:tc>
        <w:tc>
          <w:tcPr>
            <w:tcW w:w="5386" w:type="dxa"/>
            <w:vAlign w:val="center"/>
          </w:tcPr>
          <w:p>
            <w:pPr>
              <w:pStyle w:val="12"/>
            </w:pPr>
            <w:r>
              <w:t>网络视频系统使用数量</w:t>
            </w:r>
          </w:p>
        </w:tc>
        <w:tc>
          <w:tcPr>
            <w:tcW w:w="2268" w:type="dxa"/>
            <w:vAlign w:val="center"/>
          </w:tcPr>
          <w:p>
            <w:pPr>
              <w:pStyle w:val="12"/>
            </w:pPr>
            <w:r>
              <w:t>≥1套</w:t>
            </w:r>
          </w:p>
        </w:tc>
        <w:tc>
          <w:tcPr>
            <w:tcW w:w="1276" w:type="dxa"/>
            <w:vAlign w:val="center"/>
          </w:tcPr>
          <w:p>
            <w:pPr>
              <w:pStyle w:val="12"/>
            </w:pPr>
            <w:r>
              <w:t>网络视频系统服务费项目实施计划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网络服务良好率</w:t>
            </w:r>
          </w:p>
        </w:tc>
        <w:tc>
          <w:tcPr>
            <w:tcW w:w="5386" w:type="dxa"/>
            <w:vAlign w:val="center"/>
          </w:tcPr>
          <w:p>
            <w:pPr>
              <w:pStyle w:val="12"/>
            </w:pPr>
            <w:r>
              <w:t>网络服务良好天数与总服务天数的比例</w:t>
            </w:r>
          </w:p>
        </w:tc>
        <w:tc>
          <w:tcPr>
            <w:tcW w:w="2268" w:type="dxa"/>
            <w:vAlign w:val="center"/>
          </w:tcPr>
          <w:p>
            <w:pPr>
              <w:pStyle w:val="12"/>
            </w:pPr>
            <w:r>
              <w:t>≥95%</w:t>
            </w:r>
          </w:p>
        </w:tc>
        <w:tc>
          <w:tcPr>
            <w:tcW w:w="1276" w:type="dxa"/>
            <w:vAlign w:val="center"/>
          </w:tcPr>
          <w:p>
            <w:pPr>
              <w:pStyle w:val="12"/>
            </w:pPr>
            <w:r>
              <w:t>网络视频系统服务费项目实施计划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服务费支付及时率</w:t>
            </w:r>
          </w:p>
        </w:tc>
        <w:tc>
          <w:tcPr>
            <w:tcW w:w="5386" w:type="dxa"/>
            <w:vAlign w:val="center"/>
          </w:tcPr>
          <w:p>
            <w:pPr>
              <w:pStyle w:val="12"/>
            </w:pPr>
            <w:r>
              <w:t>服务费支付及时率</w:t>
            </w:r>
          </w:p>
        </w:tc>
        <w:tc>
          <w:tcPr>
            <w:tcW w:w="2268" w:type="dxa"/>
            <w:vAlign w:val="center"/>
          </w:tcPr>
          <w:p>
            <w:pPr>
              <w:pStyle w:val="12"/>
            </w:pPr>
            <w:r>
              <w:t>≥95%</w:t>
            </w:r>
          </w:p>
        </w:tc>
        <w:tc>
          <w:tcPr>
            <w:tcW w:w="1276" w:type="dxa"/>
            <w:vAlign w:val="center"/>
          </w:tcPr>
          <w:p>
            <w:pPr>
              <w:pStyle w:val="12"/>
            </w:pPr>
            <w:r>
              <w:t>网络视频系统服务费项目实施计划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项目支出控制在预算范围内</w:t>
            </w:r>
          </w:p>
        </w:tc>
        <w:tc>
          <w:tcPr>
            <w:tcW w:w="2268" w:type="dxa"/>
            <w:vAlign w:val="center"/>
          </w:tcPr>
          <w:p>
            <w:pPr>
              <w:pStyle w:val="12"/>
            </w:pPr>
            <w:r>
              <w:t>≤9600元</w:t>
            </w:r>
          </w:p>
        </w:tc>
        <w:tc>
          <w:tcPr>
            <w:tcW w:w="1276" w:type="dxa"/>
            <w:vAlign w:val="center"/>
          </w:tcPr>
          <w:p>
            <w:pPr>
              <w:pStyle w:val="12"/>
            </w:pPr>
            <w:r>
              <w:t>网络视频系统服务费项目实施计划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较大以上安全生产事故发生数</w:t>
            </w:r>
          </w:p>
        </w:tc>
        <w:tc>
          <w:tcPr>
            <w:tcW w:w="2268" w:type="dxa"/>
            <w:vAlign w:val="center"/>
          </w:tcPr>
          <w:p>
            <w:pPr>
              <w:pStyle w:val="12"/>
            </w:pPr>
            <w:r>
              <w:t>0次</w:t>
            </w:r>
          </w:p>
        </w:tc>
        <w:tc>
          <w:tcPr>
            <w:tcW w:w="1276" w:type="dxa"/>
            <w:vAlign w:val="center"/>
          </w:tcPr>
          <w:p>
            <w:pPr>
              <w:pStyle w:val="12"/>
            </w:pPr>
            <w:r>
              <w:t>网络视频系统服务费项目实施计划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使用网络视频系统工作人员满意度</w:t>
            </w:r>
          </w:p>
        </w:tc>
        <w:tc>
          <w:tcPr>
            <w:tcW w:w="2268" w:type="dxa"/>
            <w:vAlign w:val="center"/>
          </w:tcPr>
          <w:p>
            <w:pPr>
              <w:pStyle w:val="12"/>
            </w:pPr>
            <w:r>
              <w:t>≥90%</w:t>
            </w:r>
          </w:p>
        </w:tc>
        <w:tc>
          <w:tcPr>
            <w:tcW w:w="1276" w:type="dxa"/>
            <w:vAlign w:val="center"/>
          </w:tcPr>
          <w:p>
            <w:pPr>
              <w:pStyle w:val="12"/>
            </w:pPr>
            <w:r>
              <w:t>满意度调查表</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11、应急综合管理工作经费绩效目标表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13062526P00002410354N</w:t>
            </w:r>
          </w:p>
        </w:tc>
        <w:tc>
          <w:tcPr>
            <w:tcW w:w="2835" w:type="dxa"/>
            <w:vAlign w:val="center"/>
          </w:tcPr>
          <w:p>
            <w:pPr>
              <w:pStyle w:val="10"/>
            </w:pPr>
            <w:r>
              <w:t>项目名称</w:t>
            </w:r>
          </w:p>
        </w:tc>
        <w:tc>
          <w:tcPr>
            <w:tcW w:w="6095" w:type="dxa"/>
            <w:gridSpan w:val="3"/>
            <w:vAlign w:val="center"/>
          </w:tcPr>
          <w:p>
            <w:pPr>
              <w:pStyle w:val="12"/>
            </w:pPr>
            <w:r>
              <w:t>应急综合管理工作经费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22.25</w:t>
            </w:r>
          </w:p>
        </w:tc>
        <w:tc>
          <w:tcPr>
            <w:tcW w:w="2835" w:type="dxa"/>
            <w:vAlign w:val="center"/>
          </w:tcPr>
          <w:p>
            <w:pPr>
              <w:pStyle w:val="10"/>
            </w:pPr>
            <w:r>
              <w:t>其中：财政    资金</w:t>
            </w:r>
          </w:p>
        </w:tc>
        <w:tc>
          <w:tcPr>
            <w:tcW w:w="2551" w:type="dxa"/>
            <w:vAlign w:val="center"/>
          </w:tcPr>
          <w:p>
            <w:pPr>
              <w:pStyle w:val="12"/>
            </w:pPr>
            <w:r>
              <w:t>22.25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用于机关应急管理相关支出。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22.25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1.开展5次以上应急演练，以对应急预案进行查漏补缺，达到锻炼应急救援队伍，有效提升应急救援管理水平。</w:t>
            </w:r>
          </w:p>
          <w:p>
            <w:pPr>
              <w:pStyle w:val="12"/>
            </w:pPr>
            <w:r>
              <w:t>2.购置专用设备11台，提高单位执法及应急救援水平，更好为全区应急管理工作服务。印刷应急救援、地震科普宣传材料20000册，做好全区应急管理宣传工作。</w:t>
            </w:r>
          </w:p>
          <w:p>
            <w:pPr>
              <w:pStyle w:val="12"/>
            </w:pPr>
            <w:r>
              <w:t>3.通过项目开展，有力保障应急综合管理工作，将事故和灾害造成的人身、财产损失降到最低。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应急演练次数</w:t>
            </w:r>
          </w:p>
        </w:tc>
        <w:tc>
          <w:tcPr>
            <w:tcW w:w="5386" w:type="dxa"/>
            <w:vAlign w:val="center"/>
          </w:tcPr>
          <w:p>
            <w:pPr>
              <w:pStyle w:val="12"/>
            </w:pPr>
            <w:r>
              <w:t>应急救援、安全生产各项演练次数</w:t>
            </w:r>
          </w:p>
        </w:tc>
        <w:tc>
          <w:tcPr>
            <w:tcW w:w="2268" w:type="dxa"/>
            <w:vAlign w:val="center"/>
          </w:tcPr>
          <w:p>
            <w:pPr>
              <w:pStyle w:val="12"/>
            </w:pPr>
            <w:r>
              <w:t>≥5次</w:t>
            </w:r>
          </w:p>
        </w:tc>
        <w:tc>
          <w:tcPr>
            <w:tcW w:w="1276" w:type="dxa"/>
            <w:vAlign w:val="center"/>
          </w:tcPr>
          <w:p>
            <w:pPr>
              <w:pStyle w:val="12"/>
            </w:pPr>
            <w:r>
              <w:t>依据应急综合管理工作经费项目实施计划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设备购置数量</w:t>
            </w:r>
          </w:p>
        </w:tc>
        <w:tc>
          <w:tcPr>
            <w:tcW w:w="5386" w:type="dxa"/>
            <w:vAlign w:val="center"/>
          </w:tcPr>
          <w:p>
            <w:pPr>
              <w:pStyle w:val="12"/>
            </w:pPr>
            <w:r>
              <w:t>应急管理各种设备购置数量</w:t>
            </w:r>
          </w:p>
        </w:tc>
        <w:tc>
          <w:tcPr>
            <w:tcW w:w="2268" w:type="dxa"/>
            <w:vAlign w:val="center"/>
          </w:tcPr>
          <w:p>
            <w:pPr>
              <w:pStyle w:val="12"/>
            </w:pPr>
            <w:r>
              <w:t>≥11台、个</w:t>
            </w:r>
          </w:p>
        </w:tc>
        <w:tc>
          <w:tcPr>
            <w:tcW w:w="1276" w:type="dxa"/>
            <w:vAlign w:val="center"/>
          </w:tcPr>
          <w:p>
            <w:pPr>
              <w:pStyle w:val="12"/>
            </w:pPr>
            <w:r>
              <w:t>依据应急综合管理工作经费项目实施计划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宣传品印刷数量</w:t>
            </w:r>
          </w:p>
        </w:tc>
        <w:tc>
          <w:tcPr>
            <w:tcW w:w="5386" w:type="dxa"/>
            <w:vAlign w:val="center"/>
          </w:tcPr>
          <w:p>
            <w:pPr>
              <w:pStyle w:val="12"/>
            </w:pPr>
            <w:r>
              <w:t>全年宣传品印刷数量</w:t>
            </w:r>
          </w:p>
        </w:tc>
        <w:tc>
          <w:tcPr>
            <w:tcW w:w="2268" w:type="dxa"/>
            <w:vAlign w:val="center"/>
          </w:tcPr>
          <w:p>
            <w:pPr>
              <w:pStyle w:val="12"/>
            </w:pPr>
            <w:r>
              <w:t>≥20000册、张</w:t>
            </w:r>
          </w:p>
        </w:tc>
        <w:tc>
          <w:tcPr>
            <w:tcW w:w="1276" w:type="dxa"/>
            <w:vAlign w:val="center"/>
          </w:tcPr>
          <w:p>
            <w:pPr>
              <w:pStyle w:val="12"/>
            </w:pPr>
            <w:r>
              <w:t>依据应急综合管理工作经费项目实施计划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设备合格率</w:t>
            </w:r>
          </w:p>
        </w:tc>
        <w:tc>
          <w:tcPr>
            <w:tcW w:w="5386" w:type="dxa"/>
            <w:vAlign w:val="center"/>
          </w:tcPr>
          <w:p>
            <w:pPr>
              <w:pStyle w:val="12"/>
            </w:pPr>
            <w:r>
              <w:t>购置各项设备合格率</w:t>
            </w:r>
          </w:p>
        </w:tc>
        <w:tc>
          <w:tcPr>
            <w:tcW w:w="2268" w:type="dxa"/>
            <w:vAlign w:val="center"/>
          </w:tcPr>
          <w:p>
            <w:pPr>
              <w:pStyle w:val="12"/>
            </w:pPr>
            <w:r>
              <w:t>100%</w:t>
            </w:r>
          </w:p>
        </w:tc>
        <w:tc>
          <w:tcPr>
            <w:tcW w:w="1276" w:type="dxa"/>
            <w:vAlign w:val="center"/>
          </w:tcPr>
          <w:p>
            <w:pPr>
              <w:pStyle w:val="12"/>
            </w:pPr>
            <w:r>
              <w:t>设备履约验收书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应急救援系统正常运行率</w:t>
            </w:r>
          </w:p>
        </w:tc>
        <w:tc>
          <w:tcPr>
            <w:tcW w:w="5386" w:type="dxa"/>
            <w:vAlign w:val="center"/>
          </w:tcPr>
          <w:p>
            <w:pPr>
              <w:pStyle w:val="12"/>
            </w:pPr>
            <w:r>
              <w:t>应急救援系统全年正常运行率</w:t>
            </w:r>
          </w:p>
        </w:tc>
        <w:tc>
          <w:tcPr>
            <w:tcW w:w="2268" w:type="dxa"/>
            <w:vAlign w:val="center"/>
          </w:tcPr>
          <w:p>
            <w:pPr>
              <w:pStyle w:val="12"/>
            </w:pPr>
            <w:r>
              <w:t>100%</w:t>
            </w:r>
          </w:p>
        </w:tc>
        <w:tc>
          <w:tcPr>
            <w:tcW w:w="1276" w:type="dxa"/>
            <w:vAlign w:val="center"/>
          </w:tcPr>
          <w:p>
            <w:pPr>
              <w:pStyle w:val="12"/>
            </w:pPr>
            <w:r>
              <w:t>依据应急综合管理工作经费项目实施计划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应急演练及时率</w:t>
            </w:r>
          </w:p>
        </w:tc>
        <w:tc>
          <w:tcPr>
            <w:tcW w:w="5386" w:type="dxa"/>
            <w:vAlign w:val="center"/>
          </w:tcPr>
          <w:p>
            <w:pPr>
              <w:pStyle w:val="12"/>
            </w:pPr>
            <w:r>
              <w:t>应急救援等各类应急演练及时率</w:t>
            </w:r>
          </w:p>
        </w:tc>
        <w:tc>
          <w:tcPr>
            <w:tcW w:w="2268" w:type="dxa"/>
            <w:vAlign w:val="center"/>
          </w:tcPr>
          <w:p>
            <w:pPr>
              <w:pStyle w:val="12"/>
            </w:pPr>
            <w:r>
              <w:t>100%</w:t>
            </w:r>
          </w:p>
        </w:tc>
        <w:tc>
          <w:tcPr>
            <w:tcW w:w="1276" w:type="dxa"/>
            <w:vAlign w:val="center"/>
          </w:tcPr>
          <w:p>
            <w:pPr>
              <w:pStyle w:val="12"/>
            </w:pPr>
            <w:r>
              <w:t>依据应急综合管理工作经费项目实施计划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项目预算资金</w:t>
            </w:r>
          </w:p>
        </w:tc>
        <w:tc>
          <w:tcPr>
            <w:tcW w:w="5386" w:type="dxa"/>
            <w:vAlign w:val="center"/>
          </w:tcPr>
          <w:p>
            <w:pPr>
              <w:pStyle w:val="12"/>
            </w:pPr>
            <w:r>
              <w:t>项目支出控制在预算范围内</w:t>
            </w:r>
          </w:p>
        </w:tc>
        <w:tc>
          <w:tcPr>
            <w:tcW w:w="2268" w:type="dxa"/>
            <w:vAlign w:val="center"/>
          </w:tcPr>
          <w:p>
            <w:pPr>
              <w:pStyle w:val="12"/>
            </w:pPr>
            <w:r>
              <w:t>≤222500元</w:t>
            </w:r>
          </w:p>
        </w:tc>
        <w:tc>
          <w:tcPr>
            <w:tcW w:w="1276" w:type="dxa"/>
            <w:vAlign w:val="center"/>
          </w:tcPr>
          <w:p>
            <w:pPr>
              <w:pStyle w:val="12"/>
            </w:pPr>
            <w:r>
              <w:t>依据应急综合管理工作经费项目实施计划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应急救援任务有效完成率</w:t>
            </w:r>
          </w:p>
        </w:tc>
        <w:tc>
          <w:tcPr>
            <w:tcW w:w="5386" w:type="dxa"/>
            <w:vAlign w:val="center"/>
          </w:tcPr>
          <w:p>
            <w:pPr>
              <w:pStyle w:val="12"/>
            </w:pPr>
            <w:r>
              <w:t>全年应急救援任务有效完成率</w:t>
            </w:r>
          </w:p>
        </w:tc>
        <w:tc>
          <w:tcPr>
            <w:tcW w:w="2268" w:type="dxa"/>
            <w:vAlign w:val="center"/>
          </w:tcPr>
          <w:p>
            <w:pPr>
              <w:pStyle w:val="12"/>
            </w:pPr>
            <w:r>
              <w:t>≥95%</w:t>
            </w:r>
          </w:p>
        </w:tc>
        <w:tc>
          <w:tcPr>
            <w:tcW w:w="1276" w:type="dxa"/>
            <w:vAlign w:val="center"/>
          </w:tcPr>
          <w:p>
            <w:pPr>
              <w:pStyle w:val="12"/>
            </w:pPr>
            <w:r>
              <w:t>依据应急综合管理工作经费项目实施计划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117.31</w:t>
            </w:r>
          </w:p>
        </w:tc>
        <w:tc>
          <w:tcPr>
            <w:tcW w:w="964" w:type="dxa"/>
            <w:vAlign w:val="center"/>
          </w:tcPr>
          <w:p>
            <w:pPr>
              <w:pStyle w:val="15"/>
            </w:pPr>
            <w:r>
              <w:t>86.20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31.11</w:t>
            </w:r>
          </w:p>
        </w:tc>
        <w:tc>
          <w:tcPr>
            <w:tcW w:w="964" w:type="dxa"/>
            <w:vAlign w:val="center"/>
          </w:tcPr>
          <w:p>
            <w:pPr>
              <w:pStyle w:val="15"/>
            </w:pPr>
          </w:p>
        </w:tc>
        <w:tc>
          <w:tcPr>
            <w:tcW w:w="964" w:type="dxa"/>
            <w:vAlign w:val="center"/>
          </w:tcPr>
          <w:p>
            <w:pPr>
              <w:pStyle w:val="15"/>
            </w:pPr>
            <w:r>
              <w:t>86.20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117.31</w:t>
            </w:r>
          </w:p>
        </w:tc>
        <w:tc>
          <w:tcPr>
            <w:tcW w:w="964" w:type="dxa"/>
            <w:vAlign w:val="center"/>
          </w:tcPr>
          <w:p>
            <w:pPr>
              <w:pStyle w:val="15"/>
            </w:pPr>
            <w:r>
              <w:t>86.20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31.11</w:t>
            </w:r>
          </w:p>
        </w:tc>
        <w:tc>
          <w:tcPr>
            <w:tcW w:w="964" w:type="dxa"/>
            <w:vAlign w:val="center"/>
          </w:tcPr>
          <w:p>
            <w:pPr>
              <w:pStyle w:val="15"/>
            </w:pPr>
          </w:p>
        </w:tc>
        <w:tc>
          <w:tcPr>
            <w:tcW w:w="964" w:type="dxa"/>
            <w:vAlign w:val="center"/>
          </w:tcPr>
          <w:p>
            <w:pPr>
              <w:pStyle w:val="15"/>
            </w:pPr>
            <w:r>
              <w:t>86.20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河北省自然灾害应急能力提升工程预警指挥项目国债项目中央资金</w:t>
            </w:r>
          </w:p>
        </w:tc>
        <w:tc>
          <w:tcPr>
            <w:tcW w:w="964" w:type="dxa"/>
            <w:vAlign w:val="center"/>
          </w:tcPr>
          <w:p>
            <w:pPr>
              <w:pStyle w:val="11"/>
            </w:pPr>
            <w:r>
              <w:t>31.11</w:t>
            </w:r>
          </w:p>
        </w:tc>
        <w:tc>
          <w:tcPr>
            <w:tcW w:w="1134" w:type="dxa"/>
            <w:vAlign w:val="center"/>
          </w:tcPr>
          <w:p>
            <w:pPr>
              <w:pStyle w:val="12"/>
            </w:pPr>
            <w:r>
              <w:t>硬件集成实施服务</w:t>
            </w:r>
          </w:p>
        </w:tc>
        <w:tc>
          <w:tcPr>
            <w:tcW w:w="1134" w:type="dxa"/>
            <w:vAlign w:val="center"/>
          </w:tcPr>
          <w:p>
            <w:pPr>
              <w:pStyle w:val="12"/>
            </w:pPr>
            <w:r>
              <w:t>C16020200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31.11</w:t>
            </w:r>
          </w:p>
        </w:tc>
        <w:tc>
          <w:tcPr>
            <w:tcW w:w="964" w:type="dxa"/>
            <w:vAlign w:val="center"/>
          </w:tcPr>
          <w:p>
            <w:pPr>
              <w:pStyle w:val="11"/>
            </w:pPr>
            <w:r>
              <w:t>31.11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31.11</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19.84</w:t>
            </w:r>
          </w:p>
        </w:tc>
        <w:tc>
          <w:tcPr>
            <w:tcW w:w="1134" w:type="dxa"/>
            <w:vAlign w:val="center"/>
          </w:tcPr>
          <w:p>
            <w:pPr>
              <w:pStyle w:val="12"/>
            </w:pPr>
            <w:r>
              <w:t>纸及纸板</w:t>
            </w:r>
          </w:p>
        </w:tc>
        <w:tc>
          <w:tcPr>
            <w:tcW w:w="1134" w:type="dxa"/>
            <w:vAlign w:val="center"/>
          </w:tcPr>
          <w:p>
            <w:pPr>
              <w:pStyle w:val="12"/>
            </w:pPr>
            <w:r>
              <w:t>A07100200</w:t>
            </w:r>
          </w:p>
        </w:tc>
        <w:tc>
          <w:tcPr>
            <w:tcW w:w="709" w:type="dxa"/>
            <w:vAlign w:val="center"/>
          </w:tcPr>
          <w:p>
            <w:pPr>
              <w:pStyle w:val="13"/>
            </w:pPr>
            <w:r>
              <w:t>箱</w:t>
            </w:r>
          </w:p>
        </w:tc>
        <w:tc>
          <w:tcPr>
            <w:tcW w:w="850" w:type="dxa"/>
            <w:vAlign w:val="center"/>
          </w:tcPr>
          <w:p>
            <w:pPr>
              <w:pStyle w:val="11"/>
            </w:pPr>
            <w:r>
              <w:t>100</w:t>
            </w:r>
          </w:p>
        </w:tc>
        <w:tc>
          <w:tcPr>
            <w:tcW w:w="850" w:type="dxa"/>
            <w:vAlign w:val="center"/>
          </w:tcPr>
          <w:p>
            <w:pPr>
              <w:pStyle w:val="11"/>
            </w:pPr>
            <w:r>
              <w:t>0.01</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19.84</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19.84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0.25</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19.84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1.00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提前下达2026年自然灾害救助专项资金（农房保险试点补助经费）</w:t>
            </w:r>
          </w:p>
        </w:tc>
        <w:tc>
          <w:tcPr>
            <w:tcW w:w="964" w:type="dxa"/>
            <w:vAlign w:val="center"/>
          </w:tcPr>
          <w:p>
            <w:pPr>
              <w:pStyle w:val="11"/>
            </w:pPr>
            <w:r>
              <w:t>74.40</w:t>
            </w:r>
          </w:p>
        </w:tc>
        <w:tc>
          <w:tcPr>
            <w:tcW w:w="1134" w:type="dxa"/>
            <w:vAlign w:val="center"/>
          </w:tcPr>
          <w:p>
            <w:pPr>
              <w:pStyle w:val="12"/>
            </w:pPr>
            <w:r>
              <w:t>其他商业保险服务</w:t>
            </w:r>
          </w:p>
        </w:tc>
        <w:tc>
          <w:tcPr>
            <w:tcW w:w="1134" w:type="dxa"/>
            <w:vAlign w:val="center"/>
          </w:tcPr>
          <w:p>
            <w:pPr>
              <w:pStyle w:val="12"/>
            </w:pPr>
            <w:r>
              <w:t>C18040199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74.40</w:t>
            </w:r>
          </w:p>
        </w:tc>
        <w:tc>
          <w:tcPr>
            <w:tcW w:w="964" w:type="dxa"/>
            <w:vAlign w:val="center"/>
          </w:tcPr>
          <w:p>
            <w:pPr>
              <w:pStyle w:val="11"/>
            </w:pPr>
            <w:r>
              <w:t>74.40</w:t>
            </w:r>
          </w:p>
        </w:tc>
        <w:tc>
          <w:tcPr>
            <w:tcW w:w="964" w:type="dxa"/>
            <w:vAlign w:val="center"/>
          </w:tcPr>
          <w:p>
            <w:pPr>
              <w:pStyle w:val="11"/>
            </w:pPr>
            <w:r>
              <w:t>74.40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应急综合管理工作经费</w:t>
            </w:r>
          </w:p>
        </w:tc>
        <w:tc>
          <w:tcPr>
            <w:tcW w:w="964" w:type="dxa"/>
            <w:vAlign w:val="center"/>
          </w:tcPr>
          <w:p>
            <w:pPr>
              <w:pStyle w:val="11"/>
            </w:pPr>
            <w:r>
              <w:t>22.25</w:t>
            </w:r>
          </w:p>
        </w:tc>
        <w:tc>
          <w:tcPr>
            <w:tcW w:w="1134" w:type="dxa"/>
            <w:vAlign w:val="center"/>
          </w:tcPr>
          <w:p>
            <w:pPr>
              <w:pStyle w:val="12"/>
            </w:pPr>
            <w:r>
              <w:t>执法记录仪</w:t>
            </w:r>
          </w:p>
        </w:tc>
        <w:tc>
          <w:tcPr>
            <w:tcW w:w="1134" w:type="dxa"/>
            <w:vAlign w:val="center"/>
          </w:tcPr>
          <w:p>
            <w:pPr>
              <w:pStyle w:val="12"/>
            </w:pPr>
            <w:r>
              <w:t>A02020600</w:t>
            </w:r>
          </w:p>
        </w:tc>
        <w:tc>
          <w:tcPr>
            <w:tcW w:w="709" w:type="dxa"/>
            <w:vAlign w:val="center"/>
          </w:tcPr>
          <w:p>
            <w:pPr>
              <w:pStyle w:val="13"/>
            </w:pPr>
            <w:r>
              <w:t>部</w:t>
            </w:r>
          </w:p>
        </w:tc>
        <w:tc>
          <w:tcPr>
            <w:tcW w:w="850" w:type="dxa"/>
            <w:vAlign w:val="center"/>
          </w:tcPr>
          <w:p>
            <w:pPr>
              <w:pStyle w:val="11"/>
            </w:pPr>
            <w:r>
              <w:t>10</w:t>
            </w:r>
          </w:p>
        </w:tc>
        <w:tc>
          <w:tcPr>
            <w:tcW w:w="850" w:type="dxa"/>
            <w:vAlign w:val="center"/>
          </w:tcPr>
          <w:p>
            <w:pPr>
              <w:pStyle w:val="11"/>
            </w:pPr>
            <w:r>
              <w:t>0.30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应急综合管理工作经费</w:t>
            </w:r>
          </w:p>
        </w:tc>
        <w:tc>
          <w:tcPr>
            <w:tcW w:w="964" w:type="dxa"/>
            <w:vAlign w:val="center"/>
          </w:tcPr>
          <w:p>
            <w:pPr>
              <w:pStyle w:val="11"/>
            </w:pPr>
            <w:r>
              <w:t>22.25</w:t>
            </w:r>
          </w:p>
        </w:tc>
        <w:tc>
          <w:tcPr>
            <w:tcW w:w="1134" w:type="dxa"/>
            <w:vAlign w:val="center"/>
          </w:tcPr>
          <w:p>
            <w:pPr>
              <w:pStyle w:val="12"/>
            </w:pPr>
            <w:r>
              <w:t>应急照明灯</w:t>
            </w:r>
          </w:p>
        </w:tc>
        <w:tc>
          <w:tcPr>
            <w:tcW w:w="1134" w:type="dxa"/>
            <w:vAlign w:val="center"/>
          </w:tcPr>
          <w:p>
            <w:pPr>
              <w:pStyle w:val="12"/>
            </w:pPr>
            <w:r>
              <w:t>A02061913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保定市徐水区应急管理局本级上年末固定资产金额为1637.00万元（详见下表）。本年度拟购置固定资产总额为5.00万元，已按要求列入政府采购预算，详见政府采购预算表。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426001保定市徐水区应急管理局本级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1637.00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40</w:t>
            </w:r>
          </w:p>
        </w:tc>
        <w:tc>
          <w:tcPr>
            <w:tcW w:w="2835" w:type="dxa"/>
            <w:vAlign w:val="center"/>
          </w:tcPr>
          <w:p>
            <w:pPr>
              <w:pStyle w:val="11"/>
            </w:pPr>
            <w:r>
              <w:t>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40</w:t>
            </w:r>
          </w:p>
        </w:tc>
        <w:tc>
          <w:tcPr>
            <w:tcW w:w="2835" w:type="dxa"/>
            <w:vAlign w:val="center"/>
          </w:tcPr>
          <w:p>
            <w:pPr>
              <w:pStyle w:val="11"/>
            </w:pPr>
            <w:r>
              <w:t>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32.77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1296</w:t>
            </w:r>
          </w:p>
        </w:tc>
        <w:tc>
          <w:tcPr>
            <w:tcW w:w="2835" w:type="dxa"/>
            <w:vAlign w:val="center"/>
          </w:tcPr>
          <w:p>
            <w:pPr>
              <w:pStyle w:val="11"/>
            </w:pPr>
            <w:r>
              <w:t>1594.65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D5E9B"/>
    <w:rsid w:val="597A4D47"/>
    <w:rsid w:val="59F24497"/>
    <w:rsid w:val="7C5206B2"/>
    <w:rsid w:val="7EA650F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TotalTime>6</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2026-03-04T16:38:00Z</dcterms:created>
  <dc:creator>Administrator</dc:creator>
  <cp:lastModifiedBy>user</cp:lastModifiedBy>
  <dcterms:modified xsi:type="dcterms:W3CDTF">2026-03-04T09:24:59Z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