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34</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35</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2306.69</w:t>
            </w:r>
          </w:p>
        </w:tc>
        <w:tc>
          <w:tcPr>
            <w:tcW w:w="4535" w:type="dxa"/>
            <w:vAlign w:val="center"/>
          </w:tcPr>
          <w:p>
            <w:pPr>
              <w:pStyle w:val="13"/>
            </w:pPr>
            <w:r>
              <w:t>一、一般公共服务支出</w:t>
            </w:r>
          </w:p>
        </w:tc>
        <w:tc>
          <w:tcPr>
            <w:tcW w:w="2126" w:type="dxa"/>
            <w:vAlign w:val="center"/>
          </w:tcPr>
          <w:p>
            <w:pPr>
              <w:pStyle w:val="12"/>
            </w:pPr>
            <w:r>
              <w:t>2086.44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220.25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2306.69</w:t>
            </w:r>
          </w:p>
        </w:tc>
        <w:tc>
          <w:tcPr>
            <w:tcW w:w="4535" w:type="dxa"/>
            <w:vAlign w:val="center"/>
          </w:tcPr>
          <w:p>
            <w:pPr>
              <w:pStyle w:val="15"/>
            </w:pPr>
            <w:r>
              <w:t>本年支出合计</w:t>
            </w:r>
          </w:p>
        </w:tc>
        <w:tc>
          <w:tcPr>
            <w:tcW w:w="2126" w:type="dxa"/>
            <w:vAlign w:val="center"/>
          </w:tcPr>
          <w:p>
            <w:pPr>
              <w:pStyle w:val="16"/>
            </w:pPr>
            <w:r>
              <w:t>2306.69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2306.69</w:t>
            </w:r>
          </w:p>
        </w:tc>
        <w:tc>
          <w:tcPr>
            <w:tcW w:w="4535" w:type="dxa"/>
            <w:vAlign w:val="center"/>
          </w:tcPr>
          <w:p>
            <w:pPr>
              <w:pStyle w:val="15"/>
            </w:pPr>
            <w:r>
              <w:t>支出总计</w:t>
            </w:r>
          </w:p>
        </w:tc>
        <w:tc>
          <w:tcPr>
            <w:tcW w:w="2126" w:type="dxa"/>
            <w:vAlign w:val="center"/>
          </w:tcPr>
          <w:p>
            <w:pPr>
              <w:pStyle w:val="16"/>
            </w:pPr>
            <w:r>
              <w:t>2306.69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2306.69</w:t>
            </w:r>
          </w:p>
        </w:tc>
        <w:tc>
          <w:tcPr>
            <w:tcW w:w="1134" w:type="dxa"/>
            <w:vAlign w:val="center"/>
          </w:tcPr>
          <w:p>
            <w:pPr>
              <w:pStyle w:val="16"/>
            </w:pPr>
            <w:r>
              <w:t>2306.69</w:t>
            </w:r>
          </w:p>
        </w:tc>
        <w:tc>
          <w:tcPr>
            <w:tcW w:w="1134" w:type="dxa"/>
            <w:vAlign w:val="center"/>
          </w:tcPr>
          <w:p>
            <w:pPr>
              <w:pStyle w:val="16"/>
            </w:pPr>
            <w:r>
              <w:t>2306.69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2086.44</w:t>
            </w:r>
          </w:p>
        </w:tc>
        <w:tc>
          <w:tcPr>
            <w:tcW w:w="1134" w:type="dxa"/>
            <w:vAlign w:val="center"/>
          </w:tcPr>
          <w:p>
            <w:pPr>
              <w:pStyle w:val="12"/>
            </w:pPr>
            <w:r>
              <w:t>2086.44</w:t>
            </w:r>
          </w:p>
        </w:tc>
        <w:tc>
          <w:tcPr>
            <w:tcW w:w="1134" w:type="dxa"/>
            <w:vAlign w:val="center"/>
          </w:tcPr>
          <w:p>
            <w:pPr>
              <w:pStyle w:val="12"/>
            </w:pPr>
            <w:r>
              <w:t>2086.44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2086.44</w:t>
            </w:r>
          </w:p>
        </w:tc>
        <w:tc>
          <w:tcPr>
            <w:tcW w:w="1134" w:type="dxa"/>
            <w:vAlign w:val="center"/>
          </w:tcPr>
          <w:p>
            <w:pPr>
              <w:pStyle w:val="12"/>
            </w:pPr>
            <w:r>
              <w:t>2086.44</w:t>
            </w:r>
          </w:p>
        </w:tc>
        <w:tc>
          <w:tcPr>
            <w:tcW w:w="1134" w:type="dxa"/>
            <w:vAlign w:val="center"/>
          </w:tcPr>
          <w:p>
            <w:pPr>
              <w:pStyle w:val="12"/>
            </w:pPr>
            <w:r>
              <w:t>2086.44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2011101</w:t>
            </w:r>
          </w:p>
        </w:tc>
        <w:tc>
          <w:tcPr>
            <w:tcW w:w="1559" w:type="dxa"/>
            <w:vAlign w:val="center"/>
          </w:tcPr>
          <w:p>
            <w:pPr>
              <w:pStyle w:val="13"/>
            </w:pPr>
            <w:r>
              <w:t>行政运行</w:t>
            </w:r>
          </w:p>
        </w:tc>
        <w:tc>
          <w:tcPr>
            <w:tcW w:w="1134" w:type="dxa"/>
            <w:vAlign w:val="center"/>
          </w:tcPr>
          <w:p>
            <w:pPr>
              <w:pStyle w:val="12"/>
            </w:pPr>
            <w:r>
              <w:t>1896.13</w:t>
            </w:r>
          </w:p>
        </w:tc>
        <w:tc>
          <w:tcPr>
            <w:tcW w:w="1134" w:type="dxa"/>
            <w:vAlign w:val="center"/>
          </w:tcPr>
          <w:p>
            <w:pPr>
              <w:pStyle w:val="12"/>
            </w:pPr>
            <w:r>
              <w:t>1896.13</w:t>
            </w:r>
          </w:p>
        </w:tc>
        <w:tc>
          <w:tcPr>
            <w:tcW w:w="1134" w:type="dxa"/>
            <w:vAlign w:val="center"/>
          </w:tcPr>
          <w:p>
            <w:pPr>
              <w:pStyle w:val="12"/>
            </w:pPr>
            <w:r>
              <w:t>1896.13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180.11</w:t>
            </w:r>
          </w:p>
        </w:tc>
        <w:tc>
          <w:tcPr>
            <w:tcW w:w="1134" w:type="dxa"/>
            <w:vAlign w:val="center"/>
          </w:tcPr>
          <w:p>
            <w:pPr>
              <w:pStyle w:val="12"/>
            </w:pPr>
            <w:r>
              <w:t>180.11</w:t>
            </w:r>
          </w:p>
        </w:tc>
        <w:tc>
          <w:tcPr>
            <w:tcW w:w="1134" w:type="dxa"/>
            <w:vAlign w:val="center"/>
          </w:tcPr>
          <w:p>
            <w:pPr>
              <w:pStyle w:val="12"/>
            </w:pPr>
            <w:r>
              <w:t>180.11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2011199</w:t>
            </w:r>
          </w:p>
        </w:tc>
        <w:tc>
          <w:tcPr>
            <w:tcW w:w="1559" w:type="dxa"/>
            <w:vAlign w:val="center"/>
          </w:tcPr>
          <w:p>
            <w:pPr>
              <w:pStyle w:val="13"/>
            </w:pPr>
            <w:r>
              <w:t>其他纪检监察事务支出</w:t>
            </w:r>
          </w:p>
        </w:tc>
        <w:tc>
          <w:tcPr>
            <w:tcW w:w="1134" w:type="dxa"/>
            <w:vAlign w:val="center"/>
          </w:tcPr>
          <w:p>
            <w:pPr>
              <w:pStyle w:val="12"/>
            </w:pPr>
            <w:r>
              <w:t>10.20</w:t>
            </w:r>
          </w:p>
        </w:tc>
        <w:tc>
          <w:tcPr>
            <w:tcW w:w="1134" w:type="dxa"/>
            <w:vAlign w:val="center"/>
          </w:tcPr>
          <w:p>
            <w:pPr>
              <w:pStyle w:val="12"/>
            </w:pPr>
            <w:r>
              <w:t>10.20</w:t>
            </w:r>
          </w:p>
        </w:tc>
        <w:tc>
          <w:tcPr>
            <w:tcW w:w="1134" w:type="dxa"/>
            <w:vAlign w:val="center"/>
          </w:tcPr>
          <w:p>
            <w:pPr>
              <w:pStyle w:val="12"/>
            </w:pPr>
            <w:r>
              <w:t>10.20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220.25</w:t>
            </w:r>
          </w:p>
        </w:tc>
        <w:tc>
          <w:tcPr>
            <w:tcW w:w="1134" w:type="dxa"/>
            <w:vAlign w:val="center"/>
          </w:tcPr>
          <w:p>
            <w:pPr>
              <w:pStyle w:val="12"/>
            </w:pPr>
            <w:r>
              <w:t>220.25</w:t>
            </w:r>
          </w:p>
        </w:tc>
        <w:tc>
          <w:tcPr>
            <w:tcW w:w="1134" w:type="dxa"/>
            <w:vAlign w:val="center"/>
          </w:tcPr>
          <w:p>
            <w:pPr>
              <w:pStyle w:val="12"/>
            </w:pPr>
            <w:r>
              <w:t>220.25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220.25</w:t>
            </w:r>
          </w:p>
        </w:tc>
        <w:tc>
          <w:tcPr>
            <w:tcW w:w="1134" w:type="dxa"/>
            <w:vAlign w:val="center"/>
          </w:tcPr>
          <w:p>
            <w:pPr>
              <w:pStyle w:val="12"/>
            </w:pPr>
            <w:r>
              <w:t>220.25</w:t>
            </w:r>
          </w:p>
        </w:tc>
        <w:tc>
          <w:tcPr>
            <w:tcW w:w="1134" w:type="dxa"/>
            <w:vAlign w:val="center"/>
          </w:tcPr>
          <w:p>
            <w:pPr>
              <w:pStyle w:val="12"/>
            </w:pPr>
            <w:r>
              <w:t>220.25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220.25</w:t>
            </w:r>
          </w:p>
        </w:tc>
        <w:tc>
          <w:tcPr>
            <w:tcW w:w="1134" w:type="dxa"/>
            <w:vAlign w:val="center"/>
          </w:tcPr>
          <w:p>
            <w:pPr>
              <w:pStyle w:val="12"/>
            </w:pPr>
            <w:r>
              <w:t>220.25</w:t>
            </w:r>
          </w:p>
        </w:tc>
        <w:tc>
          <w:tcPr>
            <w:tcW w:w="1134" w:type="dxa"/>
            <w:vAlign w:val="center"/>
          </w:tcPr>
          <w:p>
            <w:pPr>
              <w:pStyle w:val="12"/>
            </w:pPr>
            <w:r>
              <w:t>220.25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2306.69</w:t>
            </w:r>
          </w:p>
        </w:tc>
        <w:tc>
          <w:tcPr>
            <w:tcW w:w="1361" w:type="dxa"/>
            <w:vAlign w:val="center"/>
          </w:tcPr>
          <w:p>
            <w:pPr>
              <w:pStyle w:val="16"/>
            </w:pPr>
            <w:r>
              <w:t>2116.38</w:t>
            </w:r>
          </w:p>
        </w:tc>
        <w:tc>
          <w:tcPr>
            <w:tcW w:w="1361" w:type="dxa"/>
            <w:vAlign w:val="center"/>
          </w:tcPr>
          <w:p>
            <w:pPr>
              <w:pStyle w:val="16"/>
            </w:pPr>
            <w:r>
              <w:t>190.31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2086.44</w:t>
            </w:r>
          </w:p>
        </w:tc>
        <w:tc>
          <w:tcPr>
            <w:tcW w:w="1361" w:type="dxa"/>
            <w:vAlign w:val="center"/>
          </w:tcPr>
          <w:p>
            <w:pPr>
              <w:pStyle w:val="12"/>
            </w:pPr>
            <w:r>
              <w:t>1896.13</w:t>
            </w:r>
          </w:p>
        </w:tc>
        <w:tc>
          <w:tcPr>
            <w:tcW w:w="1361" w:type="dxa"/>
            <w:vAlign w:val="center"/>
          </w:tcPr>
          <w:p>
            <w:pPr>
              <w:pStyle w:val="12"/>
            </w:pPr>
            <w:r>
              <w:t>190.31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2086.44</w:t>
            </w:r>
          </w:p>
        </w:tc>
        <w:tc>
          <w:tcPr>
            <w:tcW w:w="1361" w:type="dxa"/>
            <w:vAlign w:val="center"/>
          </w:tcPr>
          <w:p>
            <w:pPr>
              <w:pStyle w:val="12"/>
            </w:pPr>
            <w:r>
              <w:t>1896.13</w:t>
            </w:r>
          </w:p>
        </w:tc>
        <w:tc>
          <w:tcPr>
            <w:tcW w:w="1361" w:type="dxa"/>
            <w:vAlign w:val="center"/>
          </w:tcPr>
          <w:p>
            <w:pPr>
              <w:pStyle w:val="12"/>
            </w:pPr>
            <w:r>
              <w:t>190.31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2011101</w:t>
            </w:r>
          </w:p>
        </w:tc>
        <w:tc>
          <w:tcPr>
            <w:tcW w:w="4535" w:type="dxa"/>
            <w:vAlign w:val="center"/>
          </w:tcPr>
          <w:p>
            <w:pPr>
              <w:pStyle w:val="13"/>
            </w:pPr>
            <w:r>
              <w:t>行政运行</w:t>
            </w:r>
          </w:p>
        </w:tc>
        <w:tc>
          <w:tcPr>
            <w:tcW w:w="1361" w:type="dxa"/>
            <w:vAlign w:val="center"/>
          </w:tcPr>
          <w:p>
            <w:pPr>
              <w:pStyle w:val="12"/>
            </w:pPr>
            <w:r>
              <w:t>1896.13</w:t>
            </w:r>
          </w:p>
        </w:tc>
        <w:tc>
          <w:tcPr>
            <w:tcW w:w="1361" w:type="dxa"/>
            <w:vAlign w:val="center"/>
          </w:tcPr>
          <w:p>
            <w:pPr>
              <w:pStyle w:val="12"/>
            </w:pPr>
            <w:r>
              <w:t>1896.13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180.11</w:t>
            </w:r>
          </w:p>
        </w:tc>
        <w:tc>
          <w:tcPr>
            <w:tcW w:w="1361" w:type="dxa"/>
            <w:vAlign w:val="center"/>
          </w:tcPr>
          <w:p>
            <w:pPr>
              <w:pStyle w:val="12"/>
            </w:pPr>
          </w:p>
        </w:tc>
        <w:tc>
          <w:tcPr>
            <w:tcW w:w="1361" w:type="dxa"/>
            <w:vAlign w:val="center"/>
          </w:tcPr>
          <w:p>
            <w:pPr>
              <w:pStyle w:val="12"/>
            </w:pPr>
            <w:r>
              <w:t>180.11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2011199</w:t>
            </w:r>
          </w:p>
        </w:tc>
        <w:tc>
          <w:tcPr>
            <w:tcW w:w="4535" w:type="dxa"/>
            <w:vAlign w:val="center"/>
          </w:tcPr>
          <w:p>
            <w:pPr>
              <w:pStyle w:val="13"/>
            </w:pPr>
            <w:r>
              <w:t>其他纪检监察事务支出</w:t>
            </w:r>
          </w:p>
        </w:tc>
        <w:tc>
          <w:tcPr>
            <w:tcW w:w="1361" w:type="dxa"/>
            <w:vAlign w:val="center"/>
          </w:tcPr>
          <w:p>
            <w:pPr>
              <w:pStyle w:val="12"/>
            </w:pPr>
            <w:r>
              <w:t>10.20</w:t>
            </w:r>
          </w:p>
        </w:tc>
        <w:tc>
          <w:tcPr>
            <w:tcW w:w="1361" w:type="dxa"/>
            <w:vAlign w:val="center"/>
          </w:tcPr>
          <w:p>
            <w:pPr>
              <w:pStyle w:val="12"/>
            </w:pPr>
          </w:p>
        </w:tc>
        <w:tc>
          <w:tcPr>
            <w:tcW w:w="1361" w:type="dxa"/>
            <w:vAlign w:val="center"/>
          </w:tcPr>
          <w:p>
            <w:pPr>
              <w:pStyle w:val="12"/>
            </w:pPr>
            <w:r>
              <w:t>10.20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220.25</w:t>
            </w:r>
          </w:p>
        </w:tc>
        <w:tc>
          <w:tcPr>
            <w:tcW w:w="1361" w:type="dxa"/>
            <w:vAlign w:val="center"/>
          </w:tcPr>
          <w:p>
            <w:pPr>
              <w:pStyle w:val="12"/>
            </w:pPr>
            <w:r>
              <w:t>220.25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220.25</w:t>
            </w:r>
          </w:p>
        </w:tc>
        <w:tc>
          <w:tcPr>
            <w:tcW w:w="1361" w:type="dxa"/>
            <w:vAlign w:val="center"/>
          </w:tcPr>
          <w:p>
            <w:pPr>
              <w:pStyle w:val="12"/>
            </w:pPr>
            <w:r>
              <w:t>220.25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220.25</w:t>
            </w:r>
          </w:p>
        </w:tc>
        <w:tc>
          <w:tcPr>
            <w:tcW w:w="1361" w:type="dxa"/>
            <w:vAlign w:val="center"/>
          </w:tcPr>
          <w:p>
            <w:pPr>
              <w:pStyle w:val="12"/>
            </w:pPr>
            <w:r>
              <w:t>220.25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2306.69</w:t>
            </w:r>
          </w:p>
        </w:tc>
        <w:tc>
          <w:tcPr>
            <w:tcW w:w="3402" w:type="dxa"/>
            <w:vAlign w:val="center"/>
          </w:tcPr>
          <w:p>
            <w:pPr>
              <w:pStyle w:val="13"/>
            </w:pPr>
            <w:r>
              <w:t>一、一般公共服务支出</w:t>
            </w:r>
          </w:p>
        </w:tc>
        <w:tc>
          <w:tcPr>
            <w:tcW w:w="1474" w:type="dxa"/>
            <w:vAlign w:val="center"/>
          </w:tcPr>
          <w:p>
            <w:pPr>
              <w:pStyle w:val="12"/>
            </w:pPr>
            <w:r>
              <w:t>2086.44</w:t>
            </w:r>
          </w:p>
        </w:tc>
        <w:tc>
          <w:tcPr>
            <w:tcW w:w="1474" w:type="dxa"/>
            <w:vAlign w:val="center"/>
          </w:tcPr>
          <w:p>
            <w:pPr>
              <w:pStyle w:val="12"/>
            </w:pPr>
            <w:r>
              <w:t>2086.44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220.25</w:t>
            </w:r>
          </w:p>
        </w:tc>
        <w:tc>
          <w:tcPr>
            <w:tcW w:w="1474" w:type="dxa"/>
            <w:vAlign w:val="center"/>
          </w:tcPr>
          <w:p>
            <w:pPr>
              <w:pStyle w:val="12"/>
            </w:pPr>
            <w:r>
              <w:t>220.25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2306.69</w:t>
            </w:r>
          </w:p>
        </w:tc>
        <w:tc>
          <w:tcPr>
            <w:tcW w:w="3402" w:type="dxa"/>
            <w:vAlign w:val="center"/>
          </w:tcPr>
          <w:p>
            <w:pPr>
              <w:pStyle w:val="15"/>
            </w:pPr>
            <w:r>
              <w:t>本年支出合计</w:t>
            </w:r>
          </w:p>
        </w:tc>
        <w:tc>
          <w:tcPr>
            <w:tcW w:w="1474" w:type="dxa"/>
            <w:vAlign w:val="center"/>
          </w:tcPr>
          <w:p>
            <w:pPr>
              <w:pStyle w:val="16"/>
            </w:pPr>
            <w:r>
              <w:t>2306.69</w:t>
            </w:r>
          </w:p>
        </w:tc>
        <w:tc>
          <w:tcPr>
            <w:tcW w:w="1474" w:type="dxa"/>
            <w:vAlign w:val="center"/>
          </w:tcPr>
          <w:p>
            <w:pPr>
              <w:pStyle w:val="16"/>
            </w:pPr>
            <w:r>
              <w:t>2306.69</w:t>
            </w:r>
          </w:p>
        </w:tc>
        <w:tc>
          <w:tcPr>
            <w:tcW w:w="1474" w:type="dxa"/>
            <w:vAlign w:val="center"/>
          </w:tcPr>
          <w:p>
            <w:pPr>
              <w:pStyle w:val="16"/>
            </w:pPr>
          </w:p>
        </w:tc>
        <w:tc>
          <w:tcPr>
            <w:tcW w:w="1474"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2306.69</w:t>
            </w:r>
          </w:p>
        </w:tc>
        <w:tc>
          <w:tcPr>
            <w:tcW w:w="3402" w:type="dxa"/>
            <w:vAlign w:val="center"/>
          </w:tcPr>
          <w:p>
            <w:pPr>
              <w:pStyle w:val="15"/>
            </w:pPr>
            <w:r>
              <w:t>支出总计</w:t>
            </w:r>
          </w:p>
        </w:tc>
        <w:tc>
          <w:tcPr>
            <w:tcW w:w="1474" w:type="dxa"/>
            <w:vAlign w:val="center"/>
          </w:tcPr>
          <w:p>
            <w:pPr>
              <w:pStyle w:val="16"/>
            </w:pPr>
            <w:r>
              <w:t>2306.69</w:t>
            </w:r>
          </w:p>
        </w:tc>
        <w:tc>
          <w:tcPr>
            <w:tcW w:w="1474" w:type="dxa"/>
            <w:vAlign w:val="center"/>
          </w:tcPr>
          <w:p>
            <w:pPr>
              <w:pStyle w:val="16"/>
            </w:pPr>
            <w:r>
              <w:t>2306.69</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2306.69</w:t>
            </w:r>
          </w:p>
        </w:tc>
        <w:tc>
          <w:tcPr>
            <w:tcW w:w="2551" w:type="dxa"/>
            <w:vAlign w:val="center"/>
          </w:tcPr>
          <w:p>
            <w:pPr>
              <w:pStyle w:val="16"/>
            </w:pPr>
            <w:r>
              <w:t>2116.38</w:t>
            </w:r>
          </w:p>
        </w:tc>
        <w:tc>
          <w:tcPr>
            <w:tcW w:w="2551" w:type="dxa"/>
            <w:vAlign w:val="center"/>
          </w:tcPr>
          <w:p>
            <w:pPr>
              <w:pStyle w:val="16"/>
            </w:pPr>
            <w:r>
              <w:t>190.31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2086.44</w:t>
            </w:r>
          </w:p>
        </w:tc>
        <w:tc>
          <w:tcPr>
            <w:tcW w:w="2551" w:type="dxa"/>
            <w:vAlign w:val="center"/>
          </w:tcPr>
          <w:p>
            <w:pPr>
              <w:pStyle w:val="12"/>
            </w:pPr>
            <w:r>
              <w:t>1896.13</w:t>
            </w:r>
          </w:p>
        </w:tc>
        <w:tc>
          <w:tcPr>
            <w:tcW w:w="2551" w:type="dxa"/>
            <w:vAlign w:val="center"/>
          </w:tcPr>
          <w:p>
            <w:pPr>
              <w:pStyle w:val="12"/>
            </w:pPr>
            <w:r>
              <w:t>190.31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2086.44</w:t>
            </w:r>
          </w:p>
        </w:tc>
        <w:tc>
          <w:tcPr>
            <w:tcW w:w="2551" w:type="dxa"/>
            <w:vAlign w:val="center"/>
          </w:tcPr>
          <w:p>
            <w:pPr>
              <w:pStyle w:val="12"/>
            </w:pPr>
            <w:r>
              <w:t>1896.13</w:t>
            </w:r>
          </w:p>
        </w:tc>
        <w:tc>
          <w:tcPr>
            <w:tcW w:w="2551" w:type="dxa"/>
            <w:vAlign w:val="center"/>
          </w:tcPr>
          <w:p>
            <w:pPr>
              <w:pStyle w:val="12"/>
            </w:pPr>
            <w:r>
              <w:t>190.31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2011101</w:t>
            </w:r>
          </w:p>
        </w:tc>
        <w:tc>
          <w:tcPr>
            <w:tcW w:w="4535" w:type="dxa"/>
            <w:vAlign w:val="center"/>
          </w:tcPr>
          <w:p>
            <w:pPr>
              <w:pStyle w:val="13"/>
            </w:pPr>
            <w:r>
              <w:t>行政运行</w:t>
            </w:r>
          </w:p>
        </w:tc>
        <w:tc>
          <w:tcPr>
            <w:tcW w:w="2551" w:type="dxa"/>
            <w:vAlign w:val="center"/>
          </w:tcPr>
          <w:p>
            <w:pPr>
              <w:pStyle w:val="12"/>
            </w:pPr>
            <w:r>
              <w:t>1896.13</w:t>
            </w:r>
          </w:p>
        </w:tc>
        <w:tc>
          <w:tcPr>
            <w:tcW w:w="2551" w:type="dxa"/>
            <w:vAlign w:val="center"/>
          </w:tcPr>
          <w:p>
            <w:pPr>
              <w:pStyle w:val="12"/>
            </w:pPr>
            <w:r>
              <w:t>1896.13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180.11</w:t>
            </w:r>
          </w:p>
        </w:tc>
        <w:tc>
          <w:tcPr>
            <w:tcW w:w="2551" w:type="dxa"/>
            <w:vAlign w:val="center"/>
          </w:tcPr>
          <w:p>
            <w:pPr>
              <w:pStyle w:val="12"/>
            </w:pPr>
          </w:p>
        </w:tc>
        <w:tc>
          <w:tcPr>
            <w:tcW w:w="2551" w:type="dxa"/>
            <w:vAlign w:val="center"/>
          </w:tcPr>
          <w:p>
            <w:pPr>
              <w:pStyle w:val="12"/>
            </w:pPr>
            <w:r>
              <w:t>180.11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2011199</w:t>
            </w:r>
          </w:p>
        </w:tc>
        <w:tc>
          <w:tcPr>
            <w:tcW w:w="4535" w:type="dxa"/>
            <w:vAlign w:val="center"/>
          </w:tcPr>
          <w:p>
            <w:pPr>
              <w:pStyle w:val="13"/>
            </w:pPr>
            <w:r>
              <w:t>其他纪检监察事务支出</w:t>
            </w:r>
          </w:p>
        </w:tc>
        <w:tc>
          <w:tcPr>
            <w:tcW w:w="2551" w:type="dxa"/>
            <w:vAlign w:val="center"/>
          </w:tcPr>
          <w:p>
            <w:pPr>
              <w:pStyle w:val="12"/>
            </w:pPr>
            <w:r>
              <w:t>10.20</w:t>
            </w:r>
          </w:p>
        </w:tc>
        <w:tc>
          <w:tcPr>
            <w:tcW w:w="2551" w:type="dxa"/>
            <w:vAlign w:val="center"/>
          </w:tcPr>
          <w:p>
            <w:pPr>
              <w:pStyle w:val="12"/>
            </w:pPr>
          </w:p>
        </w:tc>
        <w:tc>
          <w:tcPr>
            <w:tcW w:w="2551" w:type="dxa"/>
            <w:vAlign w:val="center"/>
          </w:tcPr>
          <w:p>
            <w:pPr>
              <w:pStyle w:val="12"/>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220.25</w:t>
            </w:r>
          </w:p>
        </w:tc>
        <w:tc>
          <w:tcPr>
            <w:tcW w:w="2551" w:type="dxa"/>
            <w:vAlign w:val="center"/>
          </w:tcPr>
          <w:p>
            <w:pPr>
              <w:pStyle w:val="12"/>
            </w:pPr>
            <w:r>
              <w:t>220.25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220.25</w:t>
            </w:r>
          </w:p>
        </w:tc>
        <w:tc>
          <w:tcPr>
            <w:tcW w:w="2551" w:type="dxa"/>
            <w:vAlign w:val="center"/>
          </w:tcPr>
          <w:p>
            <w:pPr>
              <w:pStyle w:val="12"/>
            </w:pPr>
            <w:r>
              <w:t>220.25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220.25</w:t>
            </w:r>
          </w:p>
        </w:tc>
        <w:tc>
          <w:tcPr>
            <w:tcW w:w="2551" w:type="dxa"/>
            <w:vAlign w:val="center"/>
          </w:tcPr>
          <w:p>
            <w:pPr>
              <w:pStyle w:val="12"/>
            </w:pPr>
            <w:r>
              <w:t>220.25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2116.38</w:t>
            </w:r>
          </w:p>
        </w:tc>
        <w:tc>
          <w:tcPr>
            <w:tcW w:w="2551" w:type="dxa"/>
            <w:vAlign w:val="center"/>
          </w:tcPr>
          <w:p>
            <w:pPr>
              <w:pStyle w:val="16"/>
            </w:pPr>
            <w:r>
              <w:t>1917.90</w:t>
            </w:r>
          </w:p>
        </w:tc>
        <w:tc>
          <w:tcPr>
            <w:tcW w:w="2551" w:type="dxa"/>
            <w:vAlign w:val="center"/>
          </w:tcPr>
          <w:p>
            <w:pPr>
              <w:pStyle w:val="16"/>
            </w:pPr>
            <w:r>
              <w:t>198.48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1702.50</w:t>
            </w:r>
          </w:p>
        </w:tc>
        <w:tc>
          <w:tcPr>
            <w:tcW w:w="2551" w:type="dxa"/>
            <w:vAlign w:val="center"/>
          </w:tcPr>
          <w:p>
            <w:pPr>
              <w:pStyle w:val="12"/>
            </w:pPr>
            <w:r>
              <w:t>1702.50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632.95</w:t>
            </w:r>
          </w:p>
        </w:tc>
        <w:tc>
          <w:tcPr>
            <w:tcW w:w="2551" w:type="dxa"/>
            <w:vAlign w:val="center"/>
          </w:tcPr>
          <w:p>
            <w:pPr>
              <w:pStyle w:val="12"/>
            </w:pPr>
            <w:r>
              <w:t>632.95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410.55</w:t>
            </w:r>
          </w:p>
        </w:tc>
        <w:tc>
          <w:tcPr>
            <w:tcW w:w="2551" w:type="dxa"/>
            <w:vAlign w:val="center"/>
          </w:tcPr>
          <w:p>
            <w:pPr>
              <w:pStyle w:val="12"/>
            </w:pPr>
            <w:r>
              <w:t>410.55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307.56</w:t>
            </w:r>
          </w:p>
        </w:tc>
        <w:tc>
          <w:tcPr>
            <w:tcW w:w="2551" w:type="dxa"/>
            <w:vAlign w:val="center"/>
          </w:tcPr>
          <w:p>
            <w:pPr>
              <w:pStyle w:val="12"/>
            </w:pPr>
            <w:r>
              <w:t>307.56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161.31</w:t>
            </w:r>
          </w:p>
        </w:tc>
        <w:tc>
          <w:tcPr>
            <w:tcW w:w="2551" w:type="dxa"/>
            <w:vAlign w:val="center"/>
          </w:tcPr>
          <w:p>
            <w:pPr>
              <w:pStyle w:val="12"/>
            </w:pPr>
            <w:r>
              <w:t>161.31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54.71</w:t>
            </w:r>
          </w:p>
        </w:tc>
        <w:tc>
          <w:tcPr>
            <w:tcW w:w="2551" w:type="dxa"/>
            <w:vAlign w:val="center"/>
          </w:tcPr>
          <w:p>
            <w:pPr>
              <w:pStyle w:val="12"/>
            </w:pPr>
            <w:r>
              <w:t>54.71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4.14</w:t>
            </w:r>
          </w:p>
        </w:tc>
        <w:tc>
          <w:tcPr>
            <w:tcW w:w="2551" w:type="dxa"/>
            <w:vAlign w:val="center"/>
          </w:tcPr>
          <w:p>
            <w:pPr>
              <w:pStyle w:val="12"/>
            </w:pPr>
            <w:r>
              <w:t>4.14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131.28</w:t>
            </w:r>
          </w:p>
        </w:tc>
        <w:tc>
          <w:tcPr>
            <w:tcW w:w="2551" w:type="dxa"/>
            <w:vAlign w:val="center"/>
          </w:tcPr>
          <w:p>
            <w:pPr>
              <w:pStyle w:val="12"/>
            </w:pPr>
            <w:r>
              <w:t>131.28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198.48</w:t>
            </w:r>
          </w:p>
        </w:tc>
        <w:tc>
          <w:tcPr>
            <w:tcW w:w="2551" w:type="dxa"/>
            <w:vAlign w:val="center"/>
          </w:tcPr>
          <w:p>
            <w:pPr>
              <w:pStyle w:val="12"/>
            </w:pPr>
          </w:p>
        </w:tc>
        <w:tc>
          <w:tcPr>
            <w:tcW w:w="2551" w:type="dxa"/>
            <w:vAlign w:val="center"/>
          </w:tcPr>
          <w:p>
            <w:pPr>
              <w:pStyle w:val="12"/>
            </w:pPr>
            <w:r>
              <w:t>198.48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23.84</w:t>
            </w:r>
          </w:p>
        </w:tc>
        <w:tc>
          <w:tcPr>
            <w:tcW w:w="2551" w:type="dxa"/>
            <w:vAlign w:val="center"/>
          </w:tcPr>
          <w:p>
            <w:pPr>
              <w:pStyle w:val="12"/>
            </w:pPr>
          </w:p>
        </w:tc>
        <w:tc>
          <w:tcPr>
            <w:tcW w:w="2551" w:type="dxa"/>
            <w:vAlign w:val="center"/>
          </w:tcPr>
          <w:p>
            <w:pPr>
              <w:pStyle w:val="12"/>
            </w:pPr>
            <w:r>
              <w:t>23.84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39.96</w:t>
            </w:r>
          </w:p>
        </w:tc>
        <w:tc>
          <w:tcPr>
            <w:tcW w:w="2551" w:type="dxa"/>
            <w:vAlign w:val="center"/>
          </w:tcPr>
          <w:p>
            <w:pPr>
              <w:pStyle w:val="12"/>
            </w:pPr>
          </w:p>
        </w:tc>
        <w:tc>
          <w:tcPr>
            <w:tcW w:w="2551" w:type="dxa"/>
            <w:vAlign w:val="center"/>
          </w:tcPr>
          <w:p>
            <w:pPr>
              <w:pStyle w:val="12"/>
            </w:pPr>
            <w:r>
              <w:t>39.96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9.33</w:t>
            </w:r>
          </w:p>
        </w:tc>
        <w:tc>
          <w:tcPr>
            <w:tcW w:w="2551" w:type="dxa"/>
            <w:vAlign w:val="center"/>
          </w:tcPr>
          <w:p>
            <w:pPr>
              <w:pStyle w:val="12"/>
            </w:pPr>
          </w:p>
        </w:tc>
        <w:tc>
          <w:tcPr>
            <w:tcW w:w="2551" w:type="dxa"/>
            <w:vAlign w:val="center"/>
          </w:tcPr>
          <w:p>
            <w:pPr>
              <w:pStyle w:val="12"/>
            </w:pPr>
            <w:r>
              <w:t>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7.59</w:t>
            </w:r>
          </w:p>
        </w:tc>
        <w:tc>
          <w:tcPr>
            <w:tcW w:w="2551" w:type="dxa"/>
            <w:vAlign w:val="center"/>
          </w:tcPr>
          <w:p>
            <w:pPr>
              <w:pStyle w:val="12"/>
            </w:pPr>
          </w:p>
        </w:tc>
        <w:tc>
          <w:tcPr>
            <w:tcW w:w="2551" w:type="dxa"/>
            <w:vAlign w:val="center"/>
          </w:tcPr>
          <w:p>
            <w:pPr>
              <w:pStyle w:val="12"/>
            </w:pPr>
            <w:r>
              <w:t>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16.54</w:t>
            </w:r>
          </w:p>
        </w:tc>
        <w:tc>
          <w:tcPr>
            <w:tcW w:w="2551" w:type="dxa"/>
            <w:vAlign w:val="center"/>
          </w:tcPr>
          <w:p>
            <w:pPr>
              <w:pStyle w:val="12"/>
            </w:pPr>
          </w:p>
        </w:tc>
        <w:tc>
          <w:tcPr>
            <w:tcW w:w="2551" w:type="dxa"/>
            <w:vAlign w:val="center"/>
          </w:tcPr>
          <w:p>
            <w:pPr>
              <w:pStyle w:val="12"/>
            </w:pPr>
            <w:r>
              <w:t>16.54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4.70</w:t>
            </w:r>
          </w:p>
        </w:tc>
        <w:tc>
          <w:tcPr>
            <w:tcW w:w="2551" w:type="dxa"/>
            <w:vAlign w:val="center"/>
          </w:tcPr>
          <w:p>
            <w:pPr>
              <w:pStyle w:val="12"/>
            </w:pPr>
          </w:p>
        </w:tc>
        <w:tc>
          <w:tcPr>
            <w:tcW w:w="2551" w:type="dxa"/>
            <w:vAlign w:val="center"/>
          </w:tcPr>
          <w:p>
            <w:pPr>
              <w:pStyle w:val="12"/>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66.12</w:t>
            </w:r>
          </w:p>
        </w:tc>
        <w:tc>
          <w:tcPr>
            <w:tcW w:w="2551" w:type="dxa"/>
            <w:vAlign w:val="center"/>
          </w:tcPr>
          <w:p>
            <w:pPr>
              <w:pStyle w:val="12"/>
            </w:pPr>
          </w:p>
        </w:tc>
        <w:tc>
          <w:tcPr>
            <w:tcW w:w="2551" w:type="dxa"/>
            <w:vAlign w:val="center"/>
          </w:tcPr>
          <w:p>
            <w:pPr>
              <w:pStyle w:val="12"/>
            </w:pPr>
            <w:r>
              <w:t>66.12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30.40</w:t>
            </w:r>
          </w:p>
        </w:tc>
        <w:tc>
          <w:tcPr>
            <w:tcW w:w="2551" w:type="dxa"/>
            <w:vAlign w:val="center"/>
          </w:tcPr>
          <w:p>
            <w:pPr>
              <w:pStyle w:val="12"/>
            </w:pPr>
          </w:p>
        </w:tc>
        <w:tc>
          <w:tcPr>
            <w:tcW w:w="2551" w:type="dxa"/>
            <w:vAlign w:val="center"/>
          </w:tcPr>
          <w:p>
            <w:pPr>
              <w:pStyle w:val="12"/>
            </w:pPr>
            <w:r>
              <w:t>30.40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215.40</w:t>
            </w:r>
          </w:p>
        </w:tc>
        <w:tc>
          <w:tcPr>
            <w:tcW w:w="2551" w:type="dxa"/>
            <w:vAlign w:val="center"/>
          </w:tcPr>
          <w:p>
            <w:pPr>
              <w:pStyle w:val="12"/>
            </w:pPr>
            <w:r>
              <w:t>215.40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214.67</w:t>
            </w:r>
          </w:p>
        </w:tc>
        <w:tc>
          <w:tcPr>
            <w:tcW w:w="2551" w:type="dxa"/>
            <w:vAlign w:val="center"/>
          </w:tcPr>
          <w:p>
            <w:pPr>
              <w:pStyle w:val="12"/>
            </w:pPr>
            <w:r>
              <w:t>214.67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0.73</w:t>
            </w:r>
          </w:p>
        </w:tc>
        <w:tc>
          <w:tcPr>
            <w:tcW w:w="2551" w:type="dxa"/>
            <w:vAlign w:val="center"/>
          </w:tcPr>
          <w:p>
            <w:pPr>
              <w:pStyle w:val="12"/>
            </w:pPr>
            <w:r>
              <w:t>0.73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33.44</w:t>
            </w:r>
          </w:p>
        </w:tc>
        <w:tc>
          <w:tcPr>
            <w:tcW w:w="2381" w:type="dxa"/>
            <w:vAlign w:val="center"/>
          </w:tcPr>
          <w:p>
            <w:pPr>
              <w:pStyle w:val="16"/>
            </w:pPr>
            <w:r>
              <w:t>33.44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33.44</w:t>
            </w:r>
          </w:p>
        </w:tc>
        <w:tc>
          <w:tcPr>
            <w:tcW w:w="2381" w:type="dxa"/>
            <w:vAlign w:val="center"/>
          </w:tcPr>
          <w:p>
            <w:pPr>
              <w:pStyle w:val="12"/>
            </w:pPr>
            <w:r>
              <w:t>33.44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25.85</w:t>
            </w:r>
          </w:p>
        </w:tc>
        <w:tc>
          <w:tcPr>
            <w:tcW w:w="2381" w:type="dxa"/>
            <w:vAlign w:val="center"/>
          </w:tcPr>
          <w:p>
            <w:pPr>
              <w:pStyle w:val="12"/>
            </w:pPr>
            <w:r>
              <w:t>25.85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25.85</w:t>
            </w:r>
          </w:p>
        </w:tc>
        <w:tc>
          <w:tcPr>
            <w:tcW w:w="2381" w:type="dxa"/>
            <w:vAlign w:val="center"/>
          </w:tcPr>
          <w:p>
            <w:pPr>
              <w:pStyle w:val="12"/>
            </w:pPr>
            <w:r>
              <w:t>25.85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7.59</w:t>
            </w:r>
          </w:p>
        </w:tc>
        <w:tc>
          <w:tcPr>
            <w:tcW w:w="2381" w:type="dxa"/>
            <w:vAlign w:val="center"/>
          </w:tcPr>
          <w:p>
            <w:pPr>
              <w:pStyle w:val="12"/>
            </w:pPr>
            <w:r>
              <w:t>7.59</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中国共产党保定市徐水区纪律检查委员会2026年部门预算信息公开情况说明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中国共产党保定市徐水区纪律检查委员会2026年部门预算信息公开情况说明</w:t>
      </w:r>
    </w:p>
    <w:p>
      <w:pPr>
        <w:keepNext w:val="0"/>
        <w:keepLines w:val="0"/>
        <w:pageBreakBefore w:val="0"/>
        <w:widowControl/>
        <w:kinsoku/>
        <w:wordWrap/>
        <w:overflowPunct/>
        <w:topLinePunct w:val="0"/>
        <w:autoSpaceDE/>
        <w:autoSpaceDN/>
        <w:bidi w:val="0"/>
        <w:adjustRightInd/>
        <w:snapToGrid/>
        <w:spacing w:before="0" w:after="0" w:line="578" w:lineRule="exact"/>
        <w:ind w:firstLine="560"/>
        <w:jc w:val="left"/>
        <w:textAlignment w:val="auto"/>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按照《中华人民共和国预算法》、《地方预决算公开操作规程》和《关于进一步推进预算公开工作的实施意见》规定，现将中国共产党保定市徐水区纪律检查委员会2026年部门预算公开如下：</w:t>
      </w:r>
    </w:p>
    <w:p>
      <w:pPr>
        <w:keepNext w:val="0"/>
        <w:keepLines w:val="0"/>
        <w:pageBreakBefore w:val="0"/>
        <w:widowControl/>
        <w:kinsoku/>
        <w:wordWrap/>
        <w:overflowPunct/>
        <w:topLinePunct w:val="0"/>
        <w:autoSpaceDE/>
        <w:autoSpaceDN/>
        <w:bidi w:val="0"/>
        <w:adjustRightInd/>
        <w:snapToGrid/>
        <w:spacing w:before="10" w:after="10" w:line="578" w:lineRule="exact"/>
        <w:ind w:firstLine="640"/>
        <w:jc w:val="left"/>
        <w:textAlignment w:val="auto"/>
        <w:outlineLvl w:val="2"/>
      </w:pPr>
      <w:bookmarkStart w:id="9" w:name="_Toc_3_3_0000000010"/>
      <w:r>
        <w:rPr>
          <w:rFonts w:ascii="黑体" w:hAnsi="黑体" w:eastAsia="黑体" w:cs="黑体"/>
          <w:color w:val="000000"/>
          <w:sz w:val="32"/>
        </w:rPr>
        <w:t>一、部门职责及机构设置情况</w:t>
      </w:r>
      <w:bookmarkEnd w:id="9"/>
    </w:p>
    <w:p>
      <w:pPr>
        <w:keepNext w:val="0"/>
        <w:keepLines w:val="0"/>
        <w:pageBreakBefore w:val="0"/>
        <w:widowControl/>
        <w:kinsoku/>
        <w:wordWrap/>
        <w:overflowPunct/>
        <w:topLinePunct w:val="0"/>
        <w:autoSpaceDE/>
        <w:autoSpaceDN/>
        <w:bidi w:val="0"/>
        <w:adjustRightInd/>
        <w:snapToGrid/>
        <w:spacing w:before="0" w:after="0" w:line="578" w:lineRule="exact"/>
        <w:ind w:firstLine="640"/>
        <w:jc w:val="left"/>
        <w:textAlignment w:val="auto"/>
        <w:outlineLvl w:val="9"/>
      </w:pPr>
      <w:r>
        <w:rPr>
          <w:rFonts w:ascii="方正楷体_GBK" w:hAnsi="方正楷体_GBK" w:eastAsia="方正楷体_GBK" w:cs="方正楷体_GBK"/>
          <w:b/>
          <w:color w:val="000000"/>
          <w:sz w:val="32"/>
        </w:rPr>
        <w:t>部门职责：</w:t>
      </w:r>
    </w:p>
    <w:p>
      <w:pPr>
        <w:pStyle w:val="18"/>
        <w:keepNext w:val="0"/>
        <w:keepLines w:val="0"/>
        <w:pageBreakBefore w:val="0"/>
        <w:widowControl/>
        <w:kinsoku/>
        <w:wordWrap/>
        <w:overflowPunct/>
        <w:topLinePunct w:val="0"/>
        <w:autoSpaceDE/>
        <w:autoSpaceDN/>
        <w:bidi w:val="0"/>
        <w:adjustRightInd/>
        <w:snapToGrid/>
        <w:spacing w:line="578" w:lineRule="exact"/>
        <w:textAlignment w:val="auto"/>
      </w:pPr>
      <w:r>
        <w:t>根据《中国共产党保定市徐水区纪律检查委员会职能配置、内设机构和人员编制规定》，中国共产党保定市徐水区纪律检查委员会的主要职责是：</w:t>
      </w:r>
    </w:p>
    <w:p>
      <w:pPr>
        <w:pStyle w:val="18"/>
        <w:keepNext w:val="0"/>
        <w:keepLines w:val="0"/>
        <w:pageBreakBefore w:val="0"/>
        <w:widowControl/>
        <w:kinsoku/>
        <w:wordWrap/>
        <w:overflowPunct/>
        <w:topLinePunct w:val="0"/>
        <w:autoSpaceDE/>
        <w:autoSpaceDN/>
        <w:bidi w:val="0"/>
        <w:adjustRightInd/>
        <w:snapToGrid/>
        <w:spacing w:line="578" w:lineRule="exact"/>
        <w:textAlignment w:val="auto"/>
      </w:pPr>
      <w:r>
        <w:t>（一）负责全区党的纪律检查工作。贯彻落实党中央、省委、市委和区委关于纪律检查工作的决策部署，维护党的章程和其他党内法规，检查党的路线方针政策和决议的执行情况，协助区委推进全面从严治党、加强党风建设和组织协调反腐工作。</w:t>
      </w:r>
    </w:p>
    <w:p>
      <w:pPr>
        <w:pStyle w:val="18"/>
        <w:keepNext w:val="0"/>
        <w:keepLines w:val="0"/>
        <w:pageBreakBefore w:val="0"/>
        <w:widowControl/>
        <w:kinsoku/>
        <w:wordWrap/>
        <w:overflowPunct/>
        <w:topLinePunct w:val="0"/>
        <w:autoSpaceDE/>
        <w:autoSpaceDN/>
        <w:bidi w:val="0"/>
        <w:adjustRightInd/>
        <w:snapToGrid/>
        <w:spacing w:line="578" w:lineRule="exact"/>
        <w:textAlignment w:val="auto"/>
      </w:pPr>
      <w:r>
        <w:t>（二）依照党的章程和其他党内法规履行监督、执纪、问责职责。</w:t>
      </w:r>
    </w:p>
    <w:p>
      <w:pPr>
        <w:pStyle w:val="18"/>
        <w:keepNext w:val="0"/>
        <w:keepLines w:val="0"/>
        <w:pageBreakBefore w:val="0"/>
        <w:widowControl/>
        <w:kinsoku/>
        <w:wordWrap/>
        <w:overflowPunct/>
        <w:topLinePunct w:val="0"/>
        <w:autoSpaceDE/>
        <w:autoSpaceDN/>
        <w:bidi w:val="0"/>
        <w:adjustRightInd/>
        <w:snapToGrid/>
        <w:spacing w:line="578" w:lineRule="exact"/>
        <w:textAlignment w:val="auto"/>
      </w:pPr>
      <w:r>
        <w:t>（三）支持配合巡察工作。承担巡视巡察整改日常监督责任，做好巡视巡察整改督查督办工作，依规依纪依法处置巡视巡察移交的反映领导干部问题线索。</w:t>
      </w:r>
    </w:p>
    <w:p>
      <w:pPr>
        <w:pStyle w:val="18"/>
        <w:keepNext w:val="0"/>
        <w:keepLines w:val="0"/>
        <w:pageBreakBefore w:val="0"/>
        <w:widowControl/>
        <w:kinsoku/>
        <w:wordWrap/>
        <w:overflowPunct/>
        <w:topLinePunct w:val="0"/>
        <w:autoSpaceDE/>
        <w:autoSpaceDN/>
        <w:bidi w:val="0"/>
        <w:adjustRightInd/>
        <w:snapToGrid/>
        <w:spacing w:line="578" w:lineRule="exact"/>
        <w:textAlignment w:val="auto"/>
      </w:pPr>
      <w:r>
        <w:t>（四）负责全区监察工作。贯彻落实党中央、省委、市委和区委关于监察工作的决策部署，维护宪法法律，依法对区委管理的行使公权力的公职人员进行监察，调查职务违法和职务犯罪，开展廉政建设和反腐败工作。</w:t>
      </w:r>
    </w:p>
    <w:p>
      <w:pPr>
        <w:pStyle w:val="18"/>
        <w:keepNext w:val="0"/>
        <w:keepLines w:val="0"/>
        <w:pageBreakBefore w:val="0"/>
        <w:widowControl/>
        <w:kinsoku/>
        <w:wordWrap/>
        <w:overflowPunct/>
        <w:topLinePunct w:val="0"/>
        <w:autoSpaceDE/>
        <w:autoSpaceDN/>
        <w:bidi w:val="0"/>
        <w:adjustRightInd/>
        <w:snapToGrid/>
        <w:spacing w:line="578" w:lineRule="exact"/>
        <w:textAlignment w:val="auto"/>
      </w:pPr>
      <w:r>
        <w:t>（五）依照法律规定履行监督、调查、处置职责。</w:t>
      </w:r>
    </w:p>
    <w:p>
      <w:pPr>
        <w:pStyle w:val="18"/>
        <w:keepNext w:val="0"/>
        <w:keepLines w:val="0"/>
        <w:pageBreakBefore w:val="0"/>
        <w:widowControl/>
        <w:kinsoku/>
        <w:wordWrap/>
        <w:overflowPunct/>
        <w:topLinePunct w:val="0"/>
        <w:autoSpaceDE/>
        <w:autoSpaceDN/>
        <w:bidi w:val="0"/>
        <w:adjustRightInd/>
        <w:snapToGrid/>
        <w:spacing w:line="578" w:lineRule="exact"/>
        <w:textAlignment w:val="auto"/>
      </w:pPr>
      <w:r>
        <w:t>（六）负责组织协调全面从严治党、党风廉政建设和反腐败宣传教育工作。</w:t>
      </w:r>
    </w:p>
    <w:p>
      <w:pPr>
        <w:pStyle w:val="18"/>
        <w:keepNext w:val="0"/>
        <w:keepLines w:val="0"/>
        <w:pageBreakBefore w:val="0"/>
        <w:widowControl/>
        <w:kinsoku/>
        <w:wordWrap/>
        <w:overflowPunct/>
        <w:topLinePunct w:val="0"/>
        <w:autoSpaceDE/>
        <w:autoSpaceDN/>
        <w:bidi w:val="0"/>
        <w:adjustRightInd/>
        <w:snapToGrid/>
        <w:spacing w:line="578" w:lineRule="exact"/>
        <w:textAlignment w:val="auto"/>
      </w:pPr>
      <w:r>
        <w:t>（七）负责综合分析全面从严治党、党风廉政建设和反腐败工作情况。</w:t>
      </w:r>
    </w:p>
    <w:p>
      <w:pPr>
        <w:pStyle w:val="18"/>
        <w:keepNext w:val="0"/>
        <w:keepLines w:val="0"/>
        <w:pageBreakBefore w:val="0"/>
        <w:widowControl/>
        <w:kinsoku/>
        <w:wordWrap/>
        <w:overflowPunct/>
        <w:topLinePunct w:val="0"/>
        <w:autoSpaceDE/>
        <w:autoSpaceDN/>
        <w:bidi w:val="0"/>
        <w:adjustRightInd/>
        <w:snapToGrid/>
        <w:spacing w:line="578" w:lineRule="exact"/>
        <w:textAlignment w:val="auto"/>
      </w:pPr>
      <w:r>
        <w:t>（八）负责组织协调全区反腐败追逃追赃和防逃工作，督促有关单位做好相关工作。</w:t>
      </w:r>
    </w:p>
    <w:p>
      <w:pPr>
        <w:pStyle w:val="18"/>
        <w:keepNext w:val="0"/>
        <w:keepLines w:val="0"/>
        <w:pageBreakBefore w:val="0"/>
        <w:widowControl/>
        <w:kinsoku/>
        <w:wordWrap/>
        <w:overflowPunct/>
        <w:topLinePunct w:val="0"/>
        <w:autoSpaceDE/>
        <w:autoSpaceDN/>
        <w:bidi w:val="0"/>
        <w:adjustRightInd/>
        <w:snapToGrid/>
        <w:spacing w:line="578" w:lineRule="exact"/>
        <w:textAlignment w:val="auto"/>
      </w:pPr>
      <w:r>
        <w:t>（九）根据干部管理权限，负责全区纪检监察系统领导班子建设、干部队伍建设和组织建设的综合规划、政策研究和制度建设。</w:t>
      </w:r>
    </w:p>
    <w:p>
      <w:pPr>
        <w:pStyle w:val="18"/>
        <w:keepNext w:val="0"/>
        <w:keepLines w:val="0"/>
        <w:pageBreakBefore w:val="0"/>
        <w:widowControl/>
        <w:kinsoku/>
        <w:wordWrap/>
        <w:overflowPunct/>
        <w:topLinePunct w:val="0"/>
        <w:autoSpaceDE/>
        <w:autoSpaceDN/>
        <w:bidi w:val="0"/>
        <w:adjustRightInd/>
        <w:snapToGrid/>
        <w:spacing w:line="578" w:lineRule="exact"/>
        <w:textAlignment w:val="auto"/>
      </w:pPr>
      <w:r>
        <w:t>（十）完成上级纪委、监委和区委授权或交办的其他任务。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中国共产党保定市徐水区纪律检查委员会本级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keepNext w:val="0"/>
        <w:keepLines w:val="0"/>
        <w:pageBreakBefore w:val="0"/>
        <w:widowControl/>
        <w:kinsoku/>
        <w:wordWrap/>
        <w:overflowPunct/>
        <w:topLinePunct w:val="0"/>
        <w:autoSpaceDE/>
        <w:autoSpaceDN/>
        <w:bidi w:val="0"/>
        <w:adjustRightInd/>
        <w:snapToGrid/>
        <w:spacing w:before="10" w:after="10" w:line="578" w:lineRule="exact"/>
        <w:ind w:firstLine="640"/>
        <w:jc w:val="left"/>
        <w:textAlignment w:val="auto"/>
        <w:outlineLvl w:val="2"/>
      </w:pPr>
      <w:bookmarkStart w:id="10" w:name="_Toc_3_3_0000000011"/>
      <w:r>
        <w:rPr>
          <w:rFonts w:ascii="黑体" w:hAnsi="黑体" w:eastAsia="黑体" w:cs="黑体"/>
          <w:color w:val="000000"/>
          <w:sz w:val="32"/>
        </w:rPr>
        <w:t>二、部门预算安排的总体情况</w:t>
      </w:r>
      <w:bookmarkEnd w:id="10"/>
    </w:p>
    <w:p>
      <w:pPr>
        <w:pStyle w:val="26"/>
        <w:keepNext w:val="0"/>
        <w:keepLines w:val="0"/>
        <w:pageBreakBefore w:val="0"/>
        <w:widowControl/>
        <w:kinsoku/>
        <w:wordWrap/>
        <w:overflowPunct/>
        <w:topLinePunct w:val="0"/>
        <w:autoSpaceDE/>
        <w:autoSpaceDN/>
        <w:bidi w:val="0"/>
        <w:adjustRightInd/>
        <w:snapToGrid/>
        <w:spacing w:line="578" w:lineRule="exact"/>
        <w:textAlignment w:val="auto"/>
      </w:pPr>
      <w:r>
        <w:t>按照预算管理有关规定，目前单位预算的编制实行综合预算管理，即全部收入和支出都反映在预算中。</w:t>
      </w:r>
    </w:p>
    <w:p>
      <w:pPr>
        <w:pStyle w:val="26"/>
        <w:keepNext w:val="0"/>
        <w:keepLines w:val="0"/>
        <w:pageBreakBefore w:val="0"/>
        <w:widowControl/>
        <w:kinsoku/>
        <w:wordWrap/>
        <w:overflowPunct/>
        <w:topLinePunct w:val="0"/>
        <w:autoSpaceDE/>
        <w:autoSpaceDN/>
        <w:bidi w:val="0"/>
        <w:adjustRightInd/>
        <w:snapToGrid/>
        <w:spacing w:line="578" w:lineRule="exact"/>
        <w:textAlignment w:val="auto"/>
      </w:pPr>
      <w:bookmarkStart w:id="11" w:name="_Toc_3_3_0000000012"/>
      <w:r>
        <w:t>1、收入说明</w:t>
      </w:r>
    </w:p>
    <w:p>
      <w:pPr>
        <w:pStyle w:val="26"/>
        <w:keepNext w:val="0"/>
        <w:keepLines w:val="0"/>
        <w:pageBreakBefore w:val="0"/>
        <w:widowControl/>
        <w:kinsoku/>
        <w:wordWrap/>
        <w:overflowPunct/>
        <w:topLinePunct w:val="0"/>
        <w:autoSpaceDE/>
        <w:autoSpaceDN/>
        <w:bidi w:val="0"/>
        <w:adjustRightInd/>
        <w:snapToGrid/>
        <w:spacing w:line="578" w:lineRule="exact"/>
        <w:textAlignment w:val="auto"/>
      </w:pPr>
      <w:r>
        <w:t>反映本单位当年全部收入。2026年预算收入2306.69万元，其中：一般公共预算收入2306.69万元，基金预算收入0.00万元，国有资本经营预算收入0.00万元，财政专户核拨收入0.00万元，单位资金收入0.00万元，上年结转结余0.00万元。</w:t>
      </w:r>
    </w:p>
    <w:p>
      <w:pPr>
        <w:pStyle w:val="26"/>
        <w:keepNext w:val="0"/>
        <w:keepLines w:val="0"/>
        <w:pageBreakBefore w:val="0"/>
        <w:widowControl/>
        <w:kinsoku/>
        <w:wordWrap/>
        <w:overflowPunct/>
        <w:topLinePunct w:val="0"/>
        <w:autoSpaceDE/>
        <w:autoSpaceDN/>
        <w:bidi w:val="0"/>
        <w:adjustRightInd/>
        <w:snapToGrid/>
        <w:spacing w:line="578" w:lineRule="exact"/>
        <w:textAlignment w:val="auto"/>
      </w:pPr>
      <w:r>
        <w:t>2、支出说明</w:t>
      </w:r>
    </w:p>
    <w:p>
      <w:pPr>
        <w:pStyle w:val="26"/>
        <w:keepNext w:val="0"/>
        <w:keepLines w:val="0"/>
        <w:pageBreakBefore w:val="0"/>
        <w:widowControl/>
        <w:kinsoku/>
        <w:wordWrap/>
        <w:overflowPunct/>
        <w:topLinePunct w:val="0"/>
        <w:autoSpaceDE/>
        <w:autoSpaceDN/>
        <w:bidi w:val="0"/>
        <w:adjustRightInd/>
        <w:snapToGrid/>
        <w:spacing w:line="578" w:lineRule="exact"/>
        <w:textAlignment w:val="auto"/>
      </w:pPr>
      <w:r>
        <w:t>收支预算总表支出栏、基本支出表、项目支出表按经济分类和支出功能分类科目编制，反映中国共产党保定市徐水区纪律检查委员会本级年度单位预算中支出预算的总体情况。2026年支出预算2306.69万元，其中基本支出2116.38万元，包括人员经费1917.90万元和日常公用经费198.48万元；项目支出190.31万元，主要为主要为纪检办案业务费67.47万元，纪检保障经费36.04万元，区纪委监委后勤保障费用30万元，巡察业务经费39.6万元，办案专项补助经费（劳务费）7万元，提前下达2026年中央纪检监察转移支付资金10.2万元。；预计下年使用的单位资金结余0.00万元。委托业务费共计安排3.00万元，主要用于因技术原因确需对外委托的辅助性工作和确有必要对外委托开展咨询、评审、规划等工作。</w:t>
      </w:r>
    </w:p>
    <w:p>
      <w:pPr>
        <w:pStyle w:val="26"/>
        <w:keepNext w:val="0"/>
        <w:keepLines w:val="0"/>
        <w:pageBreakBefore w:val="0"/>
        <w:widowControl/>
        <w:kinsoku/>
        <w:wordWrap/>
        <w:overflowPunct/>
        <w:topLinePunct w:val="0"/>
        <w:autoSpaceDE/>
        <w:autoSpaceDN/>
        <w:bidi w:val="0"/>
        <w:adjustRightInd/>
        <w:snapToGrid/>
        <w:spacing w:line="578" w:lineRule="exact"/>
        <w:textAlignment w:val="auto"/>
      </w:pPr>
      <w:r>
        <w:t>3、比上年增减情况</w:t>
      </w:r>
    </w:p>
    <w:p>
      <w:pPr>
        <w:pStyle w:val="26"/>
        <w:keepNext w:val="0"/>
        <w:keepLines w:val="0"/>
        <w:pageBreakBefore w:val="0"/>
        <w:widowControl/>
        <w:kinsoku/>
        <w:wordWrap/>
        <w:overflowPunct/>
        <w:topLinePunct w:val="0"/>
        <w:autoSpaceDE/>
        <w:autoSpaceDN/>
        <w:bidi w:val="0"/>
        <w:adjustRightInd/>
        <w:snapToGrid/>
        <w:spacing w:line="578" w:lineRule="exact"/>
        <w:textAlignment w:val="auto"/>
      </w:pPr>
      <w:r>
        <w:t>2026年预算收支安排2306.69万元，较2025年预算减少7.90万元，其中：基本支出减少18.10万元，主要为2025年退休5人，新录用公务员1人，调出7人，调入4人，人员减少，相关经费减少。项目支出增加10.20万元，主要为提前下达2026年中央纪检监察转移支付资金10.2万元。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578" w:lineRule="exact"/>
        <w:ind w:firstLine="640"/>
        <w:jc w:val="left"/>
        <w:textAlignment w:val="auto"/>
        <w:outlineLvl w:val="2"/>
      </w:pPr>
      <w:r>
        <w:rPr>
          <w:rFonts w:ascii="黑体" w:hAnsi="黑体" w:eastAsia="黑体" w:cs="黑体"/>
          <w:color w:val="000000"/>
          <w:sz w:val="32"/>
        </w:rPr>
        <w:t>三、机关运行经费安排情况</w:t>
      </w:r>
      <w:bookmarkEnd w:id="11"/>
    </w:p>
    <w:p>
      <w:pPr>
        <w:pStyle w:val="20"/>
        <w:keepNext w:val="0"/>
        <w:keepLines w:val="0"/>
        <w:pageBreakBefore w:val="0"/>
        <w:widowControl/>
        <w:kinsoku/>
        <w:wordWrap/>
        <w:overflowPunct/>
        <w:topLinePunct w:val="0"/>
        <w:autoSpaceDE/>
        <w:autoSpaceDN/>
        <w:bidi w:val="0"/>
        <w:adjustRightInd/>
        <w:snapToGrid/>
        <w:spacing w:line="578" w:lineRule="exact"/>
        <w:textAlignment w:val="auto"/>
      </w:pPr>
      <w:r>
        <w:t>202</w:t>
      </w:r>
      <w:r>
        <w:rPr>
          <w:rFonts w:hint="eastAsia"/>
          <w:lang w:val="en-US" w:eastAsia="zh-CN"/>
        </w:rPr>
        <w:t>6</w:t>
      </w:r>
      <w:r>
        <w:t>年我部门机关运行经费安排</w:t>
      </w:r>
      <w:r>
        <w:rPr>
          <w:rFonts w:hint="eastAsia"/>
          <w:lang w:val="en-US" w:eastAsia="zh-CN"/>
        </w:rPr>
        <w:t>198.48</w:t>
      </w:r>
      <w:r>
        <w:t>万元，其中办公费</w:t>
      </w:r>
      <w:r>
        <w:rPr>
          <w:rFonts w:hint="eastAsia"/>
          <w:lang w:val="en-US" w:eastAsia="zh-CN"/>
        </w:rPr>
        <w:t>23.84</w:t>
      </w:r>
      <w:r>
        <w:t>万元，邮电费</w:t>
      </w:r>
      <w:r>
        <w:rPr>
          <w:rFonts w:hint="eastAsia"/>
          <w:lang w:val="en-US" w:eastAsia="zh-CN"/>
        </w:rPr>
        <w:t>39.96</w:t>
      </w:r>
      <w:r>
        <w:t>万元，取暖费9.33万元，</w:t>
      </w:r>
      <w:r>
        <w:rPr>
          <w:rFonts w:hint="eastAsia"/>
          <w:lang w:val="en-US" w:eastAsia="zh-CN"/>
        </w:rPr>
        <w:t>公务接待费7.59万元，</w:t>
      </w:r>
      <w:r>
        <w:t>工会经费1</w:t>
      </w:r>
      <w:r>
        <w:rPr>
          <w:rFonts w:hint="default"/>
          <w:lang w:val="en-US"/>
        </w:rPr>
        <w:t>6.5</w:t>
      </w:r>
      <w:r>
        <w:rPr>
          <w:rFonts w:hint="eastAsia"/>
          <w:lang w:val="en-US" w:eastAsia="zh-CN"/>
        </w:rPr>
        <w:t>4</w:t>
      </w:r>
      <w:r>
        <w:t>万元，公务用车运行维护费4.</w:t>
      </w:r>
      <w:r>
        <w:rPr>
          <w:rFonts w:hint="eastAsia"/>
          <w:lang w:val="en-US" w:eastAsia="zh-CN"/>
        </w:rPr>
        <w:t>70</w:t>
      </w:r>
      <w:r>
        <w:t>万元，其他交通费用</w:t>
      </w:r>
      <w:r>
        <w:rPr>
          <w:rFonts w:hint="eastAsia"/>
          <w:lang w:val="en-US" w:eastAsia="zh-CN"/>
        </w:rPr>
        <w:t>66.12</w:t>
      </w:r>
      <w:r>
        <w:t>万元，其他商品和服务支出</w:t>
      </w:r>
      <w:r>
        <w:rPr>
          <w:rFonts w:hint="eastAsia"/>
          <w:lang w:val="en-US" w:eastAsia="zh-CN"/>
        </w:rPr>
        <w:t>30.40</w:t>
      </w:r>
      <w:r>
        <w:t>万元。</w:t>
      </w:r>
    </w:p>
    <w:p>
      <w:pPr>
        <w:keepNext w:val="0"/>
        <w:keepLines w:val="0"/>
        <w:pageBreakBefore w:val="0"/>
        <w:widowControl/>
        <w:kinsoku/>
        <w:wordWrap/>
        <w:overflowPunct/>
        <w:topLinePunct w:val="0"/>
        <w:autoSpaceDE/>
        <w:autoSpaceDN/>
        <w:bidi w:val="0"/>
        <w:adjustRightInd/>
        <w:snapToGrid/>
        <w:spacing w:before="10" w:after="10" w:line="578" w:lineRule="exact"/>
        <w:ind w:firstLine="641"/>
        <w:jc w:val="left"/>
        <w:textAlignment w:val="auto"/>
        <w:outlineLvl w:val="2"/>
      </w:pPr>
      <w:r>
        <w:rPr>
          <w:rFonts w:ascii="黑体" w:hAnsi="黑体" w:eastAsia="黑体" w:cs="黑体"/>
          <w:color w:val="000000"/>
          <w:sz w:val="32"/>
        </w:rPr>
        <w:t>四、财政拨款“三公”经费预算情况及增减变化原因</w:t>
      </w:r>
    </w:p>
    <w:p>
      <w:pPr>
        <w:pStyle w:val="21"/>
        <w:keepNext w:val="0"/>
        <w:keepLines w:val="0"/>
        <w:pageBreakBefore w:val="0"/>
        <w:widowControl/>
        <w:kinsoku/>
        <w:wordWrap/>
        <w:overflowPunct/>
        <w:topLinePunct w:val="0"/>
        <w:autoSpaceDE/>
        <w:autoSpaceDN/>
        <w:bidi w:val="0"/>
        <w:adjustRightInd/>
        <w:snapToGrid/>
        <w:spacing w:line="578" w:lineRule="exact"/>
        <w:textAlignment w:val="auto"/>
      </w:pPr>
      <w:r>
        <w:t>202</w:t>
      </w:r>
      <w:r>
        <w:rPr>
          <w:rFonts w:hint="eastAsia"/>
          <w:lang w:val="en-US" w:eastAsia="zh-CN"/>
        </w:rPr>
        <w:t>6</w:t>
      </w:r>
      <w:r>
        <w:t>年，我部门财政拨款“三公”经费预算安排</w:t>
      </w:r>
      <w:r>
        <w:rPr>
          <w:rFonts w:hint="default"/>
          <w:lang w:val="en-US"/>
        </w:rPr>
        <w:t>3</w:t>
      </w:r>
      <w:r>
        <w:rPr>
          <w:rFonts w:hint="eastAsia"/>
          <w:lang w:val="en-US" w:eastAsia="zh-CN"/>
        </w:rPr>
        <w:t>3.44</w:t>
      </w:r>
      <w:r>
        <w:t>万元，其中因公出国（境）费0万元；公务用车购置及运维费</w:t>
      </w:r>
      <w:r>
        <w:rPr>
          <w:rFonts w:hint="default"/>
          <w:lang w:val="en-US"/>
        </w:rPr>
        <w:t>2</w:t>
      </w:r>
      <w:r>
        <w:rPr>
          <w:rFonts w:hint="eastAsia"/>
          <w:lang w:val="en-US" w:eastAsia="zh-CN"/>
        </w:rPr>
        <w:t>5.85</w:t>
      </w:r>
      <w:r>
        <w:t>万元（其中：公务用车购置费为0万元，公务用车运维费</w:t>
      </w:r>
      <w:r>
        <w:rPr>
          <w:rFonts w:hint="default"/>
          <w:lang w:val="en-US"/>
        </w:rPr>
        <w:t>2</w:t>
      </w:r>
      <w:r>
        <w:rPr>
          <w:rFonts w:hint="eastAsia"/>
          <w:lang w:val="en-US" w:eastAsia="zh-CN"/>
        </w:rPr>
        <w:t>5.85</w:t>
      </w:r>
      <w:r>
        <w:t>万元)；公务接待费7.</w:t>
      </w:r>
      <w:r>
        <w:rPr>
          <w:rFonts w:hint="eastAsia"/>
          <w:lang w:val="en-US" w:eastAsia="zh-CN"/>
        </w:rPr>
        <w:t>59</w:t>
      </w:r>
      <w:r>
        <w:t>万元。与 202</w:t>
      </w:r>
      <w:r>
        <w:rPr>
          <w:rFonts w:hint="eastAsia"/>
          <w:lang w:val="en-US" w:eastAsia="zh-CN"/>
        </w:rPr>
        <w:t>5</w:t>
      </w:r>
      <w:r>
        <w:t>年相比</w:t>
      </w:r>
      <w:r>
        <w:rPr>
          <w:rFonts w:hint="eastAsia"/>
          <w:lang w:eastAsia="zh-CN"/>
        </w:rPr>
        <w:t>，</w:t>
      </w:r>
      <w:r>
        <w:rPr>
          <w:rFonts w:hint="eastAsia"/>
          <w:lang w:val="en-US" w:eastAsia="zh-CN"/>
        </w:rPr>
        <w:t>减少了1.11万元，原因是</w:t>
      </w:r>
      <w:r>
        <w:rPr>
          <w:rFonts w:hint="default"/>
          <w:lang w:val="en-US" w:eastAsia="zh-CN"/>
        </w:rPr>
        <w:t>202</w:t>
      </w:r>
      <w:r>
        <w:rPr>
          <w:rFonts w:hint="eastAsia"/>
          <w:lang w:val="en-US" w:eastAsia="zh-CN"/>
        </w:rPr>
        <w:t>6年按照要求，进行压减开支</w:t>
      </w:r>
      <w:r>
        <w:t>。</w:t>
      </w:r>
    </w:p>
    <w:p>
      <w:pPr>
        <w:keepNext w:val="0"/>
        <w:keepLines w:val="0"/>
        <w:pageBreakBefore w:val="0"/>
        <w:widowControl/>
        <w:kinsoku/>
        <w:wordWrap/>
        <w:overflowPunct/>
        <w:topLinePunct w:val="0"/>
        <w:autoSpaceDE/>
        <w:autoSpaceDN/>
        <w:bidi w:val="0"/>
        <w:adjustRightInd/>
        <w:snapToGrid/>
        <w:spacing w:before="10" w:after="10" w:line="578" w:lineRule="exact"/>
        <w:ind w:firstLine="640"/>
        <w:jc w:val="left"/>
        <w:textAlignment w:val="auto"/>
        <w:outlineLvl w:val="2"/>
      </w:pPr>
      <w:bookmarkStart w:id="12" w:name="_Toc_3_3_0000000014"/>
      <w:r>
        <w:rPr>
          <w:rFonts w:ascii="黑体" w:hAnsi="黑体" w:eastAsia="黑体" w:cs="黑体"/>
          <w:color w:val="000000"/>
          <w:sz w:val="32"/>
        </w:rPr>
        <w:t>五、部门整体绩效目标</w:t>
      </w:r>
      <w:bookmarkEnd w:id="12"/>
    </w:p>
    <w:p>
      <w:pPr>
        <w:keepNext w:val="0"/>
        <w:keepLines w:val="0"/>
        <w:pageBreakBefore w:val="0"/>
        <w:widowControl/>
        <w:kinsoku/>
        <w:wordWrap/>
        <w:overflowPunct/>
        <w:topLinePunct w:val="0"/>
        <w:autoSpaceDE/>
        <w:autoSpaceDN/>
        <w:bidi w:val="0"/>
        <w:adjustRightInd/>
        <w:snapToGrid/>
        <w:spacing w:before="0" w:after="0" w:line="578" w:lineRule="exact"/>
        <w:ind w:firstLine="560"/>
        <w:jc w:val="left"/>
        <w:textAlignment w:val="auto"/>
        <w:outlineLvl w:val="9"/>
      </w:pPr>
      <w:r>
        <w:rPr>
          <w:rFonts w:ascii="Times New Roman" w:hAnsi="Times New Roman" w:eastAsia="方正仿宋_GBK" w:cs="Times New Roman"/>
          <w:color w:val="000000"/>
          <w:sz w:val="28"/>
        </w:rPr>
        <w:t>（一）总体绩效目标</w:t>
      </w:r>
    </w:p>
    <w:p>
      <w:pPr>
        <w:pStyle w:val="22"/>
        <w:keepNext w:val="0"/>
        <w:keepLines w:val="0"/>
        <w:pageBreakBefore w:val="0"/>
        <w:widowControl/>
        <w:kinsoku/>
        <w:wordWrap/>
        <w:overflowPunct/>
        <w:topLinePunct w:val="0"/>
        <w:autoSpaceDE/>
        <w:autoSpaceDN/>
        <w:bidi w:val="0"/>
        <w:adjustRightInd/>
        <w:snapToGrid/>
        <w:spacing w:line="578" w:lineRule="exact"/>
        <w:textAlignment w:val="auto"/>
      </w:pPr>
      <w:r>
        <w:t>坚持以</w:t>
      </w:r>
      <w:r>
        <w:rPr>
          <w:rFonts w:hint="eastAsia"/>
          <w:lang w:val="en-US" w:eastAsia="zh-CN"/>
        </w:rPr>
        <w:t>习</w:t>
      </w:r>
      <w:bookmarkStart w:id="19" w:name="_GoBack"/>
      <w:bookmarkEnd w:id="19"/>
      <w:r>
        <w:t>近平新时代中国特色社会主义思想为指导，立足纪检监察机关职能定位，提高政治站位，强化责任担当，以严格的监督执纪问责抓好末端落实，扎实推动我区全面从严治党、党风廉政建设和反腐败工作向纵深发展，以实际行动推动党的二十大精神落地落实。2025年我部门总体发展规划目标是：深入学习贯彻党的二十大精神，以精准有力的政治监督推动“两个维护”落地见效；一体推进“三不腐”，坚决打赢反腐败斗争攻坚战，至少召开一次全区领导干部教育警示会议；坚持以严的基调强化正风肃纪，推动“四风”常态化长效化，做好元旦、春节、中秋等重要节点的监督；坚守政治定位，有力推动巡察工作规范高效，每轮组建4个巡察组，每轮巡察不超过2个月；勇于自我革命，全面锻造过硬纪检监察铁军。</w:t>
      </w:r>
    </w:p>
    <w:p>
      <w:pPr>
        <w:keepNext w:val="0"/>
        <w:keepLines w:val="0"/>
        <w:pageBreakBefore w:val="0"/>
        <w:widowControl/>
        <w:kinsoku/>
        <w:wordWrap/>
        <w:overflowPunct/>
        <w:topLinePunct w:val="0"/>
        <w:autoSpaceDE/>
        <w:autoSpaceDN/>
        <w:bidi w:val="0"/>
        <w:adjustRightInd/>
        <w:snapToGrid/>
        <w:spacing w:before="0" w:after="0" w:line="578" w:lineRule="exact"/>
        <w:ind w:firstLine="560"/>
        <w:jc w:val="left"/>
        <w:textAlignment w:val="auto"/>
        <w:outlineLvl w:val="9"/>
      </w:pPr>
      <w:r>
        <w:rPr>
          <w:rFonts w:ascii="Times New Roman" w:hAnsi="Times New Roman" w:eastAsia="方正仿宋_GBK" w:cs="Times New Roman"/>
          <w:color w:val="000000"/>
          <w:sz w:val="28"/>
        </w:rPr>
        <w:t>（二）分项绩效目标</w:t>
      </w:r>
    </w:p>
    <w:p>
      <w:pPr>
        <w:pStyle w:val="23"/>
        <w:keepNext w:val="0"/>
        <w:keepLines w:val="0"/>
        <w:pageBreakBefore w:val="0"/>
        <w:widowControl/>
        <w:kinsoku/>
        <w:wordWrap/>
        <w:overflowPunct/>
        <w:topLinePunct w:val="0"/>
        <w:autoSpaceDE/>
        <w:autoSpaceDN/>
        <w:bidi w:val="0"/>
        <w:adjustRightInd/>
        <w:snapToGrid/>
        <w:spacing w:line="578" w:lineRule="exact"/>
        <w:textAlignment w:val="auto"/>
      </w:pPr>
      <w:r>
        <w:t>1.办案问责</w:t>
      </w:r>
    </w:p>
    <w:p>
      <w:pPr>
        <w:pStyle w:val="23"/>
        <w:keepNext w:val="0"/>
        <w:keepLines w:val="0"/>
        <w:pageBreakBefore w:val="0"/>
        <w:widowControl/>
        <w:kinsoku/>
        <w:wordWrap/>
        <w:overflowPunct/>
        <w:topLinePunct w:val="0"/>
        <w:autoSpaceDE/>
        <w:autoSpaceDN/>
        <w:bidi w:val="0"/>
        <w:adjustRightInd/>
        <w:snapToGrid/>
        <w:spacing w:line="578" w:lineRule="exact"/>
        <w:textAlignment w:val="auto"/>
      </w:pPr>
      <w:r>
        <w:t>绩效目标：2026年，徐水区纪委监委将持续加大审查调查工作力度，立足“不敢”，始终保持“惩”的有力威慑；立足“不能”，着力强化“治”的综合效能；立足“不想”，充分释放“警”的预防作用。</w:t>
      </w:r>
    </w:p>
    <w:p>
      <w:pPr>
        <w:pStyle w:val="23"/>
        <w:keepNext w:val="0"/>
        <w:keepLines w:val="0"/>
        <w:pageBreakBefore w:val="0"/>
        <w:widowControl/>
        <w:kinsoku/>
        <w:wordWrap/>
        <w:overflowPunct/>
        <w:topLinePunct w:val="0"/>
        <w:autoSpaceDE/>
        <w:autoSpaceDN/>
        <w:bidi w:val="0"/>
        <w:adjustRightInd/>
        <w:snapToGrid/>
        <w:spacing w:line="578" w:lineRule="exact"/>
        <w:textAlignment w:val="auto"/>
      </w:pPr>
      <w:r>
        <w:t>绩效指标：群众来信来访登记率达到100%，案件办结率达到90%以上，办案安全率100%，办案经费保障率100%。</w:t>
      </w:r>
    </w:p>
    <w:p>
      <w:pPr>
        <w:pStyle w:val="23"/>
        <w:keepNext w:val="0"/>
        <w:keepLines w:val="0"/>
        <w:pageBreakBefore w:val="0"/>
        <w:widowControl/>
        <w:kinsoku/>
        <w:wordWrap/>
        <w:overflowPunct/>
        <w:topLinePunct w:val="0"/>
        <w:autoSpaceDE/>
        <w:autoSpaceDN/>
        <w:bidi w:val="0"/>
        <w:adjustRightInd/>
        <w:snapToGrid/>
        <w:spacing w:line="578" w:lineRule="exact"/>
        <w:textAlignment w:val="auto"/>
      </w:pPr>
      <w:r>
        <w:t>2.党风廉政建设</w:t>
      </w:r>
    </w:p>
    <w:p>
      <w:pPr>
        <w:pStyle w:val="23"/>
        <w:keepNext w:val="0"/>
        <w:keepLines w:val="0"/>
        <w:pageBreakBefore w:val="0"/>
        <w:widowControl/>
        <w:kinsoku/>
        <w:wordWrap/>
        <w:overflowPunct/>
        <w:topLinePunct w:val="0"/>
        <w:autoSpaceDE/>
        <w:autoSpaceDN/>
        <w:bidi w:val="0"/>
        <w:adjustRightInd/>
        <w:snapToGrid/>
        <w:spacing w:line="578" w:lineRule="exact"/>
        <w:textAlignment w:val="auto"/>
      </w:pPr>
      <w:r>
        <w:t>绩效目标：通过多角度全方位的警示教育，进一步督促全区党员干部时刻绷紧“廉政弦”，筑牢拒腐防变的思想道德防线。绩效指标：召开全区领导干部警示教育会议1次，选取当年重大典型案件，拍摄录制警示教育专题片至少1部。</w:t>
      </w:r>
    </w:p>
    <w:p>
      <w:pPr>
        <w:pStyle w:val="23"/>
        <w:keepNext w:val="0"/>
        <w:keepLines w:val="0"/>
        <w:pageBreakBefore w:val="0"/>
        <w:widowControl/>
        <w:kinsoku/>
        <w:wordWrap/>
        <w:overflowPunct/>
        <w:topLinePunct w:val="0"/>
        <w:autoSpaceDE/>
        <w:autoSpaceDN/>
        <w:bidi w:val="0"/>
        <w:adjustRightInd/>
        <w:snapToGrid/>
        <w:spacing w:line="578" w:lineRule="exact"/>
        <w:textAlignment w:val="auto"/>
      </w:pPr>
      <w:r>
        <w:t>3.监督检查</w:t>
      </w:r>
    </w:p>
    <w:p>
      <w:pPr>
        <w:pStyle w:val="23"/>
        <w:keepNext w:val="0"/>
        <w:keepLines w:val="0"/>
        <w:pageBreakBefore w:val="0"/>
        <w:widowControl/>
        <w:kinsoku/>
        <w:wordWrap/>
        <w:overflowPunct/>
        <w:topLinePunct w:val="0"/>
        <w:autoSpaceDE/>
        <w:autoSpaceDN/>
        <w:bidi w:val="0"/>
        <w:adjustRightInd/>
        <w:snapToGrid/>
        <w:spacing w:line="578" w:lineRule="exact"/>
        <w:textAlignment w:val="auto"/>
      </w:pPr>
      <w:r>
        <w:t>绩效目标：保障监督检查党内法规政策、国家法律法规、党风廉政建设的贯彻落实，保障区委有关部署的贯彻落实，开展常态化全覆盖监督。</w:t>
      </w:r>
    </w:p>
    <w:p>
      <w:pPr>
        <w:pStyle w:val="23"/>
        <w:keepNext w:val="0"/>
        <w:keepLines w:val="0"/>
        <w:pageBreakBefore w:val="0"/>
        <w:widowControl/>
        <w:kinsoku/>
        <w:wordWrap/>
        <w:overflowPunct/>
        <w:topLinePunct w:val="0"/>
        <w:autoSpaceDE/>
        <w:autoSpaceDN/>
        <w:bidi w:val="0"/>
        <w:adjustRightInd/>
        <w:snapToGrid/>
        <w:spacing w:line="578" w:lineRule="exact"/>
        <w:textAlignment w:val="auto"/>
      </w:pPr>
      <w:r>
        <w:t>绩效指标：保证元旦、春节、中秋及其他重要时点的监督监察率100%，对失职失责干部问责率达到100%。</w:t>
      </w:r>
    </w:p>
    <w:p>
      <w:pPr>
        <w:pStyle w:val="23"/>
        <w:keepNext w:val="0"/>
        <w:keepLines w:val="0"/>
        <w:pageBreakBefore w:val="0"/>
        <w:widowControl/>
        <w:kinsoku/>
        <w:wordWrap/>
        <w:overflowPunct/>
        <w:topLinePunct w:val="0"/>
        <w:autoSpaceDE/>
        <w:autoSpaceDN/>
        <w:bidi w:val="0"/>
        <w:adjustRightInd/>
        <w:snapToGrid/>
        <w:spacing w:line="578" w:lineRule="exact"/>
        <w:textAlignment w:val="auto"/>
      </w:pPr>
      <w:r>
        <w:t>4.纪检事物管理</w:t>
      </w:r>
    </w:p>
    <w:p>
      <w:pPr>
        <w:pStyle w:val="23"/>
        <w:keepNext w:val="0"/>
        <w:keepLines w:val="0"/>
        <w:pageBreakBefore w:val="0"/>
        <w:widowControl/>
        <w:kinsoku/>
        <w:wordWrap/>
        <w:overflowPunct/>
        <w:topLinePunct w:val="0"/>
        <w:autoSpaceDE/>
        <w:autoSpaceDN/>
        <w:bidi w:val="0"/>
        <w:adjustRightInd/>
        <w:snapToGrid/>
        <w:spacing w:line="578" w:lineRule="exact"/>
        <w:textAlignment w:val="auto"/>
      </w:pPr>
      <w:r>
        <w:t>绩效目标：保证区纪委监委能够正常运转，能够正常开展各项工作。</w:t>
      </w:r>
    </w:p>
    <w:p>
      <w:pPr>
        <w:pStyle w:val="23"/>
        <w:keepNext w:val="0"/>
        <w:keepLines w:val="0"/>
        <w:pageBreakBefore w:val="0"/>
        <w:widowControl/>
        <w:kinsoku/>
        <w:wordWrap/>
        <w:overflowPunct/>
        <w:topLinePunct w:val="0"/>
        <w:autoSpaceDE/>
        <w:autoSpaceDN/>
        <w:bidi w:val="0"/>
        <w:adjustRightInd/>
        <w:snapToGrid/>
        <w:spacing w:line="578" w:lineRule="exact"/>
        <w:textAlignment w:val="auto"/>
      </w:pPr>
      <w:r>
        <w:t>绩效指标：全年至少组织4次培训，办公环境整洁率100%，网络安全度100%。</w:t>
      </w:r>
    </w:p>
    <w:p>
      <w:pPr>
        <w:keepNext w:val="0"/>
        <w:keepLines w:val="0"/>
        <w:pageBreakBefore w:val="0"/>
        <w:widowControl/>
        <w:kinsoku/>
        <w:wordWrap/>
        <w:overflowPunct/>
        <w:topLinePunct w:val="0"/>
        <w:autoSpaceDE/>
        <w:autoSpaceDN/>
        <w:bidi w:val="0"/>
        <w:adjustRightInd/>
        <w:snapToGrid/>
        <w:spacing w:before="0" w:after="0" w:line="578" w:lineRule="exact"/>
        <w:ind w:firstLine="560"/>
        <w:jc w:val="left"/>
        <w:textAlignment w:val="auto"/>
        <w:outlineLvl w:val="9"/>
      </w:pPr>
      <w:r>
        <w:rPr>
          <w:rFonts w:ascii="Times New Roman" w:hAnsi="Times New Roman" w:eastAsia="方正仿宋_GBK" w:cs="Times New Roman"/>
          <w:color w:val="000000"/>
          <w:sz w:val="28"/>
        </w:rPr>
        <w:t>（三）工作保障措施</w:t>
      </w:r>
    </w:p>
    <w:p>
      <w:pPr>
        <w:pStyle w:val="24"/>
        <w:keepNext w:val="0"/>
        <w:keepLines w:val="0"/>
        <w:pageBreakBefore w:val="0"/>
        <w:widowControl/>
        <w:kinsoku/>
        <w:wordWrap/>
        <w:overflowPunct/>
        <w:topLinePunct w:val="0"/>
        <w:autoSpaceDE/>
        <w:autoSpaceDN/>
        <w:bidi w:val="0"/>
        <w:adjustRightInd/>
        <w:snapToGrid/>
        <w:spacing w:line="578" w:lineRule="exact"/>
        <w:textAlignment w:val="auto"/>
      </w:pPr>
      <w:r>
        <w:t>1.完善制度建设。制定徐水区纪委监委资产管理制度、财务收支管理制度、涉案财物管理制度等，加强单位内控制度建设，严守财经纪律。</w:t>
      </w:r>
    </w:p>
    <w:p>
      <w:pPr>
        <w:pStyle w:val="24"/>
        <w:keepNext w:val="0"/>
        <w:keepLines w:val="0"/>
        <w:pageBreakBefore w:val="0"/>
        <w:widowControl/>
        <w:kinsoku/>
        <w:wordWrap/>
        <w:overflowPunct/>
        <w:topLinePunct w:val="0"/>
        <w:autoSpaceDE/>
        <w:autoSpaceDN/>
        <w:bidi w:val="0"/>
        <w:adjustRightInd/>
        <w:snapToGrid/>
        <w:spacing w:line="578" w:lineRule="exact"/>
        <w:textAlignment w:val="auto"/>
      </w:pPr>
      <w:r>
        <w:t>2.加强支出管理。不断调整优化支出结构，根据本部门实际需要编细编实预算，提高预算编制的科学性。严格按照《预算法》的要求，强化预算执行的严肃性，杜绝预算管理的随意性，没有列入预算的项目不得列支，超预算范围、超预算额度的，一律不得开支。强化预算执行的合法合规意识和绩效意识，提高财政资金使用效益。</w:t>
      </w:r>
    </w:p>
    <w:p>
      <w:pPr>
        <w:pStyle w:val="24"/>
        <w:keepNext w:val="0"/>
        <w:keepLines w:val="0"/>
        <w:pageBreakBefore w:val="0"/>
        <w:widowControl/>
        <w:kinsoku/>
        <w:wordWrap/>
        <w:overflowPunct/>
        <w:topLinePunct w:val="0"/>
        <w:autoSpaceDE/>
        <w:autoSpaceDN/>
        <w:bidi w:val="0"/>
        <w:adjustRightInd/>
        <w:snapToGrid/>
        <w:spacing w:line="578" w:lineRule="exact"/>
        <w:textAlignment w:val="auto"/>
      </w:pPr>
      <w:r>
        <w:t>3.加强绩效运行监控。在预算执行全阶段，要严格执行支出承诺制度，根据年初资金支出计划，对本部门政策和项目执行进度开展月度监控，指导、督促本部门开展预算执行进度监控，确保财政资金按计划支出，提高资金使用效益。</w:t>
      </w:r>
    </w:p>
    <w:p>
      <w:pPr>
        <w:pStyle w:val="24"/>
        <w:keepNext w:val="0"/>
        <w:keepLines w:val="0"/>
        <w:pageBreakBefore w:val="0"/>
        <w:widowControl/>
        <w:kinsoku/>
        <w:wordWrap/>
        <w:overflowPunct/>
        <w:topLinePunct w:val="0"/>
        <w:autoSpaceDE/>
        <w:autoSpaceDN/>
        <w:bidi w:val="0"/>
        <w:adjustRightInd/>
        <w:snapToGrid/>
        <w:spacing w:line="578" w:lineRule="exact"/>
        <w:textAlignment w:val="auto"/>
      </w:pPr>
      <w:r>
        <w:t>4.做好绩效自评。办公室会同各科室根据年初确定的整体绩效目标，对本部门使用财政资金所实现的整体产出和效果开展年度自评，指导所属单位开展本单位整体绩效自评工作，对评价中发现的问题及时整改，不断优化支出结构，提高财政资金的使用效益。</w:t>
      </w:r>
    </w:p>
    <w:p>
      <w:pPr>
        <w:pStyle w:val="24"/>
        <w:keepNext w:val="0"/>
        <w:keepLines w:val="0"/>
        <w:pageBreakBefore w:val="0"/>
        <w:widowControl/>
        <w:kinsoku/>
        <w:wordWrap/>
        <w:overflowPunct/>
        <w:topLinePunct w:val="0"/>
        <w:autoSpaceDE/>
        <w:autoSpaceDN/>
        <w:bidi w:val="0"/>
        <w:adjustRightInd/>
        <w:snapToGrid/>
        <w:spacing w:line="578" w:lineRule="exact"/>
        <w:textAlignment w:val="auto"/>
      </w:pPr>
      <w:r>
        <w:t>5.规范财务资产管理。完善区纪委监委财务管理制度，严格审批程序，切实加强对项目经费开支的审核和控制，加强固定资产登记、使用和报废处置管理，做到支出合理，物尽其用。</w:t>
      </w:r>
    </w:p>
    <w:p>
      <w:pPr>
        <w:pStyle w:val="24"/>
        <w:keepNext w:val="0"/>
        <w:keepLines w:val="0"/>
        <w:pageBreakBefore w:val="0"/>
        <w:widowControl/>
        <w:kinsoku/>
        <w:wordWrap/>
        <w:overflowPunct/>
        <w:topLinePunct w:val="0"/>
        <w:autoSpaceDE/>
        <w:autoSpaceDN/>
        <w:bidi w:val="0"/>
        <w:adjustRightInd/>
        <w:snapToGrid/>
        <w:spacing w:line="578" w:lineRule="exact"/>
        <w:textAlignment w:val="auto"/>
      </w:pPr>
      <w:r>
        <w:t>6.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4"/>
        <w:keepNext w:val="0"/>
        <w:keepLines w:val="0"/>
        <w:pageBreakBefore w:val="0"/>
        <w:widowControl/>
        <w:kinsoku/>
        <w:wordWrap/>
        <w:overflowPunct/>
        <w:topLinePunct w:val="0"/>
        <w:autoSpaceDE/>
        <w:autoSpaceDN/>
        <w:bidi w:val="0"/>
        <w:adjustRightInd/>
        <w:snapToGrid/>
        <w:spacing w:line="578" w:lineRule="exact"/>
        <w:textAlignment w:val="auto"/>
      </w:pPr>
      <w:r>
        <w:t>7.加强宣传培训调研等。加强人员培训，提高本部门职工业务素质；加强调研，提出优化财政资金配置、提高资金使用效益的意见和建议；加大宣传力度，强化预算绩效管理意识，促进预算绩效管理水平进一步提升。</w:t>
      </w:r>
    </w:p>
    <w:p>
      <w:pPr>
        <w:pStyle w:val="24"/>
        <w:keepNext w:val="0"/>
        <w:keepLines w:val="0"/>
        <w:pageBreakBefore w:val="0"/>
        <w:widowControl/>
        <w:kinsoku/>
        <w:wordWrap/>
        <w:overflowPunct/>
        <w:topLinePunct w:val="0"/>
        <w:autoSpaceDE/>
        <w:autoSpaceDN/>
        <w:bidi w:val="0"/>
        <w:adjustRightInd/>
        <w:snapToGrid/>
        <w:spacing w:line="578" w:lineRule="exact"/>
        <w:textAlignment w:val="auto"/>
        <w:sectPr>
          <w:pgSz w:w="16840" w:h="11900" w:orient="landscape"/>
          <w:pgMar w:top="1361" w:right="1020" w:bottom="1361" w:left="1020" w:header="720" w:footer="720" w:gutter="0"/>
          <w:cols w:space="720" w:num="1"/>
        </w:sectPr>
      </w:pPr>
    </w:p>
    <w:p>
      <w:pPr>
        <w:keepNext w:val="0"/>
        <w:keepLines w:val="0"/>
        <w:pageBreakBefore w:val="0"/>
        <w:widowControl/>
        <w:numPr>
          <w:ilvl w:val="0"/>
          <w:numId w:val="1"/>
        </w:numPr>
        <w:kinsoku/>
        <w:wordWrap/>
        <w:overflowPunct/>
        <w:topLinePunct w:val="0"/>
        <w:autoSpaceDE/>
        <w:autoSpaceDN/>
        <w:bidi w:val="0"/>
        <w:adjustRightInd/>
        <w:snapToGrid/>
        <w:spacing w:before="10" w:after="10" w:line="578" w:lineRule="exact"/>
        <w:ind w:firstLine="640"/>
        <w:jc w:val="left"/>
        <w:textAlignment w:val="auto"/>
        <w:outlineLvl w:val="2"/>
        <w:rPr>
          <w:rFonts w:ascii="黑体" w:hAnsi="黑体" w:eastAsia="黑体" w:cs="黑体"/>
          <w:color w:val="000000"/>
          <w:sz w:val="32"/>
        </w:rPr>
      </w:pPr>
      <w:bookmarkStart w:id="13" w:name="_Toc_3_3_0000000015"/>
      <w:r>
        <w:rPr>
          <w:rFonts w:ascii="黑体" w:hAnsi="黑体" w:eastAsia="黑体" w:cs="黑体"/>
          <w:color w:val="000000"/>
          <w:sz w:val="32"/>
        </w:rPr>
        <w:t>部门主管专项资金预算安排情况及绩效目标</w:t>
      </w:r>
      <w:bookmarkEnd w:id="13"/>
    </w:p>
    <w:p>
      <w:pPr>
        <w:keepNext w:val="0"/>
        <w:keepLines w:val="0"/>
        <w:pageBreakBefore w:val="0"/>
        <w:widowControl/>
        <w:numPr>
          <w:ilvl w:val="0"/>
          <w:numId w:val="0"/>
        </w:numPr>
        <w:kinsoku/>
        <w:wordWrap/>
        <w:overflowPunct/>
        <w:topLinePunct w:val="0"/>
        <w:autoSpaceDE/>
        <w:autoSpaceDN/>
        <w:bidi w:val="0"/>
        <w:adjustRightInd/>
        <w:snapToGrid/>
        <w:spacing w:before="10" w:after="10" w:line="578" w:lineRule="exact"/>
        <w:jc w:val="left"/>
        <w:textAlignment w:val="auto"/>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hint="default" w:ascii="黑体" w:hAnsi="黑体" w:eastAsia="黑体" w:cs="黑体"/>
          <w:color w:val="000000"/>
          <w:sz w:val="32"/>
          <w:lang w:val="en-US"/>
        </w:rPr>
        <w:t xml:space="preserve">  </w:t>
      </w: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我</w:t>
      </w:r>
      <w:r>
        <w:rPr>
          <w:rFonts w:hint="eastAsia" w:eastAsia="方正仿宋_GBK" w:cs="Times New Roman"/>
          <w:sz w:val="28"/>
          <w:szCs w:val="24"/>
          <w:lang w:val="en-US" w:eastAsia="zh-CN" w:bidi="ar-SA"/>
        </w:rPr>
        <w:t>部门</w:t>
      </w:r>
      <w:r>
        <w:rPr>
          <w:rFonts w:hint="eastAsia" w:ascii="Times New Roman" w:hAnsi="Times New Roman" w:eastAsia="方正仿宋_GBK" w:cs="Times New Roman"/>
          <w:sz w:val="28"/>
          <w:szCs w:val="24"/>
          <w:lang w:val="en-US" w:eastAsia="zh-CN" w:bidi="ar-SA"/>
        </w:rPr>
        <w:t>无主管专项资金预算安排及绩效目标。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6"/>
      <w:r>
        <w:rPr>
          <w:rFonts w:ascii="黑体" w:hAnsi="黑体" w:eastAsia="黑体" w:cs="黑体"/>
          <w:color w:val="000000"/>
          <w:sz w:val="32"/>
        </w:rPr>
        <w:t>七、部门项目预算安排情况及绩效目标</w:t>
      </w:r>
      <w:bookmarkEnd w:id="14"/>
    </w:p>
    <w:p>
      <w:pPr>
        <w:spacing w:before="0" w:after="0"/>
        <w:ind w:firstLine="560"/>
        <w:jc w:val="left"/>
        <w:outlineLvl w:val="9"/>
      </w:pPr>
      <w:r>
        <w:rPr>
          <w:rFonts w:ascii="方正仿宋_GBK" w:hAnsi="方正仿宋_GBK" w:eastAsia="方正仿宋_GBK" w:cs="方正仿宋_GBK"/>
          <w:color w:val="000000"/>
          <w:sz w:val="28"/>
        </w:rPr>
        <w:t>1、办案专项补助经费（劳务费）绩效目标表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13062526P000232102729</w:t>
            </w:r>
          </w:p>
        </w:tc>
        <w:tc>
          <w:tcPr>
            <w:tcW w:w="2835" w:type="dxa"/>
            <w:vAlign w:val="center"/>
          </w:tcPr>
          <w:p>
            <w:pPr>
              <w:pStyle w:val="11"/>
            </w:pPr>
            <w:r>
              <w:t>项目名称</w:t>
            </w:r>
          </w:p>
        </w:tc>
        <w:tc>
          <w:tcPr>
            <w:tcW w:w="6095" w:type="dxa"/>
            <w:gridSpan w:val="3"/>
            <w:vAlign w:val="center"/>
          </w:tcPr>
          <w:p>
            <w:pPr>
              <w:pStyle w:val="13"/>
            </w:pPr>
            <w:r>
              <w:t>办案专项补助经费（劳务费）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通过长期聘用人员的工作，保障机关食堂运行、档案管理等工作。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1.28</w:t>
            </w:r>
          </w:p>
        </w:tc>
        <w:tc>
          <w:tcPr>
            <w:tcW w:w="2835" w:type="dxa"/>
            <w:vAlign w:val="center"/>
          </w:tcPr>
          <w:p>
            <w:pPr>
              <w:pStyle w:val="14"/>
            </w:pPr>
            <w:r>
              <w:t>2.56</w:t>
            </w:r>
          </w:p>
        </w:tc>
        <w:tc>
          <w:tcPr>
            <w:tcW w:w="2551" w:type="dxa"/>
            <w:vAlign w:val="center"/>
          </w:tcPr>
          <w:p>
            <w:pPr>
              <w:pStyle w:val="14"/>
            </w:pPr>
            <w:r>
              <w:t>6.15</w:t>
            </w:r>
          </w:p>
        </w:tc>
        <w:tc>
          <w:tcPr>
            <w:tcW w:w="3544" w:type="dxa"/>
            <w:gridSpan w:val="2"/>
            <w:vAlign w:val="center"/>
          </w:tcPr>
          <w:p>
            <w:pPr>
              <w:pStyle w:val="14"/>
            </w:pPr>
            <w:r>
              <w:t>7.00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1.通过长期聘用人员的工作，保障机关食堂运行、档案管理等工作。</w:t>
            </w:r>
          </w:p>
          <w:p>
            <w:pPr>
              <w:pStyle w:val="13"/>
            </w:pPr>
            <w:r>
              <w:t>2.保证机关23个内设机构的文印工作的及时率及准确率。</w:t>
            </w:r>
          </w:p>
          <w:p>
            <w:pPr>
              <w:pStyle w:val="13"/>
            </w:pPr>
            <w:r>
              <w:t>3.通过聘用1名长期聘用人员，按月序时发放工资及各项保险费用，加强纪检监察机关办公效率，保障机关正常运行。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聘用人员数量</w:t>
            </w:r>
          </w:p>
        </w:tc>
        <w:tc>
          <w:tcPr>
            <w:tcW w:w="5386" w:type="dxa"/>
            <w:vAlign w:val="center"/>
          </w:tcPr>
          <w:p>
            <w:pPr>
              <w:pStyle w:val="13"/>
            </w:pPr>
            <w:r>
              <w:t>聘用人员数量</w:t>
            </w:r>
          </w:p>
        </w:tc>
        <w:tc>
          <w:tcPr>
            <w:tcW w:w="2268" w:type="dxa"/>
            <w:vAlign w:val="center"/>
          </w:tcPr>
          <w:p>
            <w:pPr>
              <w:pStyle w:val="13"/>
            </w:pPr>
            <w:r>
              <w:t>1人</w:t>
            </w:r>
          </w:p>
        </w:tc>
        <w:tc>
          <w:tcPr>
            <w:tcW w:w="1276" w:type="dxa"/>
            <w:vAlign w:val="center"/>
          </w:tcPr>
          <w:p>
            <w:pPr>
              <w:pStyle w:val="13"/>
            </w:pPr>
            <w:r>
              <w:t>《关于将长期聘用人员王娟劳务费列入预算的请示》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交办给该人员的工作任务的完成率</w:t>
            </w:r>
          </w:p>
        </w:tc>
        <w:tc>
          <w:tcPr>
            <w:tcW w:w="2268" w:type="dxa"/>
            <w:vAlign w:val="center"/>
          </w:tcPr>
          <w:p>
            <w:pPr>
              <w:pStyle w:val="13"/>
            </w:pPr>
            <w:r>
              <w:t>≥95%</w:t>
            </w:r>
          </w:p>
        </w:tc>
        <w:tc>
          <w:tcPr>
            <w:tcW w:w="1276" w:type="dxa"/>
            <w:vAlign w:val="center"/>
          </w:tcPr>
          <w:p>
            <w:pPr>
              <w:pStyle w:val="13"/>
            </w:pPr>
            <w:r>
              <w:t>《关于将长期聘用人员王娟劳务费列入预算的请示》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经费支出及时率</w:t>
            </w:r>
          </w:p>
        </w:tc>
        <w:tc>
          <w:tcPr>
            <w:tcW w:w="5386" w:type="dxa"/>
            <w:vAlign w:val="center"/>
          </w:tcPr>
          <w:p>
            <w:pPr>
              <w:pStyle w:val="13"/>
            </w:pPr>
            <w:r>
              <w:t>按照月进度支付聘用人员工资及缴纳保险的及时率</w:t>
            </w:r>
          </w:p>
        </w:tc>
        <w:tc>
          <w:tcPr>
            <w:tcW w:w="2268" w:type="dxa"/>
            <w:vAlign w:val="center"/>
          </w:tcPr>
          <w:p>
            <w:pPr>
              <w:pStyle w:val="13"/>
            </w:pPr>
            <w:r>
              <w:t>≥90%</w:t>
            </w:r>
          </w:p>
        </w:tc>
        <w:tc>
          <w:tcPr>
            <w:tcW w:w="1276" w:type="dxa"/>
            <w:vAlign w:val="center"/>
          </w:tcPr>
          <w:p>
            <w:pPr>
              <w:pStyle w:val="13"/>
            </w:pPr>
            <w:r>
              <w:t>《关于将长期聘用人员王娟劳务费列入预算的请示》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长期聘用人员经费支出标准</w:t>
            </w:r>
          </w:p>
        </w:tc>
        <w:tc>
          <w:tcPr>
            <w:tcW w:w="5386" w:type="dxa"/>
            <w:vAlign w:val="center"/>
          </w:tcPr>
          <w:p>
            <w:pPr>
              <w:pStyle w:val="13"/>
            </w:pPr>
            <w:r>
              <w:t>每月支付的聘用人员工资及缴纳保险金额</w:t>
            </w:r>
          </w:p>
        </w:tc>
        <w:tc>
          <w:tcPr>
            <w:tcW w:w="2268" w:type="dxa"/>
            <w:vAlign w:val="center"/>
          </w:tcPr>
          <w:p>
            <w:pPr>
              <w:pStyle w:val="13"/>
            </w:pPr>
            <w:r>
              <w:t>5833.33元/月/人</w:t>
            </w:r>
          </w:p>
        </w:tc>
        <w:tc>
          <w:tcPr>
            <w:tcW w:w="1276" w:type="dxa"/>
            <w:vAlign w:val="center"/>
          </w:tcPr>
          <w:p>
            <w:pPr>
              <w:pStyle w:val="13"/>
            </w:pPr>
            <w:r>
              <w:t>《关于将长期聘用人员王娟劳务费列入预算的请示》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提升单位办公及后勤管理水平</w:t>
            </w:r>
          </w:p>
        </w:tc>
        <w:tc>
          <w:tcPr>
            <w:tcW w:w="5386" w:type="dxa"/>
            <w:vAlign w:val="center"/>
          </w:tcPr>
          <w:p>
            <w:pPr>
              <w:pStyle w:val="13"/>
            </w:pPr>
            <w:r>
              <w:t>提升办公室及食堂等管理效率的水平</w:t>
            </w:r>
          </w:p>
        </w:tc>
        <w:tc>
          <w:tcPr>
            <w:tcW w:w="2268" w:type="dxa"/>
            <w:vAlign w:val="center"/>
          </w:tcPr>
          <w:p>
            <w:pPr>
              <w:pStyle w:val="13"/>
            </w:pPr>
            <w:r>
              <w:t>≥95%</w:t>
            </w:r>
          </w:p>
        </w:tc>
        <w:tc>
          <w:tcPr>
            <w:tcW w:w="1276" w:type="dxa"/>
            <w:vAlign w:val="center"/>
          </w:tcPr>
          <w:p>
            <w:pPr>
              <w:pStyle w:val="13"/>
            </w:pPr>
            <w:r>
              <w:t>《关于将长期聘用人员王娟劳务费列入预算的请示》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领导对于长聘人员工作满意度</w:t>
            </w:r>
          </w:p>
        </w:tc>
        <w:tc>
          <w:tcPr>
            <w:tcW w:w="5386" w:type="dxa"/>
            <w:vAlign w:val="center"/>
          </w:tcPr>
          <w:p>
            <w:pPr>
              <w:pStyle w:val="13"/>
            </w:pPr>
            <w:r>
              <w:t>领导对于长聘人员工作效果的满意程度</w:t>
            </w:r>
          </w:p>
        </w:tc>
        <w:tc>
          <w:tcPr>
            <w:tcW w:w="2268" w:type="dxa"/>
            <w:vAlign w:val="center"/>
          </w:tcPr>
          <w:p>
            <w:pPr>
              <w:pStyle w:val="13"/>
            </w:pPr>
            <w:r>
              <w:t>≥95%</w:t>
            </w:r>
          </w:p>
        </w:tc>
        <w:tc>
          <w:tcPr>
            <w:tcW w:w="1276" w:type="dxa"/>
            <w:vAlign w:val="center"/>
          </w:tcPr>
          <w:p>
            <w:pPr>
              <w:pStyle w:val="13"/>
            </w:pPr>
            <w:r>
              <w:t>依据调查问卷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2、纪检办案业务费绩效目标表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13062526P00004910044R</w:t>
            </w:r>
          </w:p>
        </w:tc>
        <w:tc>
          <w:tcPr>
            <w:tcW w:w="2835" w:type="dxa"/>
            <w:vAlign w:val="center"/>
          </w:tcPr>
          <w:p>
            <w:pPr>
              <w:pStyle w:val="11"/>
            </w:pPr>
            <w:r>
              <w:t>项目名称</w:t>
            </w:r>
          </w:p>
        </w:tc>
        <w:tc>
          <w:tcPr>
            <w:tcW w:w="6095" w:type="dxa"/>
            <w:gridSpan w:val="3"/>
            <w:vAlign w:val="center"/>
          </w:tcPr>
          <w:p>
            <w:pPr>
              <w:pStyle w:val="13"/>
            </w:pPr>
            <w:r>
              <w:t>纪检办案业务费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67.47</w:t>
            </w:r>
          </w:p>
        </w:tc>
        <w:tc>
          <w:tcPr>
            <w:tcW w:w="2835" w:type="dxa"/>
            <w:vAlign w:val="center"/>
          </w:tcPr>
          <w:p>
            <w:pPr>
              <w:pStyle w:val="11"/>
            </w:pPr>
            <w:r>
              <w:t>其中：财政    资金</w:t>
            </w:r>
          </w:p>
        </w:tc>
        <w:tc>
          <w:tcPr>
            <w:tcW w:w="2551" w:type="dxa"/>
            <w:vAlign w:val="center"/>
          </w:tcPr>
          <w:p>
            <w:pPr>
              <w:pStyle w:val="13"/>
            </w:pPr>
            <w:r>
              <w:t>67.47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加强纪检监察机关行政保障工作，保证机关履职尽责，营造风清气正的政治生态。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16.87</w:t>
            </w:r>
          </w:p>
        </w:tc>
        <w:tc>
          <w:tcPr>
            <w:tcW w:w="2835" w:type="dxa"/>
            <w:vAlign w:val="center"/>
          </w:tcPr>
          <w:p>
            <w:pPr>
              <w:pStyle w:val="14"/>
            </w:pPr>
            <w:r>
              <w:t>33.74</w:t>
            </w:r>
          </w:p>
        </w:tc>
        <w:tc>
          <w:tcPr>
            <w:tcW w:w="2551" w:type="dxa"/>
            <w:vAlign w:val="center"/>
          </w:tcPr>
          <w:p>
            <w:pPr>
              <w:pStyle w:val="14"/>
            </w:pPr>
            <w:r>
              <w:t>50.60</w:t>
            </w:r>
          </w:p>
        </w:tc>
        <w:tc>
          <w:tcPr>
            <w:tcW w:w="3544" w:type="dxa"/>
            <w:gridSpan w:val="2"/>
            <w:vAlign w:val="center"/>
          </w:tcPr>
          <w:p>
            <w:pPr>
              <w:pStyle w:val="14"/>
            </w:pPr>
            <w:r>
              <w:t>67.47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1.确保办案办公经费、差旅费的支出及时全额保障，同时严把支出手续，保证经费支出合规率100%。</w:t>
            </w:r>
          </w:p>
          <w:p>
            <w:pPr>
              <w:pStyle w:val="13"/>
            </w:pPr>
            <w:r>
              <w:t>2.通过该项目保障机关运行办公经费支出，各项纪检业务工作完成率95%以上，成本控制在预算之内，遗留案件得到有效处理。</w:t>
            </w:r>
          </w:p>
          <w:p>
            <w:pPr>
              <w:pStyle w:val="13"/>
            </w:pPr>
            <w:r>
              <w:t>3.加强纪检监察机关行政保障工作，保证机关履职尽责，营造风清气正的政治生态。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年度差旅费支出金额</w:t>
            </w:r>
          </w:p>
        </w:tc>
        <w:tc>
          <w:tcPr>
            <w:tcW w:w="5386" w:type="dxa"/>
            <w:vAlign w:val="center"/>
          </w:tcPr>
          <w:p>
            <w:pPr>
              <w:pStyle w:val="13"/>
            </w:pPr>
            <w:r>
              <w:t>2026年度用于单位差旅费支出的金额</w:t>
            </w:r>
          </w:p>
        </w:tc>
        <w:tc>
          <w:tcPr>
            <w:tcW w:w="2268" w:type="dxa"/>
            <w:vAlign w:val="center"/>
          </w:tcPr>
          <w:p>
            <w:pPr>
              <w:pStyle w:val="13"/>
            </w:pPr>
            <w:r>
              <w:t>≤80000元</w:t>
            </w:r>
          </w:p>
        </w:tc>
        <w:tc>
          <w:tcPr>
            <w:tcW w:w="1276" w:type="dxa"/>
            <w:vAlign w:val="center"/>
          </w:tcPr>
          <w:p>
            <w:pPr>
              <w:pStyle w:val="13"/>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监督检查次数</w:t>
            </w:r>
          </w:p>
        </w:tc>
        <w:tc>
          <w:tcPr>
            <w:tcW w:w="5386" w:type="dxa"/>
            <w:vAlign w:val="center"/>
          </w:tcPr>
          <w:p>
            <w:pPr>
              <w:pStyle w:val="13"/>
            </w:pPr>
            <w:r>
              <w:t>春节、清明、五一、端午、国庆、中秋等重要时间节点监督检查及违反中央八项规定精神及四风等方面专项监督检查次数</w:t>
            </w:r>
          </w:p>
        </w:tc>
        <w:tc>
          <w:tcPr>
            <w:tcW w:w="2268" w:type="dxa"/>
            <w:vAlign w:val="center"/>
          </w:tcPr>
          <w:p>
            <w:pPr>
              <w:pStyle w:val="13"/>
            </w:pPr>
            <w:r>
              <w:t>≥100次</w:t>
            </w:r>
          </w:p>
        </w:tc>
        <w:tc>
          <w:tcPr>
            <w:tcW w:w="1276" w:type="dxa"/>
            <w:vAlign w:val="center"/>
          </w:tcPr>
          <w:p>
            <w:pPr>
              <w:pStyle w:val="13"/>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差旅费报销合规率</w:t>
            </w:r>
          </w:p>
        </w:tc>
        <w:tc>
          <w:tcPr>
            <w:tcW w:w="5386" w:type="dxa"/>
            <w:vAlign w:val="center"/>
          </w:tcPr>
          <w:p>
            <w:pPr>
              <w:pStyle w:val="13"/>
            </w:pPr>
            <w:r>
              <w:t>支付的差旅费审批流程合规的比例</w:t>
            </w:r>
          </w:p>
        </w:tc>
        <w:tc>
          <w:tcPr>
            <w:tcW w:w="2268" w:type="dxa"/>
            <w:vAlign w:val="center"/>
          </w:tcPr>
          <w:p>
            <w:pPr>
              <w:pStyle w:val="13"/>
            </w:pPr>
            <w:r>
              <w:t>100%</w:t>
            </w:r>
          </w:p>
        </w:tc>
        <w:tc>
          <w:tcPr>
            <w:tcW w:w="1276" w:type="dxa"/>
            <w:vAlign w:val="center"/>
          </w:tcPr>
          <w:p>
            <w:pPr>
              <w:pStyle w:val="13"/>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差旅费报销及时率</w:t>
            </w:r>
          </w:p>
        </w:tc>
        <w:tc>
          <w:tcPr>
            <w:tcW w:w="5386" w:type="dxa"/>
            <w:vAlign w:val="center"/>
          </w:tcPr>
          <w:p>
            <w:pPr>
              <w:pStyle w:val="13"/>
            </w:pPr>
            <w:r>
              <w:t>在公务卡还款时限内完成报销，以免影响公务卡使用</w:t>
            </w:r>
          </w:p>
        </w:tc>
        <w:tc>
          <w:tcPr>
            <w:tcW w:w="2268" w:type="dxa"/>
            <w:vAlign w:val="center"/>
          </w:tcPr>
          <w:p>
            <w:pPr>
              <w:pStyle w:val="13"/>
            </w:pPr>
            <w:r>
              <w:t>≥90%</w:t>
            </w:r>
          </w:p>
        </w:tc>
        <w:tc>
          <w:tcPr>
            <w:tcW w:w="1276" w:type="dxa"/>
            <w:vAlign w:val="center"/>
          </w:tcPr>
          <w:p>
            <w:pPr>
              <w:pStyle w:val="13"/>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办公费成本控制数</w:t>
            </w:r>
          </w:p>
        </w:tc>
        <w:tc>
          <w:tcPr>
            <w:tcW w:w="5386" w:type="dxa"/>
            <w:vAlign w:val="center"/>
          </w:tcPr>
          <w:p>
            <w:pPr>
              <w:pStyle w:val="13"/>
            </w:pPr>
            <w:r>
              <w:t>2026年办公费支出费用</w:t>
            </w:r>
          </w:p>
        </w:tc>
        <w:tc>
          <w:tcPr>
            <w:tcW w:w="2268" w:type="dxa"/>
            <w:vAlign w:val="center"/>
          </w:tcPr>
          <w:p>
            <w:pPr>
              <w:pStyle w:val="13"/>
            </w:pPr>
            <w:r>
              <w:t>≤116955元</w:t>
            </w:r>
          </w:p>
        </w:tc>
        <w:tc>
          <w:tcPr>
            <w:tcW w:w="1276" w:type="dxa"/>
            <w:vAlign w:val="center"/>
          </w:tcPr>
          <w:p>
            <w:pPr>
              <w:pStyle w:val="13"/>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车辆经费成本控制数</w:t>
            </w:r>
          </w:p>
        </w:tc>
        <w:tc>
          <w:tcPr>
            <w:tcW w:w="5386" w:type="dxa"/>
            <w:vAlign w:val="center"/>
          </w:tcPr>
          <w:p>
            <w:pPr>
              <w:pStyle w:val="13"/>
            </w:pPr>
            <w:r>
              <w:t>2026年车辆经费支出费用</w:t>
            </w:r>
          </w:p>
        </w:tc>
        <w:tc>
          <w:tcPr>
            <w:tcW w:w="2268" w:type="dxa"/>
            <w:vAlign w:val="center"/>
          </w:tcPr>
          <w:p>
            <w:pPr>
              <w:pStyle w:val="13"/>
            </w:pPr>
            <w:r>
              <w:t>≤188000元</w:t>
            </w:r>
          </w:p>
        </w:tc>
        <w:tc>
          <w:tcPr>
            <w:tcW w:w="1276" w:type="dxa"/>
            <w:vAlign w:val="center"/>
          </w:tcPr>
          <w:p>
            <w:pPr>
              <w:pStyle w:val="13"/>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其他交通费用（租车）成本控制数</w:t>
            </w:r>
          </w:p>
        </w:tc>
        <w:tc>
          <w:tcPr>
            <w:tcW w:w="5386" w:type="dxa"/>
            <w:vAlign w:val="center"/>
          </w:tcPr>
          <w:p>
            <w:pPr>
              <w:pStyle w:val="13"/>
            </w:pPr>
            <w:r>
              <w:t>2026年纪检办案租车支出费用</w:t>
            </w:r>
          </w:p>
        </w:tc>
        <w:tc>
          <w:tcPr>
            <w:tcW w:w="2268" w:type="dxa"/>
            <w:vAlign w:val="center"/>
          </w:tcPr>
          <w:p>
            <w:pPr>
              <w:pStyle w:val="13"/>
            </w:pPr>
            <w:r>
              <w:t>≤60000元</w:t>
            </w:r>
          </w:p>
        </w:tc>
        <w:tc>
          <w:tcPr>
            <w:tcW w:w="1276" w:type="dxa"/>
            <w:vAlign w:val="center"/>
          </w:tcPr>
          <w:p>
            <w:pPr>
              <w:pStyle w:val="13"/>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维修维护费成本控制数</w:t>
            </w:r>
          </w:p>
        </w:tc>
        <w:tc>
          <w:tcPr>
            <w:tcW w:w="5386" w:type="dxa"/>
            <w:vAlign w:val="center"/>
          </w:tcPr>
          <w:p>
            <w:pPr>
              <w:pStyle w:val="13"/>
            </w:pPr>
            <w:r>
              <w:t>2026年维修维护支出费</w:t>
            </w:r>
          </w:p>
        </w:tc>
        <w:tc>
          <w:tcPr>
            <w:tcW w:w="2268" w:type="dxa"/>
            <w:vAlign w:val="center"/>
          </w:tcPr>
          <w:p>
            <w:pPr>
              <w:pStyle w:val="13"/>
            </w:pPr>
            <w:r>
              <w:t>≤210000元</w:t>
            </w:r>
          </w:p>
        </w:tc>
        <w:tc>
          <w:tcPr>
            <w:tcW w:w="1276" w:type="dxa"/>
            <w:vAlign w:val="center"/>
          </w:tcPr>
          <w:p>
            <w:pPr>
              <w:pStyle w:val="13"/>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培训费</w:t>
            </w:r>
          </w:p>
        </w:tc>
        <w:tc>
          <w:tcPr>
            <w:tcW w:w="5386" w:type="dxa"/>
            <w:vAlign w:val="center"/>
          </w:tcPr>
          <w:p>
            <w:pPr>
              <w:pStyle w:val="13"/>
            </w:pPr>
            <w:r>
              <w:t>2026年纪检监察培训费</w:t>
            </w:r>
          </w:p>
        </w:tc>
        <w:tc>
          <w:tcPr>
            <w:tcW w:w="2268" w:type="dxa"/>
            <w:vAlign w:val="center"/>
          </w:tcPr>
          <w:p>
            <w:pPr>
              <w:pStyle w:val="13"/>
            </w:pPr>
            <w:r>
              <w:t>≤4753元</w:t>
            </w:r>
          </w:p>
        </w:tc>
        <w:tc>
          <w:tcPr>
            <w:tcW w:w="1276" w:type="dxa"/>
            <w:vAlign w:val="center"/>
          </w:tcPr>
          <w:p>
            <w:pPr>
              <w:pStyle w:val="13"/>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会议费</w:t>
            </w:r>
          </w:p>
        </w:tc>
        <w:tc>
          <w:tcPr>
            <w:tcW w:w="5386" w:type="dxa"/>
            <w:vAlign w:val="center"/>
          </w:tcPr>
          <w:p>
            <w:pPr>
              <w:pStyle w:val="13"/>
            </w:pPr>
            <w:r>
              <w:t>2026年会议费</w:t>
            </w:r>
          </w:p>
        </w:tc>
        <w:tc>
          <w:tcPr>
            <w:tcW w:w="2268" w:type="dxa"/>
            <w:vAlign w:val="center"/>
          </w:tcPr>
          <w:p>
            <w:pPr>
              <w:pStyle w:val="13"/>
            </w:pPr>
            <w:r>
              <w:t>≤15010元</w:t>
            </w:r>
          </w:p>
        </w:tc>
        <w:tc>
          <w:tcPr>
            <w:tcW w:w="1276" w:type="dxa"/>
            <w:vAlign w:val="center"/>
          </w:tcPr>
          <w:p>
            <w:pPr>
              <w:pStyle w:val="13"/>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风清气正政治生态提升度</w:t>
            </w:r>
          </w:p>
        </w:tc>
        <w:tc>
          <w:tcPr>
            <w:tcW w:w="5386" w:type="dxa"/>
            <w:vAlign w:val="center"/>
          </w:tcPr>
          <w:p>
            <w:pPr>
              <w:pStyle w:val="13"/>
            </w:pPr>
            <w:r>
              <w:t>通过单位履职尽责，营造的政治生态风清气正的程度</w:t>
            </w:r>
          </w:p>
        </w:tc>
        <w:tc>
          <w:tcPr>
            <w:tcW w:w="2268" w:type="dxa"/>
            <w:vAlign w:val="center"/>
          </w:tcPr>
          <w:p>
            <w:pPr>
              <w:pStyle w:val="13"/>
            </w:pPr>
            <w:r>
              <w:t>≥90%</w:t>
            </w:r>
          </w:p>
        </w:tc>
        <w:tc>
          <w:tcPr>
            <w:tcW w:w="1276" w:type="dxa"/>
            <w:vAlign w:val="center"/>
          </w:tcPr>
          <w:p>
            <w:pPr>
              <w:pStyle w:val="13"/>
            </w:pPr>
            <w:r>
              <w:t>区纪委纪检办案业务费项目实施计划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一线办案人员对于办案经费保障满意率</w:t>
            </w:r>
          </w:p>
        </w:tc>
        <w:tc>
          <w:tcPr>
            <w:tcW w:w="5386" w:type="dxa"/>
            <w:vAlign w:val="center"/>
          </w:tcPr>
          <w:p>
            <w:pPr>
              <w:pStyle w:val="13"/>
            </w:pPr>
            <w:r>
              <w:t>一线办案人员对于日常公用经费保障及时性、准确性等满意程度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3、纪检保障经费绩效目标表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13062526P000049100436</w:t>
            </w:r>
          </w:p>
        </w:tc>
        <w:tc>
          <w:tcPr>
            <w:tcW w:w="2835" w:type="dxa"/>
            <w:vAlign w:val="center"/>
          </w:tcPr>
          <w:p>
            <w:pPr>
              <w:pStyle w:val="11"/>
            </w:pPr>
            <w:r>
              <w:t>项目名称</w:t>
            </w:r>
          </w:p>
        </w:tc>
        <w:tc>
          <w:tcPr>
            <w:tcW w:w="6095" w:type="dxa"/>
            <w:gridSpan w:val="3"/>
            <w:vAlign w:val="center"/>
          </w:tcPr>
          <w:p>
            <w:pPr>
              <w:pStyle w:val="13"/>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36.04</w:t>
            </w:r>
          </w:p>
        </w:tc>
        <w:tc>
          <w:tcPr>
            <w:tcW w:w="2835" w:type="dxa"/>
            <w:vAlign w:val="center"/>
          </w:tcPr>
          <w:p>
            <w:pPr>
              <w:pStyle w:val="11"/>
            </w:pPr>
            <w:r>
              <w:t>其中：财政    资金</w:t>
            </w:r>
          </w:p>
        </w:tc>
        <w:tc>
          <w:tcPr>
            <w:tcW w:w="2551" w:type="dxa"/>
            <w:vAlign w:val="center"/>
          </w:tcPr>
          <w:p>
            <w:pPr>
              <w:pStyle w:val="13"/>
            </w:pPr>
            <w:r>
              <w:t>36.04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保证机关日常办公费、维修维护、保安保洁等劳务费等公用支出， 加强纪检监察机关公用经费保障，保证机关履职尽责。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9.01</w:t>
            </w:r>
          </w:p>
        </w:tc>
        <w:tc>
          <w:tcPr>
            <w:tcW w:w="2835" w:type="dxa"/>
            <w:vAlign w:val="center"/>
          </w:tcPr>
          <w:p>
            <w:pPr>
              <w:pStyle w:val="14"/>
            </w:pPr>
            <w:r>
              <w:t>18.02</w:t>
            </w:r>
          </w:p>
        </w:tc>
        <w:tc>
          <w:tcPr>
            <w:tcW w:w="2551" w:type="dxa"/>
            <w:vAlign w:val="center"/>
          </w:tcPr>
          <w:p>
            <w:pPr>
              <w:pStyle w:val="14"/>
            </w:pPr>
            <w:r>
              <w:t>27.03</w:t>
            </w:r>
          </w:p>
        </w:tc>
        <w:tc>
          <w:tcPr>
            <w:tcW w:w="3544" w:type="dxa"/>
            <w:gridSpan w:val="2"/>
            <w:vAlign w:val="center"/>
          </w:tcPr>
          <w:p>
            <w:pPr>
              <w:pStyle w:val="14"/>
            </w:pPr>
            <w:r>
              <w:t>36.04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1.通过劳务派遣公司聘用两名保洁，保障办公环境良好。发放12个月工资。</w:t>
            </w:r>
          </w:p>
          <w:p>
            <w:pPr>
              <w:pStyle w:val="13"/>
            </w:pPr>
            <w:r>
              <w:t>2.保证机关日常办公费、维修维护、保安保洁等劳务费等公用支出， 加强纪检监察机关公用经费保障，保证机关履职尽责。</w:t>
            </w:r>
          </w:p>
          <w:p>
            <w:pPr>
              <w:pStyle w:val="13"/>
            </w:pPr>
            <w:r>
              <w:t>3.通过劳务派遣公司聘用三名保安，保障办公秩序良好。发放12个月工资。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保安人员数量</w:t>
            </w:r>
          </w:p>
        </w:tc>
        <w:tc>
          <w:tcPr>
            <w:tcW w:w="5386" w:type="dxa"/>
            <w:vAlign w:val="center"/>
          </w:tcPr>
          <w:p>
            <w:pPr>
              <w:pStyle w:val="13"/>
            </w:pPr>
            <w:r>
              <w:t>通过劳务派遣公司聘用的保安数量</w:t>
            </w:r>
          </w:p>
        </w:tc>
        <w:tc>
          <w:tcPr>
            <w:tcW w:w="2268" w:type="dxa"/>
            <w:vAlign w:val="center"/>
          </w:tcPr>
          <w:p>
            <w:pPr>
              <w:pStyle w:val="13"/>
            </w:pPr>
            <w:r>
              <w:t>3人</w:t>
            </w:r>
          </w:p>
        </w:tc>
        <w:tc>
          <w:tcPr>
            <w:tcW w:w="1276" w:type="dxa"/>
            <w:vAlign w:val="center"/>
          </w:tcPr>
          <w:p>
            <w:pPr>
              <w:pStyle w:val="13"/>
            </w:pPr>
            <w:r>
              <w:t>保安服务合同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保洁人员数量</w:t>
            </w:r>
          </w:p>
        </w:tc>
        <w:tc>
          <w:tcPr>
            <w:tcW w:w="5386" w:type="dxa"/>
            <w:vAlign w:val="center"/>
          </w:tcPr>
          <w:p>
            <w:pPr>
              <w:pStyle w:val="13"/>
            </w:pPr>
            <w:r>
              <w:t>通过劳务派遣公司聘用的保洁数量</w:t>
            </w:r>
          </w:p>
        </w:tc>
        <w:tc>
          <w:tcPr>
            <w:tcW w:w="2268" w:type="dxa"/>
            <w:vAlign w:val="center"/>
          </w:tcPr>
          <w:p>
            <w:pPr>
              <w:pStyle w:val="13"/>
            </w:pPr>
            <w:r>
              <w:t>2人</w:t>
            </w:r>
          </w:p>
        </w:tc>
        <w:tc>
          <w:tcPr>
            <w:tcW w:w="1276" w:type="dxa"/>
            <w:vAlign w:val="center"/>
          </w:tcPr>
          <w:p>
            <w:pPr>
              <w:pStyle w:val="13"/>
            </w:pPr>
            <w:r>
              <w:t>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开展培训次数</w:t>
            </w:r>
          </w:p>
        </w:tc>
        <w:tc>
          <w:tcPr>
            <w:tcW w:w="5386" w:type="dxa"/>
            <w:vAlign w:val="center"/>
          </w:tcPr>
          <w:p>
            <w:pPr>
              <w:pStyle w:val="13"/>
            </w:pPr>
            <w:r>
              <w:t>年度内开展的集中培训次数</w:t>
            </w:r>
          </w:p>
        </w:tc>
        <w:tc>
          <w:tcPr>
            <w:tcW w:w="2268" w:type="dxa"/>
            <w:vAlign w:val="center"/>
          </w:tcPr>
          <w:p>
            <w:pPr>
              <w:pStyle w:val="13"/>
            </w:pPr>
            <w:r>
              <w:t>≥48次</w:t>
            </w:r>
          </w:p>
        </w:tc>
        <w:tc>
          <w:tcPr>
            <w:tcW w:w="1276" w:type="dxa"/>
            <w:vAlign w:val="center"/>
          </w:tcPr>
          <w:p>
            <w:pPr>
              <w:pStyle w:val="13"/>
            </w:pPr>
            <w:r>
              <w:t>纪检保障经费（日常定额）项目实施计划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办公场所环境整洁率</w:t>
            </w:r>
          </w:p>
        </w:tc>
        <w:tc>
          <w:tcPr>
            <w:tcW w:w="5386" w:type="dxa"/>
            <w:vAlign w:val="center"/>
          </w:tcPr>
          <w:p>
            <w:pPr>
              <w:pStyle w:val="13"/>
            </w:pPr>
            <w:r>
              <w:t>办公楼、院落等办公场所的整洁程度</w:t>
            </w:r>
          </w:p>
        </w:tc>
        <w:tc>
          <w:tcPr>
            <w:tcW w:w="2268" w:type="dxa"/>
            <w:vAlign w:val="center"/>
          </w:tcPr>
          <w:p>
            <w:pPr>
              <w:pStyle w:val="13"/>
            </w:pPr>
            <w:r>
              <w:t>≥95%</w:t>
            </w:r>
          </w:p>
        </w:tc>
        <w:tc>
          <w:tcPr>
            <w:tcW w:w="1276" w:type="dxa"/>
            <w:vAlign w:val="center"/>
          </w:tcPr>
          <w:p>
            <w:pPr>
              <w:pStyle w:val="13"/>
            </w:pPr>
            <w:r>
              <w:t>纪检保障经费（日常定额）项目实施计划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经费支出及时率</w:t>
            </w:r>
          </w:p>
        </w:tc>
        <w:tc>
          <w:tcPr>
            <w:tcW w:w="5386" w:type="dxa"/>
            <w:vAlign w:val="center"/>
          </w:tcPr>
          <w:p>
            <w:pPr>
              <w:pStyle w:val="13"/>
            </w:pPr>
            <w:r>
              <w:t>按进度支付劳务费的及时程度</w:t>
            </w:r>
          </w:p>
        </w:tc>
        <w:tc>
          <w:tcPr>
            <w:tcW w:w="2268" w:type="dxa"/>
            <w:vAlign w:val="center"/>
          </w:tcPr>
          <w:p>
            <w:pPr>
              <w:pStyle w:val="13"/>
            </w:pPr>
            <w:r>
              <w:t>≥90%</w:t>
            </w:r>
          </w:p>
        </w:tc>
        <w:tc>
          <w:tcPr>
            <w:tcW w:w="1276" w:type="dxa"/>
            <w:vAlign w:val="center"/>
          </w:tcPr>
          <w:p>
            <w:pPr>
              <w:pStyle w:val="13"/>
            </w:pPr>
            <w:r>
              <w:t>纪检保障经费（日常定额）项目实施计划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保洁劳务费月支出标准</w:t>
            </w:r>
          </w:p>
        </w:tc>
        <w:tc>
          <w:tcPr>
            <w:tcW w:w="5386" w:type="dxa"/>
            <w:vAlign w:val="center"/>
          </w:tcPr>
          <w:p>
            <w:pPr>
              <w:pStyle w:val="13"/>
            </w:pPr>
            <w:r>
              <w:t>每月按照合同规定支付的劳务费金额</w:t>
            </w:r>
          </w:p>
        </w:tc>
        <w:tc>
          <w:tcPr>
            <w:tcW w:w="2268" w:type="dxa"/>
            <w:vAlign w:val="center"/>
          </w:tcPr>
          <w:p>
            <w:pPr>
              <w:pStyle w:val="13"/>
            </w:pPr>
            <w:r>
              <w:t>≤6900元/月</w:t>
            </w:r>
          </w:p>
        </w:tc>
        <w:tc>
          <w:tcPr>
            <w:tcW w:w="1276" w:type="dxa"/>
            <w:vAlign w:val="center"/>
          </w:tcPr>
          <w:p>
            <w:pPr>
              <w:pStyle w:val="13"/>
            </w:pPr>
            <w:r>
              <w:t>保洁承包合同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保安劳务费月支出标准</w:t>
            </w:r>
          </w:p>
        </w:tc>
        <w:tc>
          <w:tcPr>
            <w:tcW w:w="5386" w:type="dxa"/>
            <w:vAlign w:val="center"/>
          </w:tcPr>
          <w:p>
            <w:pPr>
              <w:pStyle w:val="13"/>
            </w:pPr>
            <w:r>
              <w:t>每月按照合同规定支付的劳务费金额</w:t>
            </w:r>
          </w:p>
        </w:tc>
        <w:tc>
          <w:tcPr>
            <w:tcW w:w="2268" w:type="dxa"/>
            <w:vAlign w:val="center"/>
          </w:tcPr>
          <w:p>
            <w:pPr>
              <w:pStyle w:val="13"/>
            </w:pPr>
            <w:r>
              <w:t>≤9000元/月</w:t>
            </w:r>
          </w:p>
        </w:tc>
        <w:tc>
          <w:tcPr>
            <w:tcW w:w="1276" w:type="dxa"/>
            <w:vAlign w:val="center"/>
          </w:tcPr>
          <w:p>
            <w:pPr>
              <w:pStyle w:val="13"/>
            </w:pPr>
            <w:r>
              <w:t>保安服务合同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办公费用预算成本控制数</w:t>
            </w:r>
          </w:p>
        </w:tc>
        <w:tc>
          <w:tcPr>
            <w:tcW w:w="5386" w:type="dxa"/>
            <w:vAlign w:val="center"/>
          </w:tcPr>
          <w:p>
            <w:pPr>
              <w:pStyle w:val="13"/>
            </w:pPr>
            <w:r>
              <w:t>反映全年支付的办公费</w:t>
            </w:r>
          </w:p>
        </w:tc>
        <w:tc>
          <w:tcPr>
            <w:tcW w:w="2268" w:type="dxa"/>
            <w:vAlign w:val="center"/>
          </w:tcPr>
          <w:p>
            <w:pPr>
              <w:pStyle w:val="13"/>
            </w:pPr>
            <w:r>
              <w:t>≤169600元</w:t>
            </w:r>
          </w:p>
        </w:tc>
        <w:tc>
          <w:tcPr>
            <w:tcW w:w="1276" w:type="dxa"/>
            <w:vAlign w:val="center"/>
          </w:tcPr>
          <w:p>
            <w:pPr>
              <w:pStyle w:val="13"/>
            </w:pPr>
            <w:r>
              <w:t>纪检保障经费（日常定额）项目实施计划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环境提升度</w:t>
            </w:r>
          </w:p>
        </w:tc>
        <w:tc>
          <w:tcPr>
            <w:tcW w:w="5386" w:type="dxa"/>
            <w:vAlign w:val="center"/>
          </w:tcPr>
          <w:p>
            <w:pPr>
              <w:pStyle w:val="13"/>
            </w:pPr>
            <w:r>
              <w:t>通过对单位环境的提升与维护，提升所在城区环境整洁度的程度</w:t>
            </w:r>
          </w:p>
        </w:tc>
        <w:tc>
          <w:tcPr>
            <w:tcW w:w="2268" w:type="dxa"/>
            <w:vAlign w:val="center"/>
          </w:tcPr>
          <w:p>
            <w:pPr>
              <w:pStyle w:val="13"/>
            </w:pPr>
            <w:r>
              <w:t>≥90%</w:t>
            </w:r>
          </w:p>
        </w:tc>
        <w:tc>
          <w:tcPr>
            <w:tcW w:w="1276" w:type="dxa"/>
            <w:vAlign w:val="center"/>
          </w:tcPr>
          <w:p>
            <w:pPr>
              <w:pStyle w:val="13"/>
            </w:pPr>
            <w:r>
              <w:t>纪检保障经费（日常定额）项目实施计划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机关工作人员对于办公环境满意度</w:t>
            </w:r>
          </w:p>
        </w:tc>
        <w:tc>
          <w:tcPr>
            <w:tcW w:w="5386" w:type="dxa"/>
            <w:vAlign w:val="center"/>
          </w:tcPr>
          <w:p>
            <w:pPr>
              <w:pStyle w:val="13"/>
            </w:pPr>
            <w:r>
              <w:t>一线办案人员对于日常公用经费保障及时性、准确性等满意程度</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4、区纪委监委后勤保障费用绩效目标表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13062526P000024103533</w:t>
            </w:r>
          </w:p>
        </w:tc>
        <w:tc>
          <w:tcPr>
            <w:tcW w:w="2835" w:type="dxa"/>
            <w:vAlign w:val="center"/>
          </w:tcPr>
          <w:p>
            <w:pPr>
              <w:pStyle w:val="11"/>
            </w:pPr>
            <w:r>
              <w:t>项目名称</w:t>
            </w:r>
          </w:p>
        </w:tc>
        <w:tc>
          <w:tcPr>
            <w:tcW w:w="6095" w:type="dxa"/>
            <w:gridSpan w:val="3"/>
            <w:vAlign w:val="center"/>
          </w:tcPr>
          <w:p>
            <w:pPr>
              <w:pStyle w:val="13"/>
            </w:pPr>
            <w:r>
              <w:t>区纪委监委后勤保障费用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提供后勤保障服务，食堂开放率100%。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7.50</w:t>
            </w:r>
          </w:p>
        </w:tc>
        <w:tc>
          <w:tcPr>
            <w:tcW w:w="2835" w:type="dxa"/>
            <w:vAlign w:val="center"/>
          </w:tcPr>
          <w:p>
            <w:pPr>
              <w:pStyle w:val="14"/>
            </w:pPr>
            <w:r>
              <w:t>15.00</w:t>
            </w:r>
          </w:p>
        </w:tc>
        <w:tc>
          <w:tcPr>
            <w:tcW w:w="2551" w:type="dxa"/>
            <w:vAlign w:val="center"/>
          </w:tcPr>
          <w:p>
            <w:pPr>
              <w:pStyle w:val="14"/>
            </w:pPr>
            <w:r>
              <w:t>22.50</w:t>
            </w:r>
          </w:p>
        </w:tc>
        <w:tc>
          <w:tcPr>
            <w:tcW w:w="3544" w:type="dxa"/>
            <w:gridSpan w:val="2"/>
            <w:vAlign w:val="center"/>
          </w:tcPr>
          <w:p>
            <w:pPr>
              <w:pStyle w:val="14"/>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1.保障监督检查、审查调查及上级交办的指定管辖案件等工作的开展，提供后勤保障服务，食堂开放率100%。</w:t>
            </w:r>
          </w:p>
          <w:p>
            <w:pPr>
              <w:pStyle w:val="13"/>
            </w:pPr>
            <w:r>
              <w:t>2.该项目本年度实施，要按月支出，2026年11月底支出完毕。</w:t>
            </w:r>
          </w:p>
          <w:p>
            <w:pPr>
              <w:pStyle w:val="13"/>
            </w:pPr>
            <w:r>
              <w:t>3.深入学习贯彻党的二十大精神，在新征程上坚定不移推进全面从严治党，保障纪检监察工作顺利开展。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聘用厨师人数</w:t>
            </w:r>
          </w:p>
        </w:tc>
        <w:tc>
          <w:tcPr>
            <w:tcW w:w="5386" w:type="dxa"/>
            <w:vAlign w:val="center"/>
          </w:tcPr>
          <w:p>
            <w:pPr>
              <w:pStyle w:val="13"/>
            </w:pPr>
            <w:r>
              <w:t>通过劳务派遣公司聘用的厨师人数</w:t>
            </w:r>
          </w:p>
        </w:tc>
        <w:tc>
          <w:tcPr>
            <w:tcW w:w="2268" w:type="dxa"/>
            <w:vAlign w:val="center"/>
          </w:tcPr>
          <w:p>
            <w:pPr>
              <w:pStyle w:val="13"/>
            </w:pPr>
            <w:r>
              <w:t>2人</w:t>
            </w:r>
          </w:p>
        </w:tc>
        <w:tc>
          <w:tcPr>
            <w:tcW w:w="1276" w:type="dxa"/>
            <w:vAlign w:val="center"/>
          </w:tcPr>
          <w:p>
            <w:pPr>
              <w:pStyle w:val="13"/>
            </w:pPr>
            <w:r>
              <w:t>按照项目实施计划要求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食堂采购食材质量合格率</w:t>
            </w:r>
          </w:p>
        </w:tc>
        <w:tc>
          <w:tcPr>
            <w:tcW w:w="5386" w:type="dxa"/>
            <w:vAlign w:val="center"/>
          </w:tcPr>
          <w:p>
            <w:pPr>
              <w:pStyle w:val="13"/>
            </w:pPr>
            <w:r>
              <w:t>食堂采购的蔬菜、米面等食材合格率</w:t>
            </w:r>
          </w:p>
        </w:tc>
        <w:tc>
          <w:tcPr>
            <w:tcW w:w="2268" w:type="dxa"/>
            <w:vAlign w:val="center"/>
          </w:tcPr>
          <w:p>
            <w:pPr>
              <w:pStyle w:val="13"/>
            </w:pPr>
            <w:r>
              <w:t>100%</w:t>
            </w:r>
          </w:p>
        </w:tc>
        <w:tc>
          <w:tcPr>
            <w:tcW w:w="1276" w:type="dxa"/>
            <w:vAlign w:val="center"/>
          </w:tcPr>
          <w:p>
            <w:pPr>
              <w:pStyle w:val="13"/>
            </w:pPr>
            <w:r>
              <w:t>按照项目实施计划要求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厨师劳务费支付及时率</w:t>
            </w:r>
          </w:p>
        </w:tc>
        <w:tc>
          <w:tcPr>
            <w:tcW w:w="5386" w:type="dxa"/>
            <w:vAlign w:val="center"/>
          </w:tcPr>
          <w:p>
            <w:pPr>
              <w:pStyle w:val="13"/>
            </w:pPr>
            <w:r>
              <w:t>按照合同规定按时支付厨师劳务费的及时程度</w:t>
            </w:r>
          </w:p>
        </w:tc>
        <w:tc>
          <w:tcPr>
            <w:tcW w:w="2268" w:type="dxa"/>
            <w:vAlign w:val="center"/>
          </w:tcPr>
          <w:p>
            <w:pPr>
              <w:pStyle w:val="13"/>
            </w:pPr>
            <w:r>
              <w:t>≥90%</w:t>
            </w:r>
          </w:p>
        </w:tc>
        <w:tc>
          <w:tcPr>
            <w:tcW w:w="1276" w:type="dxa"/>
            <w:vAlign w:val="center"/>
          </w:tcPr>
          <w:p>
            <w:pPr>
              <w:pStyle w:val="13"/>
            </w:pPr>
            <w:r>
              <w:t>按照项目实施计划要求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食堂月支出成本</w:t>
            </w:r>
          </w:p>
        </w:tc>
        <w:tc>
          <w:tcPr>
            <w:tcW w:w="5386" w:type="dxa"/>
            <w:vAlign w:val="center"/>
          </w:tcPr>
          <w:p>
            <w:pPr>
              <w:pStyle w:val="13"/>
            </w:pPr>
            <w:r>
              <w:t>每月食堂平均购买食材等的支出金额</w:t>
            </w:r>
          </w:p>
        </w:tc>
        <w:tc>
          <w:tcPr>
            <w:tcW w:w="2268" w:type="dxa"/>
            <w:vAlign w:val="center"/>
          </w:tcPr>
          <w:p>
            <w:pPr>
              <w:pStyle w:val="13"/>
            </w:pPr>
            <w:r>
              <w:t>2万元</w:t>
            </w:r>
          </w:p>
        </w:tc>
        <w:tc>
          <w:tcPr>
            <w:tcW w:w="1276" w:type="dxa"/>
            <w:vAlign w:val="center"/>
          </w:tcPr>
          <w:p>
            <w:pPr>
              <w:pStyle w:val="13"/>
            </w:pPr>
            <w:r>
              <w:t>按照项目实施计划要求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年度内劳务费支出额</w:t>
            </w:r>
          </w:p>
        </w:tc>
        <w:tc>
          <w:tcPr>
            <w:tcW w:w="5386" w:type="dxa"/>
            <w:vAlign w:val="center"/>
          </w:tcPr>
          <w:p>
            <w:pPr>
              <w:pStyle w:val="13"/>
            </w:pPr>
            <w:r>
              <w:t>每年用于支付厨师劳务费的支出金额</w:t>
            </w:r>
          </w:p>
        </w:tc>
        <w:tc>
          <w:tcPr>
            <w:tcW w:w="2268" w:type="dxa"/>
            <w:vAlign w:val="center"/>
          </w:tcPr>
          <w:p>
            <w:pPr>
              <w:pStyle w:val="13"/>
            </w:pPr>
            <w:r>
              <w:t>6万元</w:t>
            </w:r>
          </w:p>
        </w:tc>
        <w:tc>
          <w:tcPr>
            <w:tcW w:w="1276" w:type="dxa"/>
            <w:vAlign w:val="center"/>
          </w:tcPr>
          <w:p>
            <w:pPr>
              <w:pStyle w:val="13"/>
            </w:pPr>
            <w:r>
              <w:t>按照项目实施计划要求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提升纪检监察干部工作作风</w:t>
            </w:r>
          </w:p>
        </w:tc>
        <w:tc>
          <w:tcPr>
            <w:tcW w:w="5386" w:type="dxa"/>
            <w:vAlign w:val="center"/>
          </w:tcPr>
          <w:p>
            <w:pPr>
              <w:pStyle w:val="13"/>
            </w:pPr>
            <w:r>
              <w:t>提高后勤保障能力，改善纪检干部工作作风</w:t>
            </w:r>
          </w:p>
        </w:tc>
        <w:tc>
          <w:tcPr>
            <w:tcW w:w="2268" w:type="dxa"/>
            <w:vAlign w:val="center"/>
          </w:tcPr>
          <w:p>
            <w:pPr>
              <w:pStyle w:val="13"/>
            </w:pPr>
            <w:r>
              <w:t>≥95%</w:t>
            </w:r>
          </w:p>
        </w:tc>
        <w:tc>
          <w:tcPr>
            <w:tcW w:w="1276" w:type="dxa"/>
            <w:vAlign w:val="center"/>
          </w:tcPr>
          <w:p>
            <w:pPr>
              <w:pStyle w:val="13"/>
            </w:pPr>
            <w:r>
              <w:t>按照项目实施计划要求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办案人员对于办公环境、食堂等后勤事项满意程度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5、提前下达2026年中央纪检监察转移支付资金绩效目标表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13062526P000049100584</w:t>
            </w:r>
          </w:p>
        </w:tc>
        <w:tc>
          <w:tcPr>
            <w:tcW w:w="2835" w:type="dxa"/>
            <w:vAlign w:val="center"/>
          </w:tcPr>
          <w:p>
            <w:pPr>
              <w:pStyle w:val="11"/>
            </w:pPr>
            <w:r>
              <w:t>项目名称</w:t>
            </w:r>
          </w:p>
        </w:tc>
        <w:tc>
          <w:tcPr>
            <w:tcW w:w="6095" w:type="dxa"/>
            <w:gridSpan w:val="3"/>
            <w:vAlign w:val="center"/>
          </w:tcPr>
          <w:p>
            <w:pPr>
              <w:pStyle w:val="13"/>
            </w:pPr>
            <w:r>
              <w:t>提前下达2026年中央纪检监察转移支付资金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10.20</w:t>
            </w:r>
          </w:p>
        </w:tc>
        <w:tc>
          <w:tcPr>
            <w:tcW w:w="2835" w:type="dxa"/>
            <w:vAlign w:val="center"/>
          </w:tcPr>
          <w:p>
            <w:pPr>
              <w:pStyle w:val="11"/>
            </w:pPr>
            <w:r>
              <w:t>其中：财政    资金</w:t>
            </w:r>
          </w:p>
        </w:tc>
        <w:tc>
          <w:tcPr>
            <w:tcW w:w="2551" w:type="dxa"/>
            <w:vAlign w:val="center"/>
          </w:tcPr>
          <w:p>
            <w:pPr>
              <w:pStyle w:val="13"/>
            </w:pPr>
            <w:r>
              <w:t>10.20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支持纪检监察机关开展业务工作，提高基层纪检</w:t>
            </w:r>
            <w:r>
              <w:rPr>
                <w:rFonts w:hint="eastAsia"/>
                <w:lang w:val="en-US" w:eastAsia="zh-CN"/>
              </w:rPr>
              <w:t>监察</w:t>
            </w:r>
            <w:r>
              <w:t>机关办案经费保障水平。</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2.55</w:t>
            </w:r>
          </w:p>
        </w:tc>
        <w:tc>
          <w:tcPr>
            <w:tcW w:w="2835" w:type="dxa"/>
            <w:vAlign w:val="center"/>
          </w:tcPr>
          <w:p>
            <w:pPr>
              <w:pStyle w:val="14"/>
            </w:pPr>
            <w:r>
              <w:t>5.10</w:t>
            </w:r>
          </w:p>
        </w:tc>
        <w:tc>
          <w:tcPr>
            <w:tcW w:w="2551" w:type="dxa"/>
            <w:vAlign w:val="center"/>
          </w:tcPr>
          <w:p>
            <w:pPr>
              <w:pStyle w:val="14"/>
            </w:pPr>
            <w:r>
              <w:t>10.20</w:t>
            </w:r>
          </w:p>
        </w:tc>
        <w:tc>
          <w:tcPr>
            <w:tcW w:w="3544" w:type="dxa"/>
            <w:gridSpan w:val="2"/>
            <w:vAlign w:val="center"/>
          </w:tcPr>
          <w:p>
            <w:pPr>
              <w:pStyle w:val="14"/>
            </w:pPr>
            <w:r>
              <w:t>10.20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1.资金支出坚持厉行节约的原则，压减不必要支出，聚焦重点任务。</w:t>
            </w:r>
            <w:r>
              <w:tab/>
            </w:r>
            <w:r>
              <w:tab/>
            </w:r>
            <w:r>
              <w:tab/>
            </w:r>
          </w:p>
          <w:p>
            <w:pPr>
              <w:pStyle w:val="13"/>
            </w:pPr>
            <w:r>
              <w:t>2.支持纪检监察机关开展业务工作，提高基层纪检</w:t>
            </w:r>
            <w:r>
              <w:rPr>
                <w:rFonts w:hint="eastAsia"/>
                <w:lang w:val="en-US" w:eastAsia="zh-CN"/>
              </w:rPr>
              <w:t>监察</w:t>
            </w:r>
            <w:r>
              <w:t>机关办案经费保障水平。</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审计次数</w:t>
            </w:r>
          </w:p>
        </w:tc>
        <w:tc>
          <w:tcPr>
            <w:tcW w:w="5386" w:type="dxa"/>
            <w:vAlign w:val="center"/>
          </w:tcPr>
          <w:p>
            <w:pPr>
              <w:pStyle w:val="13"/>
            </w:pPr>
            <w:r>
              <w:t>审计次数</w:t>
            </w:r>
          </w:p>
        </w:tc>
        <w:tc>
          <w:tcPr>
            <w:tcW w:w="2268" w:type="dxa"/>
            <w:vAlign w:val="center"/>
          </w:tcPr>
          <w:p>
            <w:pPr>
              <w:pStyle w:val="13"/>
            </w:pPr>
            <w:r>
              <w:t>≥1次</w:t>
            </w:r>
          </w:p>
        </w:tc>
        <w:tc>
          <w:tcPr>
            <w:tcW w:w="1276" w:type="dxa"/>
            <w:vAlign w:val="center"/>
          </w:tcPr>
          <w:p>
            <w:pPr>
              <w:pStyle w:val="13"/>
            </w:pPr>
            <w:r>
              <w:t>根据实际情况制定指标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宣传方案制作质量</w:t>
            </w:r>
          </w:p>
        </w:tc>
        <w:tc>
          <w:tcPr>
            <w:tcW w:w="5386" w:type="dxa"/>
            <w:vAlign w:val="center"/>
          </w:tcPr>
          <w:p>
            <w:pPr>
              <w:pStyle w:val="13"/>
            </w:pPr>
            <w:r>
              <w:t>宣传方案制作质量</w:t>
            </w:r>
          </w:p>
        </w:tc>
        <w:tc>
          <w:tcPr>
            <w:tcW w:w="2268" w:type="dxa"/>
            <w:vAlign w:val="center"/>
          </w:tcPr>
          <w:p>
            <w:pPr>
              <w:pStyle w:val="13"/>
            </w:pPr>
            <w:r>
              <w:t>≥95%</w:t>
            </w:r>
          </w:p>
        </w:tc>
        <w:tc>
          <w:tcPr>
            <w:tcW w:w="1276" w:type="dxa"/>
            <w:vAlign w:val="center"/>
          </w:tcPr>
          <w:p>
            <w:pPr>
              <w:pStyle w:val="13"/>
            </w:pPr>
            <w:r>
              <w:t>根据实际情况制定指标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审计案件办结时限</w:t>
            </w:r>
          </w:p>
        </w:tc>
        <w:tc>
          <w:tcPr>
            <w:tcW w:w="5386" w:type="dxa"/>
            <w:vAlign w:val="center"/>
          </w:tcPr>
          <w:p>
            <w:pPr>
              <w:pStyle w:val="13"/>
            </w:pPr>
            <w:r>
              <w:t>审计案件办结时限</w:t>
            </w:r>
          </w:p>
        </w:tc>
        <w:tc>
          <w:tcPr>
            <w:tcW w:w="2268" w:type="dxa"/>
            <w:vAlign w:val="center"/>
          </w:tcPr>
          <w:p>
            <w:pPr>
              <w:pStyle w:val="13"/>
            </w:pPr>
            <w:r>
              <w:t>2026年10月前</w:t>
            </w:r>
          </w:p>
        </w:tc>
        <w:tc>
          <w:tcPr>
            <w:tcW w:w="1276" w:type="dxa"/>
            <w:vAlign w:val="center"/>
          </w:tcPr>
          <w:p>
            <w:pPr>
              <w:pStyle w:val="13"/>
            </w:pPr>
            <w:r>
              <w:t>根据实际情况制定指标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审计费用</w:t>
            </w:r>
          </w:p>
        </w:tc>
        <w:tc>
          <w:tcPr>
            <w:tcW w:w="5386" w:type="dxa"/>
            <w:vAlign w:val="center"/>
          </w:tcPr>
          <w:p>
            <w:pPr>
              <w:pStyle w:val="13"/>
            </w:pPr>
            <w:r>
              <w:t>审计案件费用</w:t>
            </w:r>
          </w:p>
        </w:tc>
        <w:tc>
          <w:tcPr>
            <w:tcW w:w="2268" w:type="dxa"/>
            <w:vAlign w:val="center"/>
          </w:tcPr>
          <w:p>
            <w:pPr>
              <w:pStyle w:val="13"/>
            </w:pPr>
            <w:r>
              <w:t>≤3万元</w:t>
            </w:r>
          </w:p>
        </w:tc>
        <w:tc>
          <w:tcPr>
            <w:tcW w:w="1276" w:type="dxa"/>
            <w:vAlign w:val="center"/>
          </w:tcPr>
          <w:p>
            <w:pPr>
              <w:pStyle w:val="13"/>
            </w:pPr>
            <w:r>
              <w:t>根据实际情况制定指标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拍摄警示教育片及展板费用</w:t>
            </w:r>
          </w:p>
        </w:tc>
        <w:tc>
          <w:tcPr>
            <w:tcW w:w="5386" w:type="dxa"/>
            <w:vAlign w:val="center"/>
          </w:tcPr>
          <w:p>
            <w:pPr>
              <w:pStyle w:val="13"/>
            </w:pPr>
            <w:r>
              <w:t>拍摄警示教育片及展板费用</w:t>
            </w:r>
          </w:p>
        </w:tc>
        <w:tc>
          <w:tcPr>
            <w:tcW w:w="2268" w:type="dxa"/>
            <w:vAlign w:val="center"/>
          </w:tcPr>
          <w:p>
            <w:pPr>
              <w:pStyle w:val="13"/>
            </w:pPr>
            <w:r>
              <w:t>≤7.2万元</w:t>
            </w:r>
          </w:p>
        </w:tc>
        <w:tc>
          <w:tcPr>
            <w:tcW w:w="1276" w:type="dxa"/>
            <w:vAlign w:val="center"/>
          </w:tcPr>
          <w:p>
            <w:pPr>
              <w:pStyle w:val="13"/>
            </w:pPr>
            <w:r>
              <w:t>根据实际情况制定指标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办案经费保障提升率</w:t>
            </w:r>
          </w:p>
        </w:tc>
        <w:tc>
          <w:tcPr>
            <w:tcW w:w="5386" w:type="dxa"/>
            <w:vAlign w:val="center"/>
          </w:tcPr>
          <w:p>
            <w:pPr>
              <w:pStyle w:val="13"/>
            </w:pPr>
            <w:r>
              <w:t>该项目资金对于办案经费保障率的提升程度</w:t>
            </w:r>
          </w:p>
        </w:tc>
        <w:tc>
          <w:tcPr>
            <w:tcW w:w="2268" w:type="dxa"/>
            <w:vAlign w:val="center"/>
          </w:tcPr>
          <w:p>
            <w:pPr>
              <w:pStyle w:val="13"/>
            </w:pPr>
            <w:r>
              <w:t>≥95%</w:t>
            </w:r>
          </w:p>
        </w:tc>
        <w:tc>
          <w:tcPr>
            <w:tcW w:w="1276" w:type="dxa"/>
            <w:vAlign w:val="center"/>
          </w:tcPr>
          <w:p>
            <w:pPr>
              <w:pStyle w:val="13"/>
            </w:pPr>
            <w:r>
              <w:t>根据实际情况制定指标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6、巡察业务经费绩效目标表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13062526P00004910045D</w:t>
            </w:r>
          </w:p>
        </w:tc>
        <w:tc>
          <w:tcPr>
            <w:tcW w:w="2835" w:type="dxa"/>
            <w:vAlign w:val="center"/>
          </w:tcPr>
          <w:p>
            <w:pPr>
              <w:pStyle w:val="11"/>
            </w:pPr>
            <w:r>
              <w:t>项目名称</w:t>
            </w:r>
          </w:p>
        </w:tc>
        <w:tc>
          <w:tcPr>
            <w:tcW w:w="6095" w:type="dxa"/>
            <w:gridSpan w:val="3"/>
            <w:vAlign w:val="center"/>
          </w:tcPr>
          <w:p>
            <w:pPr>
              <w:pStyle w:val="13"/>
            </w:pPr>
            <w:r>
              <w:t>巡察业务经费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39.60</w:t>
            </w:r>
          </w:p>
        </w:tc>
        <w:tc>
          <w:tcPr>
            <w:tcW w:w="2835" w:type="dxa"/>
            <w:vAlign w:val="center"/>
          </w:tcPr>
          <w:p>
            <w:pPr>
              <w:pStyle w:val="11"/>
            </w:pPr>
            <w:r>
              <w:t>其中：财政    资金</w:t>
            </w:r>
          </w:p>
        </w:tc>
        <w:tc>
          <w:tcPr>
            <w:tcW w:w="2551" w:type="dxa"/>
            <w:vAlign w:val="center"/>
          </w:tcPr>
          <w:p>
            <w:pPr>
              <w:pStyle w:val="13"/>
            </w:pPr>
            <w:r>
              <w:t>39.60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用于保障巡视巡察工作日常办公经费支出，利于巡视巡察工作开展。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39.60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1.为保障巡察工作正常开展，2026年度完成巡察50个单位，做到巡视巡察工作完成率95%以上，巡视巡察工作达标率100%。</w:t>
            </w:r>
          </w:p>
          <w:p>
            <w:pPr>
              <w:pStyle w:val="13"/>
            </w:pPr>
            <w:r>
              <w:t>2.保障巡视巡察工作日常办公经费支出，利于巡视巡察工作开展。</w:t>
            </w:r>
          </w:p>
          <w:p>
            <w:pPr>
              <w:pStyle w:val="13"/>
            </w:pPr>
            <w:r>
              <w:t>3.充分发挥巡视利剑作用，使得经济环境、社会风气、群众满意度得到改善。保障巡视巡察工作日常办公经费支出，利于巡视巡察工作开展。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巡察单位数量</w:t>
            </w:r>
          </w:p>
        </w:tc>
        <w:tc>
          <w:tcPr>
            <w:tcW w:w="5386" w:type="dxa"/>
            <w:vAlign w:val="center"/>
          </w:tcPr>
          <w:p>
            <w:pPr>
              <w:pStyle w:val="13"/>
            </w:pPr>
            <w:r>
              <w:t>2025年度完成巡察的单位的数量</w:t>
            </w:r>
          </w:p>
        </w:tc>
        <w:tc>
          <w:tcPr>
            <w:tcW w:w="2268" w:type="dxa"/>
            <w:vAlign w:val="center"/>
          </w:tcPr>
          <w:p>
            <w:pPr>
              <w:pStyle w:val="13"/>
            </w:pPr>
            <w:r>
              <w:t>≥50个</w:t>
            </w:r>
          </w:p>
        </w:tc>
        <w:tc>
          <w:tcPr>
            <w:tcW w:w="1276" w:type="dxa"/>
            <w:vAlign w:val="center"/>
          </w:tcPr>
          <w:p>
            <w:pPr>
              <w:pStyle w:val="13"/>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车辆经费支出金额</w:t>
            </w:r>
          </w:p>
        </w:tc>
        <w:tc>
          <w:tcPr>
            <w:tcW w:w="5386" w:type="dxa"/>
            <w:vAlign w:val="center"/>
          </w:tcPr>
          <w:p>
            <w:pPr>
              <w:pStyle w:val="13"/>
            </w:pPr>
            <w:r>
              <w:t>公车运行维护经费不超过标准限额</w:t>
            </w:r>
          </w:p>
        </w:tc>
        <w:tc>
          <w:tcPr>
            <w:tcW w:w="2268" w:type="dxa"/>
            <w:vAlign w:val="center"/>
          </w:tcPr>
          <w:p>
            <w:pPr>
              <w:pStyle w:val="13"/>
            </w:pPr>
            <w:r>
              <w:t>≤23500元</w:t>
            </w:r>
          </w:p>
        </w:tc>
        <w:tc>
          <w:tcPr>
            <w:tcW w:w="1276" w:type="dxa"/>
            <w:vAlign w:val="center"/>
          </w:tcPr>
          <w:p>
            <w:pPr>
              <w:pStyle w:val="13"/>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问题整改完成率</w:t>
            </w:r>
          </w:p>
        </w:tc>
        <w:tc>
          <w:tcPr>
            <w:tcW w:w="5386" w:type="dxa"/>
            <w:vAlign w:val="center"/>
          </w:tcPr>
          <w:p>
            <w:pPr>
              <w:pStyle w:val="13"/>
            </w:pPr>
            <w:r>
              <w:t>年度内巡视发现问题的整改完成比例</w:t>
            </w:r>
          </w:p>
        </w:tc>
        <w:tc>
          <w:tcPr>
            <w:tcW w:w="2268" w:type="dxa"/>
            <w:vAlign w:val="center"/>
          </w:tcPr>
          <w:p>
            <w:pPr>
              <w:pStyle w:val="13"/>
            </w:pPr>
            <w:r>
              <w:t>≥90%</w:t>
            </w:r>
          </w:p>
        </w:tc>
        <w:tc>
          <w:tcPr>
            <w:tcW w:w="1276" w:type="dxa"/>
            <w:vAlign w:val="center"/>
          </w:tcPr>
          <w:p>
            <w:pPr>
              <w:pStyle w:val="13"/>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差旅费报销及时率</w:t>
            </w:r>
          </w:p>
        </w:tc>
        <w:tc>
          <w:tcPr>
            <w:tcW w:w="5386" w:type="dxa"/>
            <w:vAlign w:val="center"/>
          </w:tcPr>
          <w:p>
            <w:pPr>
              <w:pStyle w:val="13"/>
            </w:pPr>
            <w:r>
              <w:t>在公务卡还款时限内完成报销，以免影响公务卡使用</w:t>
            </w:r>
          </w:p>
        </w:tc>
        <w:tc>
          <w:tcPr>
            <w:tcW w:w="2268" w:type="dxa"/>
            <w:vAlign w:val="center"/>
          </w:tcPr>
          <w:p>
            <w:pPr>
              <w:pStyle w:val="13"/>
            </w:pPr>
            <w:r>
              <w:t>≥80%</w:t>
            </w:r>
          </w:p>
        </w:tc>
        <w:tc>
          <w:tcPr>
            <w:tcW w:w="1276" w:type="dxa"/>
            <w:vAlign w:val="center"/>
          </w:tcPr>
          <w:p>
            <w:pPr>
              <w:pStyle w:val="13"/>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年度设备采购额</w:t>
            </w:r>
          </w:p>
        </w:tc>
        <w:tc>
          <w:tcPr>
            <w:tcW w:w="5386" w:type="dxa"/>
            <w:vAlign w:val="center"/>
          </w:tcPr>
          <w:p>
            <w:pPr>
              <w:pStyle w:val="13"/>
            </w:pPr>
            <w:r>
              <w:t>2025年度用于更新电脑、打印机等办公设备的支出金额</w:t>
            </w:r>
          </w:p>
        </w:tc>
        <w:tc>
          <w:tcPr>
            <w:tcW w:w="2268" w:type="dxa"/>
            <w:vAlign w:val="center"/>
          </w:tcPr>
          <w:p>
            <w:pPr>
              <w:pStyle w:val="13"/>
            </w:pPr>
            <w:r>
              <w:t>≤30000元</w:t>
            </w:r>
          </w:p>
        </w:tc>
        <w:tc>
          <w:tcPr>
            <w:tcW w:w="1276" w:type="dxa"/>
            <w:vAlign w:val="center"/>
          </w:tcPr>
          <w:p>
            <w:pPr>
              <w:pStyle w:val="13"/>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差旅费成本控制数</w:t>
            </w:r>
          </w:p>
        </w:tc>
        <w:tc>
          <w:tcPr>
            <w:tcW w:w="5386" w:type="dxa"/>
            <w:vAlign w:val="center"/>
          </w:tcPr>
          <w:p>
            <w:pPr>
              <w:pStyle w:val="13"/>
            </w:pPr>
            <w:r>
              <w:t>2025年差旅费支出金额</w:t>
            </w:r>
          </w:p>
        </w:tc>
        <w:tc>
          <w:tcPr>
            <w:tcW w:w="2268" w:type="dxa"/>
            <w:vAlign w:val="center"/>
          </w:tcPr>
          <w:p>
            <w:pPr>
              <w:pStyle w:val="13"/>
            </w:pPr>
            <w:r>
              <w:t>≤50000元</w:t>
            </w:r>
          </w:p>
        </w:tc>
        <w:tc>
          <w:tcPr>
            <w:tcW w:w="1276" w:type="dxa"/>
            <w:vAlign w:val="center"/>
          </w:tcPr>
          <w:p>
            <w:pPr>
              <w:pStyle w:val="13"/>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巡察租车费用成本控制数</w:t>
            </w:r>
          </w:p>
        </w:tc>
        <w:tc>
          <w:tcPr>
            <w:tcW w:w="5386" w:type="dxa"/>
            <w:vAlign w:val="center"/>
          </w:tcPr>
          <w:p>
            <w:pPr>
              <w:pStyle w:val="13"/>
            </w:pPr>
            <w:r>
              <w:t>2025年巡察租车费用支出金额</w:t>
            </w:r>
          </w:p>
        </w:tc>
        <w:tc>
          <w:tcPr>
            <w:tcW w:w="2268" w:type="dxa"/>
            <w:vAlign w:val="center"/>
          </w:tcPr>
          <w:p>
            <w:pPr>
              <w:pStyle w:val="13"/>
            </w:pPr>
            <w:r>
              <w:t>≤120000元</w:t>
            </w:r>
          </w:p>
        </w:tc>
        <w:tc>
          <w:tcPr>
            <w:tcW w:w="1276" w:type="dxa"/>
            <w:vAlign w:val="center"/>
          </w:tcPr>
          <w:p>
            <w:pPr>
              <w:pStyle w:val="13"/>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巡察办公费用预成本控制数</w:t>
            </w:r>
          </w:p>
        </w:tc>
        <w:tc>
          <w:tcPr>
            <w:tcW w:w="5386" w:type="dxa"/>
            <w:vAlign w:val="center"/>
          </w:tcPr>
          <w:p>
            <w:pPr>
              <w:pStyle w:val="13"/>
            </w:pPr>
            <w:r>
              <w:t>2025年巡察办公费用支出金额</w:t>
            </w:r>
          </w:p>
        </w:tc>
        <w:tc>
          <w:tcPr>
            <w:tcW w:w="2268" w:type="dxa"/>
            <w:vAlign w:val="center"/>
          </w:tcPr>
          <w:p>
            <w:pPr>
              <w:pStyle w:val="13"/>
            </w:pPr>
            <w:r>
              <w:t>≤172500元</w:t>
            </w:r>
          </w:p>
        </w:tc>
        <w:tc>
          <w:tcPr>
            <w:tcW w:w="1276" w:type="dxa"/>
            <w:vAlign w:val="center"/>
          </w:tcPr>
          <w:p>
            <w:pPr>
              <w:pStyle w:val="13"/>
            </w:pPr>
            <w:r>
              <w:t>巡察业务经费项目实施计划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通过加巡察工作，督促各单位进一步落实主体责任的能力</w:t>
            </w:r>
          </w:p>
        </w:tc>
        <w:tc>
          <w:tcPr>
            <w:tcW w:w="2268" w:type="dxa"/>
            <w:vAlign w:val="center"/>
          </w:tcPr>
          <w:p>
            <w:pPr>
              <w:pStyle w:val="13"/>
            </w:pPr>
            <w:r>
              <w:t>≥90%</w:t>
            </w:r>
          </w:p>
        </w:tc>
        <w:tc>
          <w:tcPr>
            <w:tcW w:w="1276" w:type="dxa"/>
            <w:vAlign w:val="center"/>
          </w:tcPr>
          <w:p>
            <w:pPr>
              <w:pStyle w:val="13"/>
            </w:pPr>
            <w:r>
              <w:t>依据《关于市县建立巡察制度的实施意见》的通知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一线巡视巡察人员对于经费保障及时性、全面性等方面的满意度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5" w:name="_Toc_3_3_0000000017"/>
      <w:r>
        <w:rPr>
          <w:rFonts w:ascii="黑体" w:hAnsi="黑体" w:eastAsia="黑体" w:cs="黑体"/>
          <w:color w:val="000000"/>
          <w:sz w:val="32"/>
        </w:rPr>
        <w:t>八、政府采购预算情况</w:t>
      </w:r>
      <w:bookmarkEnd w:id="15"/>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58.36</w:t>
            </w:r>
          </w:p>
        </w:tc>
        <w:tc>
          <w:tcPr>
            <w:tcW w:w="964" w:type="dxa"/>
            <w:vAlign w:val="center"/>
          </w:tcPr>
          <w:p>
            <w:pPr>
              <w:pStyle w:val="16"/>
            </w:pPr>
            <w:r>
              <w:t>58.36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中国共产党保定市徐水区纪律检查委员会本级小计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58.36</w:t>
            </w:r>
          </w:p>
        </w:tc>
        <w:tc>
          <w:tcPr>
            <w:tcW w:w="964" w:type="dxa"/>
            <w:vAlign w:val="center"/>
          </w:tcPr>
          <w:p>
            <w:pPr>
              <w:pStyle w:val="16"/>
            </w:pPr>
            <w:r>
              <w:t>58.36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纪检办案业务费</w:t>
            </w:r>
          </w:p>
        </w:tc>
        <w:tc>
          <w:tcPr>
            <w:tcW w:w="964" w:type="dxa"/>
            <w:vAlign w:val="center"/>
          </w:tcPr>
          <w:p>
            <w:pPr>
              <w:pStyle w:val="12"/>
            </w:pPr>
            <w:r>
              <w:t>67.47</w:t>
            </w:r>
          </w:p>
        </w:tc>
        <w:tc>
          <w:tcPr>
            <w:tcW w:w="1134" w:type="dxa"/>
            <w:vAlign w:val="center"/>
          </w:tcPr>
          <w:p>
            <w:pPr>
              <w:pStyle w:val="13"/>
            </w:pPr>
            <w:r>
              <w:t>汽油</w:t>
            </w:r>
          </w:p>
        </w:tc>
        <w:tc>
          <w:tcPr>
            <w:tcW w:w="1134" w:type="dxa"/>
            <w:vAlign w:val="center"/>
          </w:tcPr>
          <w:p>
            <w:pPr>
              <w:pStyle w:val="13"/>
            </w:pPr>
            <w:r>
              <w:t>A07070101</w:t>
            </w:r>
          </w:p>
        </w:tc>
        <w:tc>
          <w:tcPr>
            <w:tcW w:w="709" w:type="dxa"/>
            <w:vAlign w:val="center"/>
          </w:tcPr>
          <w:p>
            <w:pPr>
              <w:pStyle w:val="14"/>
            </w:pPr>
            <w:r>
              <w:t>升</w:t>
            </w:r>
          </w:p>
        </w:tc>
        <w:tc>
          <w:tcPr>
            <w:tcW w:w="850" w:type="dxa"/>
            <w:vAlign w:val="center"/>
          </w:tcPr>
          <w:p>
            <w:pPr>
              <w:pStyle w:val="12"/>
            </w:pPr>
            <w:r>
              <w:t>37600</w:t>
            </w:r>
          </w:p>
        </w:tc>
        <w:tc>
          <w:tcPr>
            <w:tcW w:w="850" w:type="dxa"/>
            <w:vAlign w:val="center"/>
          </w:tcPr>
          <w:p>
            <w:pPr>
              <w:pStyle w:val="12"/>
            </w:pPr>
            <w:r>
              <w:t>0.00</w:t>
            </w:r>
          </w:p>
        </w:tc>
        <w:tc>
          <w:tcPr>
            <w:tcW w:w="964" w:type="dxa"/>
            <w:vAlign w:val="center"/>
          </w:tcPr>
          <w:p>
            <w:pPr>
              <w:pStyle w:val="12"/>
            </w:pPr>
            <w:r>
              <w:t>18.80</w:t>
            </w:r>
          </w:p>
        </w:tc>
        <w:tc>
          <w:tcPr>
            <w:tcW w:w="964" w:type="dxa"/>
            <w:vAlign w:val="center"/>
          </w:tcPr>
          <w:p>
            <w:pPr>
              <w:pStyle w:val="12"/>
            </w:pPr>
            <w:r>
              <w:t>18.80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纪检保障经费</w:t>
            </w:r>
          </w:p>
        </w:tc>
        <w:tc>
          <w:tcPr>
            <w:tcW w:w="964" w:type="dxa"/>
            <w:vAlign w:val="center"/>
          </w:tcPr>
          <w:p>
            <w:pPr>
              <w:pStyle w:val="12"/>
            </w:pPr>
            <w:r>
              <w:t>36.04</w:t>
            </w:r>
          </w:p>
        </w:tc>
        <w:tc>
          <w:tcPr>
            <w:tcW w:w="1134" w:type="dxa"/>
            <w:vAlign w:val="center"/>
          </w:tcPr>
          <w:p>
            <w:pPr>
              <w:pStyle w:val="13"/>
            </w:pPr>
            <w:r>
              <w:t>纸及纸板</w:t>
            </w:r>
          </w:p>
        </w:tc>
        <w:tc>
          <w:tcPr>
            <w:tcW w:w="1134" w:type="dxa"/>
            <w:vAlign w:val="center"/>
          </w:tcPr>
          <w:p>
            <w:pPr>
              <w:pStyle w:val="13"/>
            </w:pPr>
            <w:r>
              <w:t>A07100200</w:t>
            </w:r>
          </w:p>
        </w:tc>
        <w:tc>
          <w:tcPr>
            <w:tcW w:w="709" w:type="dxa"/>
            <w:vAlign w:val="center"/>
          </w:tcPr>
          <w:p>
            <w:pPr>
              <w:pStyle w:val="14"/>
            </w:pPr>
            <w:r>
              <w:t>包</w:t>
            </w:r>
          </w:p>
        </w:tc>
        <w:tc>
          <w:tcPr>
            <w:tcW w:w="850" w:type="dxa"/>
            <w:vAlign w:val="center"/>
          </w:tcPr>
          <w:p>
            <w:pPr>
              <w:pStyle w:val="12"/>
            </w:pPr>
            <w:r>
              <w:t>6784</w:t>
            </w:r>
          </w:p>
        </w:tc>
        <w:tc>
          <w:tcPr>
            <w:tcW w:w="850" w:type="dxa"/>
            <w:vAlign w:val="center"/>
          </w:tcPr>
          <w:p>
            <w:pPr>
              <w:pStyle w:val="12"/>
            </w:pPr>
            <w:r>
              <w:t>0.00</w:t>
            </w:r>
          </w:p>
        </w:tc>
        <w:tc>
          <w:tcPr>
            <w:tcW w:w="964" w:type="dxa"/>
            <w:vAlign w:val="center"/>
          </w:tcPr>
          <w:p>
            <w:pPr>
              <w:pStyle w:val="12"/>
            </w:pPr>
            <w:r>
              <w:t>16.96</w:t>
            </w:r>
          </w:p>
        </w:tc>
        <w:tc>
          <w:tcPr>
            <w:tcW w:w="964" w:type="dxa"/>
            <w:vAlign w:val="center"/>
          </w:tcPr>
          <w:p>
            <w:pPr>
              <w:pStyle w:val="12"/>
            </w:pPr>
            <w:r>
              <w:t>16.96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巡察业务经费</w:t>
            </w:r>
          </w:p>
        </w:tc>
        <w:tc>
          <w:tcPr>
            <w:tcW w:w="964" w:type="dxa"/>
            <w:vAlign w:val="center"/>
          </w:tcPr>
          <w:p>
            <w:pPr>
              <w:pStyle w:val="12"/>
            </w:pPr>
            <w:r>
              <w:t>39.60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7</w:t>
            </w:r>
          </w:p>
        </w:tc>
        <w:tc>
          <w:tcPr>
            <w:tcW w:w="850" w:type="dxa"/>
            <w:vAlign w:val="center"/>
          </w:tcPr>
          <w:p>
            <w:pPr>
              <w:pStyle w:val="12"/>
            </w:pPr>
            <w:r>
              <w:t>0.40</w:t>
            </w:r>
          </w:p>
        </w:tc>
        <w:tc>
          <w:tcPr>
            <w:tcW w:w="964" w:type="dxa"/>
            <w:vAlign w:val="center"/>
          </w:tcPr>
          <w:p>
            <w:pPr>
              <w:pStyle w:val="12"/>
            </w:pPr>
            <w:r>
              <w:t>2.80</w:t>
            </w:r>
          </w:p>
        </w:tc>
        <w:tc>
          <w:tcPr>
            <w:tcW w:w="964" w:type="dxa"/>
            <w:vAlign w:val="center"/>
          </w:tcPr>
          <w:p>
            <w:pPr>
              <w:pStyle w:val="12"/>
            </w:pPr>
            <w:r>
              <w:t>2.80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巡察业务经费</w:t>
            </w:r>
          </w:p>
        </w:tc>
        <w:tc>
          <w:tcPr>
            <w:tcW w:w="964" w:type="dxa"/>
            <w:vAlign w:val="center"/>
          </w:tcPr>
          <w:p>
            <w:pPr>
              <w:pStyle w:val="12"/>
            </w:pPr>
            <w:r>
              <w:t>39.60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巡察业务经费</w:t>
            </w:r>
          </w:p>
        </w:tc>
        <w:tc>
          <w:tcPr>
            <w:tcW w:w="964" w:type="dxa"/>
            <w:vAlign w:val="center"/>
          </w:tcPr>
          <w:p>
            <w:pPr>
              <w:pStyle w:val="12"/>
            </w:pPr>
            <w:r>
              <w:t>39.60</w:t>
            </w:r>
          </w:p>
        </w:tc>
        <w:tc>
          <w:tcPr>
            <w:tcW w:w="1134" w:type="dxa"/>
            <w:vAlign w:val="center"/>
          </w:tcPr>
          <w:p>
            <w:pPr>
              <w:pStyle w:val="13"/>
            </w:pPr>
            <w:r>
              <w:t>汽油</w:t>
            </w:r>
          </w:p>
        </w:tc>
        <w:tc>
          <w:tcPr>
            <w:tcW w:w="1134" w:type="dxa"/>
            <w:vAlign w:val="center"/>
          </w:tcPr>
          <w:p>
            <w:pPr>
              <w:pStyle w:val="13"/>
            </w:pPr>
            <w:r>
              <w:t>A07070101</w:t>
            </w:r>
          </w:p>
        </w:tc>
        <w:tc>
          <w:tcPr>
            <w:tcW w:w="709" w:type="dxa"/>
            <w:vAlign w:val="center"/>
          </w:tcPr>
          <w:p>
            <w:pPr>
              <w:pStyle w:val="14"/>
            </w:pPr>
            <w:r>
              <w:t>升</w:t>
            </w:r>
          </w:p>
        </w:tc>
        <w:tc>
          <w:tcPr>
            <w:tcW w:w="850" w:type="dxa"/>
            <w:vAlign w:val="center"/>
          </w:tcPr>
          <w:p>
            <w:pPr>
              <w:pStyle w:val="12"/>
            </w:pPr>
            <w:r>
              <w:t>4700</w:t>
            </w:r>
          </w:p>
        </w:tc>
        <w:tc>
          <w:tcPr>
            <w:tcW w:w="850" w:type="dxa"/>
            <w:vAlign w:val="center"/>
          </w:tcPr>
          <w:p>
            <w:pPr>
              <w:pStyle w:val="12"/>
            </w:pPr>
            <w:r>
              <w:t>0.00</w:t>
            </w:r>
          </w:p>
        </w:tc>
        <w:tc>
          <w:tcPr>
            <w:tcW w:w="964" w:type="dxa"/>
            <w:vAlign w:val="center"/>
          </w:tcPr>
          <w:p>
            <w:pPr>
              <w:pStyle w:val="12"/>
            </w:pPr>
            <w:r>
              <w:t>2.35</w:t>
            </w:r>
          </w:p>
        </w:tc>
        <w:tc>
          <w:tcPr>
            <w:tcW w:w="964" w:type="dxa"/>
            <w:vAlign w:val="center"/>
          </w:tcPr>
          <w:p>
            <w:pPr>
              <w:pStyle w:val="12"/>
            </w:pPr>
            <w:r>
              <w:t>2.35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巡察业务经费</w:t>
            </w:r>
          </w:p>
        </w:tc>
        <w:tc>
          <w:tcPr>
            <w:tcW w:w="964" w:type="dxa"/>
            <w:vAlign w:val="center"/>
          </w:tcPr>
          <w:p>
            <w:pPr>
              <w:pStyle w:val="12"/>
            </w:pPr>
            <w:r>
              <w:t>39.60</w:t>
            </w:r>
          </w:p>
        </w:tc>
        <w:tc>
          <w:tcPr>
            <w:tcW w:w="1134" w:type="dxa"/>
            <w:vAlign w:val="center"/>
          </w:tcPr>
          <w:p>
            <w:pPr>
              <w:pStyle w:val="13"/>
            </w:pPr>
            <w:r>
              <w:t>纸及纸板</w:t>
            </w:r>
          </w:p>
        </w:tc>
        <w:tc>
          <w:tcPr>
            <w:tcW w:w="1134" w:type="dxa"/>
            <w:vAlign w:val="center"/>
          </w:tcPr>
          <w:p>
            <w:pPr>
              <w:pStyle w:val="13"/>
            </w:pPr>
            <w:r>
              <w:t>A07100200</w:t>
            </w:r>
          </w:p>
        </w:tc>
        <w:tc>
          <w:tcPr>
            <w:tcW w:w="709" w:type="dxa"/>
            <w:vAlign w:val="center"/>
          </w:tcPr>
          <w:p>
            <w:pPr>
              <w:pStyle w:val="14"/>
            </w:pPr>
            <w:r>
              <w:t>包</w:t>
            </w:r>
          </w:p>
        </w:tc>
        <w:tc>
          <w:tcPr>
            <w:tcW w:w="850" w:type="dxa"/>
            <w:vAlign w:val="center"/>
          </w:tcPr>
          <w:p>
            <w:pPr>
              <w:pStyle w:val="12"/>
            </w:pPr>
            <w:r>
              <w:t>6900</w:t>
            </w:r>
          </w:p>
        </w:tc>
        <w:tc>
          <w:tcPr>
            <w:tcW w:w="850" w:type="dxa"/>
            <w:vAlign w:val="center"/>
          </w:tcPr>
          <w:p>
            <w:pPr>
              <w:pStyle w:val="12"/>
            </w:pPr>
            <w:r>
              <w:t>0.00</w:t>
            </w:r>
          </w:p>
        </w:tc>
        <w:tc>
          <w:tcPr>
            <w:tcW w:w="964" w:type="dxa"/>
            <w:vAlign w:val="center"/>
          </w:tcPr>
          <w:p>
            <w:pPr>
              <w:pStyle w:val="12"/>
            </w:pPr>
            <w:r>
              <w:t>17.25</w:t>
            </w:r>
          </w:p>
        </w:tc>
        <w:tc>
          <w:tcPr>
            <w:tcW w:w="964" w:type="dxa"/>
            <w:vAlign w:val="center"/>
          </w:tcPr>
          <w:p>
            <w:pPr>
              <w:pStyle w:val="12"/>
            </w:pPr>
            <w:r>
              <w:t>17.25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17.25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8"/>
      <w:r>
        <w:rPr>
          <w:rFonts w:ascii="黑体" w:hAnsi="黑体" w:eastAsia="黑体" w:cs="黑体"/>
          <w:color w:val="000000"/>
          <w:sz w:val="32"/>
        </w:rPr>
        <w:t>九、国有资产信息</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中国共产党保定市徐水区纪律检查委员会（含所属单位）上年末固定资产金额为1426.53万元（详见下表）。本年度拟购置固定资产总额为8.00万元，已按要求列入政府采购预算，详见政府采购预算表。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1426.53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100</w:t>
            </w:r>
          </w:p>
        </w:tc>
        <w:tc>
          <w:tcPr>
            <w:tcW w:w="2835" w:type="dxa"/>
            <w:vAlign w:val="center"/>
          </w:tcPr>
          <w:p>
            <w:pPr>
              <w:pStyle w:val="12"/>
            </w:pPr>
            <w:r>
              <w:t>19.68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50</w:t>
            </w:r>
          </w:p>
        </w:tc>
        <w:tc>
          <w:tcPr>
            <w:tcW w:w="2835" w:type="dxa"/>
            <w:vAlign w:val="center"/>
          </w:tcPr>
          <w:p>
            <w:pPr>
              <w:pStyle w:val="12"/>
            </w:pPr>
            <w:r>
              <w:t>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11</w:t>
            </w:r>
          </w:p>
        </w:tc>
        <w:tc>
          <w:tcPr>
            <w:tcW w:w="2835" w:type="dxa"/>
            <w:vAlign w:val="center"/>
          </w:tcPr>
          <w:p>
            <w:pPr>
              <w:pStyle w:val="12"/>
            </w:pPr>
            <w:r>
              <w:t>149.00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1</w:t>
            </w:r>
          </w:p>
        </w:tc>
        <w:tc>
          <w:tcPr>
            <w:tcW w:w="2835" w:type="dxa"/>
            <w:vAlign w:val="center"/>
          </w:tcPr>
          <w:p>
            <w:pPr>
              <w:pStyle w:val="12"/>
            </w:pPr>
            <w:r>
              <w:t>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2122</w:t>
            </w:r>
          </w:p>
        </w:tc>
        <w:tc>
          <w:tcPr>
            <w:tcW w:w="2835" w:type="dxa"/>
            <w:vAlign w:val="center"/>
          </w:tcPr>
          <w:p>
            <w:pPr>
              <w:pStyle w:val="12"/>
            </w:pPr>
            <w:r>
              <w:t>1233.48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9"/>
      <w:r>
        <w:rPr>
          <w:rFonts w:ascii="黑体" w:hAnsi="黑体" w:eastAsia="黑体" w:cs="黑体"/>
          <w:color w:val="000000"/>
          <w:sz w:val="32"/>
        </w:rPr>
        <w:t>十、名词解释</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8" w:name="_Toc_3_3_0000000020"/>
      <w:r>
        <w:rPr>
          <w:rFonts w:ascii="黑体" w:hAnsi="黑体" w:eastAsia="黑体" w:cs="黑体"/>
          <w:color w:val="000000"/>
          <w:sz w:val="32"/>
        </w:rPr>
        <w:t>十一、其他需要说明的事项</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E6574"/>
    <w:multiLevelType w:val="singleLevel"/>
    <w:tmpl w:val="D9AE657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2165427"/>
    <w:rsid w:val="03517954"/>
    <w:rsid w:val="060F6717"/>
    <w:rsid w:val="065017EA"/>
    <w:rsid w:val="0CE54588"/>
    <w:rsid w:val="0D3D23E7"/>
    <w:rsid w:val="0D495CA0"/>
    <w:rsid w:val="125F59D2"/>
    <w:rsid w:val="13DA2E76"/>
    <w:rsid w:val="1A46016A"/>
    <w:rsid w:val="1B283173"/>
    <w:rsid w:val="1C217431"/>
    <w:rsid w:val="1E8D03D3"/>
    <w:rsid w:val="1FE563EF"/>
    <w:rsid w:val="20BF6140"/>
    <w:rsid w:val="2666656E"/>
    <w:rsid w:val="2C457E2C"/>
    <w:rsid w:val="2FDC1A2D"/>
    <w:rsid w:val="32F25E10"/>
    <w:rsid w:val="346D6C7C"/>
    <w:rsid w:val="39DE699E"/>
    <w:rsid w:val="3A232B94"/>
    <w:rsid w:val="3C013DAF"/>
    <w:rsid w:val="42C54114"/>
    <w:rsid w:val="4770198B"/>
    <w:rsid w:val="49EE5F9B"/>
    <w:rsid w:val="49F74E11"/>
    <w:rsid w:val="52832130"/>
    <w:rsid w:val="53677A87"/>
    <w:rsid w:val="554D5309"/>
    <w:rsid w:val="568A6BC9"/>
    <w:rsid w:val="580E2C29"/>
    <w:rsid w:val="5F3A528D"/>
    <w:rsid w:val="5F661A6D"/>
    <w:rsid w:val="63A8665F"/>
    <w:rsid w:val="64EA4B95"/>
    <w:rsid w:val="65897FF7"/>
    <w:rsid w:val="65A94FA3"/>
    <w:rsid w:val="66AD4E9E"/>
    <w:rsid w:val="6CD00900"/>
    <w:rsid w:val="6FE92082"/>
    <w:rsid w:val="71E659FC"/>
    <w:rsid w:val="72B22B7E"/>
    <w:rsid w:val="7555310C"/>
    <w:rsid w:val="778E378D"/>
    <w:rsid w:val="77C2481F"/>
    <w:rsid w:val="7DF9369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TotalTime>0</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2026-03-02T18:43:00Z</dcterms:created>
  <dc:creator>Administrator</dc:creator>
  <cp:lastModifiedBy>Administrator</cp:lastModifiedBy>
  <cp:lastPrinted>2026-03-03T07:42:00Z</cp:lastPrinted>
  <dcterms:modified xsi:type="dcterms:W3CDTF">2026-03-05T06:56:09Z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