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val="en-US" w:eastAsia="zh-CN"/>
        </w:rPr>
        <w:t>单位</w:t>
      </w:r>
      <w:r>
        <w:rPr>
          <w:rFonts w:ascii="黑体" w:hAnsi="黑体" w:eastAsia="黑体" w:cs="黑体"/>
          <w:b/>
          <w:color w:val="000000"/>
          <w:sz w:val="44"/>
        </w:rPr>
        <w:t>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val="en-US"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val="en-US" w:eastAsia="zh-CN"/>
        </w:rPr>
        <w:t>单位</w:t>
      </w:r>
      <w:r>
        <w:t>预算支出总表</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14562"/>
        </w:tabs>
      </w:pPr>
      <w:r>
        <w:fldChar w:fldCharType="begin"/>
      </w:r>
      <w:r>
        <w:instrText xml:space="preserve">HYPERLINK \l _Toc_2_2_0000000004</w:instrText>
      </w:r>
      <w:r>
        <w:fldChar w:fldCharType="separate"/>
      </w:r>
      <w:r>
        <w:rPr>
          <w:rFonts w:hint="eastAsia"/>
          <w:lang w:val="en-US" w:eastAsia="zh-CN"/>
        </w:rPr>
        <w:t>单位</w:t>
      </w:r>
      <w:r>
        <w:t>预算财政拨款收支总表</w:t>
      </w:r>
      <w:r>
        <w:tab/>
      </w:r>
      <w:r>
        <w:rPr>
          <w:rFonts w:hint="default"/>
          <w:lang w:val="en-US"/>
        </w:rPr>
        <w:t>7</w:t>
      </w:r>
      <w:r>
        <w:fldChar w:fldCharType="end"/>
      </w:r>
    </w:p>
    <w:p>
      <w:pPr>
        <w:pStyle w:val="2"/>
        <w:tabs>
          <w:tab w:val="right" w:leader="dot" w:pos="14562"/>
        </w:tabs>
        <w:rPr>
          <w:rFonts w:hint="default"/>
          <w:lang w:val="en-US"/>
        </w:rPr>
      </w:pPr>
      <w:r>
        <w:fldChar w:fldCharType="begin"/>
      </w:r>
      <w:r>
        <w:instrText xml:space="preserve">HYPERLINK \l _Toc_2_2_0000000005</w:instrText>
      </w:r>
      <w:r>
        <w:fldChar w:fldCharType="separate"/>
      </w:r>
      <w:r>
        <w:rPr>
          <w:rFonts w:hint="eastAsia"/>
          <w:lang w:val="en-US" w:eastAsia="zh-CN"/>
        </w:rPr>
        <w:t>单位</w:t>
      </w:r>
      <w:r>
        <w:t>预算一般公共预算财政拨款支出表</w:t>
      </w:r>
      <w:r>
        <w:tab/>
      </w:r>
      <w:r>
        <w:rPr>
          <w:rFonts w:hint="default"/>
          <w:lang w:val="en-US"/>
        </w:rPr>
        <w:t>1</w:t>
      </w:r>
      <w:r>
        <w:fldChar w:fldCharType="end"/>
      </w:r>
      <w:r>
        <w:rPr>
          <w:rFonts w:hint="default"/>
          <w:lang w:val="en-US"/>
        </w:rPr>
        <w:t>0</w:t>
      </w:r>
    </w:p>
    <w:p>
      <w:pPr>
        <w:pStyle w:val="2"/>
        <w:tabs>
          <w:tab w:val="right" w:leader="dot" w:pos="14562"/>
        </w:tabs>
      </w:pPr>
      <w:r>
        <w:fldChar w:fldCharType="begin"/>
      </w:r>
      <w:r>
        <w:instrText xml:space="preserve">HYPERLINK \l _Toc_2_2_0000000006</w:instrText>
      </w:r>
      <w:r>
        <w:fldChar w:fldCharType="separate"/>
      </w:r>
      <w:r>
        <w:rPr>
          <w:rFonts w:hint="eastAsia"/>
          <w:lang w:val="en-US" w:eastAsia="zh-CN"/>
        </w:rPr>
        <w:t>单位</w:t>
      </w:r>
      <w:r>
        <w:t>预算一般公共预算财政拨款基本支出表</w:t>
      </w:r>
      <w:r>
        <w:tab/>
      </w:r>
      <w:r>
        <w:fldChar w:fldCharType="begin"/>
      </w:r>
      <w:r>
        <w:instrText xml:space="preserve">PAGEREF _Toc_2_2_0000000006 \h</w:instrText>
      </w:r>
      <w:r>
        <w:fldChar w:fldCharType="separate"/>
      </w:r>
      <w:r>
        <w:t>1</w:t>
      </w:r>
      <w:r>
        <w:rPr>
          <w:rFonts w:hint="default"/>
          <w:lang w:val="en-US"/>
        </w:rPr>
        <w:t>1</w:t>
      </w:r>
      <w:r>
        <w:fldChar w:fldCharType="end"/>
      </w:r>
      <w:r>
        <w:fldChar w:fldCharType="end"/>
      </w:r>
    </w:p>
    <w:p>
      <w:pPr>
        <w:pStyle w:val="2"/>
        <w:tabs>
          <w:tab w:val="right" w:leader="dot" w:pos="14562"/>
        </w:tabs>
      </w:pPr>
      <w:r>
        <w:fldChar w:fldCharType="begin"/>
      </w:r>
      <w:r>
        <w:instrText xml:space="preserve">HYPERLINK \l _Toc_2_2_0000000007</w:instrText>
      </w:r>
      <w:r>
        <w:fldChar w:fldCharType="separate"/>
      </w:r>
      <w:r>
        <w:rPr>
          <w:rFonts w:hint="eastAsia"/>
          <w:lang w:val="en-US" w:eastAsia="zh-CN"/>
        </w:rPr>
        <w:t>单位</w:t>
      </w:r>
      <w:r>
        <w:t>预算政府性基金预算财政拨款支出表</w:t>
      </w:r>
      <w:r>
        <w:tab/>
      </w:r>
      <w:r>
        <w:fldChar w:fldCharType="begin"/>
      </w:r>
      <w:r>
        <w:instrText xml:space="preserve">PAGEREF _Toc_2_2_0000000007 \h</w:instrText>
      </w:r>
      <w:r>
        <w:fldChar w:fldCharType="separate"/>
      </w:r>
      <w:r>
        <w:t>1</w:t>
      </w:r>
      <w:r>
        <w:rPr>
          <w:rFonts w:hint="default"/>
          <w:lang w:val="en-US"/>
        </w:rPr>
        <w:t>3</w:t>
      </w:r>
      <w:r>
        <w:fldChar w:fldCharType="end"/>
      </w:r>
      <w:r>
        <w:fldChar w:fldCharType="end"/>
      </w:r>
    </w:p>
    <w:p>
      <w:pPr>
        <w:pStyle w:val="2"/>
        <w:tabs>
          <w:tab w:val="right" w:leader="dot" w:pos="14562"/>
        </w:tabs>
      </w:pPr>
      <w:r>
        <w:fldChar w:fldCharType="begin"/>
      </w:r>
      <w:r>
        <w:instrText xml:space="preserve">HYPERLINK \l _Toc_2_2_0000000008</w:instrText>
      </w:r>
      <w:r>
        <w:fldChar w:fldCharType="separate"/>
      </w:r>
      <w:r>
        <w:rPr>
          <w:rFonts w:hint="eastAsia"/>
          <w:lang w:val="en-US" w:eastAsia="zh-CN"/>
        </w:rPr>
        <w:t>单位</w:t>
      </w:r>
      <w:r>
        <w:t>预算国有资本经营预算财政拨款支出表</w:t>
      </w:r>
      <w:r>
        <w:tab/>
      </w:r>
      <w:r>
        <w:fldChar w:fldCharType="begin"/>
      </w:r>
      <w:r>
        <w:instrText xml:space="preserve">PAGEREF _Toc_2_2_0000000008 \h</w:instrText>
      </w:r>
      <w:r>
        <w:fldChar w:fldCharType="separate"/>
      </w:r>
      <w:r>
        <w:t>1</w:t>
      </w:r>
      <w:r>
        <w:rPr>
          <w:rFonts w:hint="default"/>
          <w:lang w:val="en-US"/>
        </w:rPr>
        <w:t>4</w:t>
      </w:r>
      <w:r>
        <w:fldChar w:fldCharType="end"/>
      </w:r>
      <w:r>
        <w:fldChar w:fldCharType="end"/>
      </w:r>
    </w:p>
    <w:p>
      <w:pPr>
        <w:pStyle w:val="2"/>
        <w:tabs>
          <w:tab w:val="right" w:leader="dot" w:pos="14562"/>
        </w:tabs>
        <w:rPr>
          <w:rFonts w:hint="default"/>
          <w:lang w:val="en-US"/>
        </w:rPr>
      </w:pPr>
      <w:r>
        <w:fldChar w:fldCharType="begin"/>
      </w:r>
      <w:r>
        <w:instrText xml:space="preserve">HYPERLINK \l _Toc_2_2_0000000009</w:instrText>
      </w:r>
      <w:r>
        <w:fldChar w:fldCharType="separate"/>
      </w:r>
      <w:r>
        <w:rPr>
          <w:rFonts w:hint="eastAsia"/>
          <w:lang w:val="en-US" w:eastAsia="zh-CN"/>
        </w:rPr>
        <w:t>单位</w:t>
      </w:r>
      <w:r>
        <w:t>预算财政拨款“三公”经费支出表</w:t>
      </w:r>
      <w:r>
        <w:tab/>
      </w:r>
      <w:r>
        <w:rPr>
          <w:rFonts w:hint="default"/>
          <w:lang w:val="en-US"/>
        </w:rPr>
        <w:t>1</w:t>
      </w:r>
      <w:r>
        <w:fldChar w:fldCharType="end"/>
      </w:r>
      <w:r>
        <w:rPr>
          <w:rFonts w:hint="default"/>
          <w:lang w:val="en-US"/>
        </w:rPr>
        <w:t>5</w:t>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val="en-US" w:eastAsia="zh-CN"/>
        </w:rPr>
        <w:t>单位</w:t>
      </w:r>
      <w:r>
        <w:t>职责及机构设置情况</w:t>
      </w:r>
      <w:r>
        <w:tab/>
      </w:r>
      <w:r>
        <w:rPr>
          <w:rFonts w:hint="default"/>
          <w:lang w:val="en-US"/>
        </w:rPr>
        <w:t>1</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HYPERLINK \l _Toc_3_3_0000000011</w:instrText>
      </w:r>
      <w:r>
        <w:fldChar w:fldCharType="separate"/>
      </w:r>
      <w:r>
        <w:t>二、</w:t>
      </w:r>
      <w:r>
        <w:rPr>
          <w:rFonts w:hint="eastAsia"/>
          <w:lang w:val="en-US" w:eastAsia="zh-CN"/>
        </w:rPr>
        <w:t>单位</w:t>
      </w:r>
      <w:r>
        <w:t>预算安排的总体情况</w:t>
      </w:r>
      <w:r>
        <w:tab/>
      </w:r>
      <w:r>
        <w:rPr>
          <w:rFonts w:hint="default"/>
          <w:lang w:val="en-US"/>
        </w:rPr>
        <w:t>1</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HYPERLINK \l _Toc_3_3_0000000012</w:instrText>
      </w:r>
      <w:r>
        <w:fldChar w:fldCharType="separate"/>
      </w:r>
      <w:r>
        <w:t>三、机关运行经费安排情况</w:t>
      </w:r>
      <w:r>
        <w:tab/>
      </w:r>
      <w:r>
        <w:rPr>
          <w:rFonts w:hint="default"/>
          <w:lang w:val="en-US"/>
        </w:rPr>
        <w:t>1</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HYPERLINK \l _Toc_3_3_0000000013</w:instrText>
      </w:r>
      <w:r>
        <w:fldChar w:fldCharType="separate"/>
      </w:r>
      <w:r>
        <w:t>四、财政拨款“三公”经费预算情况及增减变化原因</w:t>
      </w:r>
      <w:r>
        <w:tab/>
      </w:r>
      <w:r>
        <w:rPr>
          <w:rFonts w:hint="default"/>
          <w:lang w:val="en-US"/>
        </w:rPr>
        <w:t>1</w:t>
      </w:r>
      <w:r>
        <w:fldChar w:fldCharType="end"/>
      </w:r>
      <w:r>
        <w:rPr>
          <w:rFonts w:hint="default"/>
          <w:lang w:val="en-US"/>
        </w:rPr>
        <w:t>8</w:t>
      </w:r>
    </w:p>
    <w:p>
      <w:pPr>
        <w:pStyle w:val="2"/>
        <w:tabs>
          <w:tab w:val="right" w:leader="dot" w:pos="14562"/>
        </w:tabs>
        <w:rPr>
          <w:rFonts w:hint="eastAsia" w:eastAsia="方正仿宋_GBK"/>
          <w:lang w:val="en-US" w:eastAsia="zh-CN"/>
        </w:rPr>
      </w:pPr>
      <w:r>
        <w:fldChar w:fldCharType="begin"/>
      </w:r>
      <w:r>
        <w:instrText xml:space="preserve">HYPERLINK \l _Toc_3_3_0000000014</w:instrText>
      </w:r>
      <w:r>
        <w:fldChar w:fldCharType="separate"/>
      </w:r>
      <w:r>
        <w:t>五、</w:t>
      </w:r>
      <w:r>
        <w:rPr>
          <w:rFonts w:hint="eastAsia"/>
          <w:lang w:val="en-US" w:eastAsia="zh-CN"/>
        </w:rPr>
        <w:t>单位</w:t>
      </w:r>
      <w:r>
        <w:t>整体绩效目标</w:t>
      </w:r>
      <w:r>
        <w:tab/>
      </w:r>
      <w:r>
        <w:rPr>
          <w:rFonts w:hint="default"/>
          <w:lang w:val="en-US"/>
        </w:rPr>
        <w:t>1</w:t>
      </w:r>
      <w:r>
        <w:fldChar w:fldCharType="end"/>
      </w:r>
      <w:r>
        <w:rPr>
          <w:rFonts w:hint="eastAsia"/>
          <w:lang w:val="en-US" w:eastAsia="zh-CN"/>
        </w:rPr>
        <w:t>8</w:t>
      </w:r>
      <w:bookmarkStart w:id="0" w:name="_GoBack"/>
      <w:bookmarkEnd w:id="0"/>
    </w:p>
    <w:p>
      <w:pPr>
        <w:pStyle w:val="2"/>
        <w:tabs>
          <w:tab w:val="right" w:leader="dot" w:pos="14562"/>
        </w:tabs>
        <w:rPr>
          <w:rFonts w:hint="default"/>
          <w:lang w:val="en-US"/>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default"/>
          <w:lang w:val="en-US"/>
        </w:rPr>
        <w:t>2</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default"/>
          <w:lang w:val="en-US"/>
        </w:rPr>
        <w:t>2</w:t>
      </w:r>
      <w:r>
        <w:fldChar w:fldCharType="end"/>
      </w:r>
      <w:r>
        <w:rPr>
          <w:rFonts w:hint="default"/>
          <w:lang w:val="en-US"/>
        </w:rPr>
        <w:t>7</w:t>
      </w:r>
    </w:p>
    <w:p>
      <w:pPr>
        <w:pStyle w:val="2"/>
        <w:tabs>
          <w:tab w:val="right" w:leader="dot" w:pos="14562"/>
        </w:tabs>
        <w:rPr>
          <w:rFonts w:hint="default"/>
          <w:lang w:val="en-US"/>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default"/>
          <w:lang w:val="en-US"/>
        </w:rPr>
        <w:t>2</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default"/>
          <w:lang w:val="en-US"/>
        </w:rPr>
        <w:t>2</w:t>
      </w:r>
      <w:r>
        <w:fldChar w:fldCharType="end"/>
      </w:r>
      <w:r>
        <w:rPr>
          <w:rFonts w:hint="default"/>
          <w:lang w:val="en-US"/>
        </w:rPr>
        <w:t>9</w:t>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rPr>
          <w:rFonts w:ascii="方正小标宋_GBK" w:hAnsi="方正小标宋_GBK" w:eastAsia="方正小标宋_GBK" w:cs="方正小标宋_GBK"/>
          <w:color w:val="000000"/>
          <w:sz w:val="36"/>
        </w:r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190.89</w:t>
            </w:r>
          </w:p>
        </w:tc>
        <w:tc>
          <w:tcPr>
            <w:tcW w:w="4535" w:type="dxa"/>
            <w:vAlign w:val="center"/>
          </w:tcPr>
          <w:p>
            <w:pPr>
              <w:pStyle w:val="12"/>
            </w:pPr>
            <w:r>
              <w:t>一、一般公共服务支出</w:t>
            </w:r>
          </w:p>
        </w:tc>
        <w:tc>
          <w:tcPr>
            <w:tcW w:w="2126" w:type="dxa"/>
            <w:vAlign w:val="center"/>
          </w:tcPr>
          <w:p>
            <w:pPr>
              <w:pStyle w:val="11"/>
            </w:pPr>
            <w:r>
              <w:t>117.79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61.74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3.34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190.89</w:t>
            </w:r>
          </w:p>
        </w:tc>
        <w:tc>
          <w:tcPr>
            <w:tcW w:w="4535" w:type="dxa"/>
            <w:vAlign w:val="center"/>
          </w:tcPr>
          <w:p>
            <w:pPr>
              <w:pStyle w:val="14"/>
            </w:pPr>
            <w:r>
              <w:t>本年支出合计</w:t>
            </w:r>
          </w:p>
        </w:tc>
        <w:tc>
          <w:tcPr>
            <w:tcW w:w="2126" w:type="dxa"/>
            <w:vAlign w:val="center"/>
          </w:tcPr>
          <w:p>
            <w:pPr>
              <w:pStyle w:val="15"/>
            </w:pPr>
            <w:r>
              <w:t>190.89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190.89</w:t>
            </w:r>
          </w:p>
        </w:tc>
        <w:tc>
          <w:tcPr>
            <w:tcW w:w="4535" w:type="dxa"/>
            <w:vAlign w:val="center"/>
          </w:tcPr>
          <w:p>
            <w:pPr>
              <w:pStyle w:val="14"/>
            </w:pPr>
            <w:r>
              <w:t>支出总计</w:t>
            </w:r>
          </w:p>
        </w:tc>
        <w:tc>
          <w:tcPr>
            <w:tcW w:w="2126" w:type="dxa"/>
            <w:vAlign w:val="center"/>
          </w:tcPr>
          <w:p>
            <w:pPr>
              <w:pStyle w:val="15"/>
            </w:pPr>
            <w:r>
              <w:t>190.89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190.89</w:t>
            </w:r>
          </w:p>
        </w:tc>
        <w:tc>
          <w:tcPr>
            <w:tcW w:w="1134" w:type="dxa"/>
            <w:vAlign w:val="center"/>
          </w:tcPr>
          <w:p>
            <w:pPr>
              <w:pStyle w:val="15"/>
            </w:pPr>
            <w:r>
              <w:t>190.89</w:t>
            </w:r>
          </w:p>
        </w:tc>
        <w:tc>
          <w:tcPr>
            <w:tcW w:w="1134" w:type="dxa"/>
            <w:vAlign w:val="center"/>
          </w:tcPr>
          <w:p>
            <w:pPr>
              <w:pStyle w:val="15"/>
            </w:pPr>
            <w:r>
              <w:t>190.89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117.79</w:t>
            </w:r>
          </w:p>
        </w:tc>
        <w:tc>
          <w:tcPr>
            <w:tcW w:w="1134" w:type="dxa"/>
            <w:vAlign w:val="center"/>
          </w:tcPr>
          <w:p>
            <w:pPr>
              <w:pStyle w:val="11"/>
            </w:pPr>
            <w:r>
              <w:t>117.79</w:t>
            </w:r>
          </w:p>
        </w:tc>
        <w:tc>
          <w:tcPr>
            <w:tcW w:w="1134" w:type="dxa"/>
            <w:vAlign w:val="center"/>
          </w:tcPr>
          <w:p>
            <w:pPr>
              <w:pStyle w:val="11"/>
            </w:pPr>
            <w:r>
              <w:t>117.79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117.79</w:t>
            </w:r>
          </w:p>
        </w:tc>
        <w:tc>
          <w:tcPr>
            <w:tcW w:w="1134" w:type="dxa"/>
            <w:vAlign w:val="center"/>
          </w:tcPr>
          <w:p>
            <w:pPr>
              <w:pStyle w:val="11"/>
            </w:pPr>
            <w:r>
              <w:t>117.79</w:t>
            </w:r>
          </w:p>
        </w:tc>
        <w:tc>
          <w:tcPr>
            <w:tcW w:w="1134" w:type="dxa"/>
            <w:vAlign w:val="center"/>
          </w:tcPr>
          <w:p>
            <w:pPr>
              <w:pStyle w:val="11"/>
            </w:pPr>
            <w:r>
              <w:t>117.79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2012901</w:t>
            </w:r>
          </w:p>
        </w:tc>
        <w:tc>
          <w:tcPr>
            <w:tcW w:w="1559" w:type="dxa"/>
            <w:vAlign w:val="center"/>
          </w:tcPr>
          <w:p>
            <w:pPr>
              <w:pStyle w:val="12"/>
            </w:pPr>
            <w:r>
              <w:t>行政运行</w:t>
            </w:r>
          </w:p>
        </w:tc>
        <w:tc>
          <w:tcPr>
            <w:tcW w:w="1134" w:type="dxa"/>
            <w:vAlign w:val="center"/>
          </w:tcPr>
          <w:p>
            <w:pPr>
              <w:pStyle w:val="11"/>
            </w:pPr>
            <w:r>
              <w:t>94.99</w:t>
            </w:r>
          </w:p>
        </w:tc>
        <w:tc>
          <w:tcPr>
            <w:tcW w:w="1134" w:type="dxa"/>
            <w:vAlign w:val="center"/>
          </w:tcPr>
          <w:p>
            <w:pPr>
              <w:pStyle w:val="11"/>
            </w:pPr>
            <w:r>
              <w:t>94.99</w:t>
            </w:r>
          </w:p>
        </w:tc>
        <w:tc>
          <w:tcPr>
            <w:tcW w:w="1134" w:type="dxa"/>
            <w:vAlign w:val="center"/>
          </w:tcPr>
          <w:p>
            <w:pPr>
              <w:pStyle w:val="11"/>
            </w:pPr>
            <w:r>
              <w:t>94.99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r>
              <w:t>14.30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2012999</w:t>
            </w:r>
          </w:p>
        </w:tc>
        <w:tc>
          <w:tcPr>
            <w:tcW w:w="1559" w:type="dxa"/>
            <w:vAlign w:val="center"/>
          </w:tcPr>
          <w:p>
            <w:pPr>
              <w:pStyle w:val="12"/>
            </w:pPr>
            <w:r>
              <w:t>其他群众团体事务支出</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r>
              <w:t>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61.74</w:t>
            </w:r>
          </w:p>
        </w:tc>
        <w:tc>
          <w:tcPr>
            <w:tcW w:w="1134" w:type="dxa"/>
            <w:vAlign w:val="center"/>
          </w:tcPr>
          <w:p>
            <w:pPr>
              <w:pStyle w:val="11"/>
            </w:pPr>
            <w:r>
              <w:t>61.74</w:t>
            </w:r>
          </w:p>
        </w:tc>
        <w:tc>
          <w:tcPr>
            <w:tcW w:w="1134" w:type="dxa"/>
            <w:vAlign w:val="center"/>
          </w:tcPr>
          <w:p>
            <w:pPr>
              <w:pStyle w:val="11"/>
            </w:pPr>
            <w:r>
              <w:t>61.74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61.74</w:t>
            </w:r>
          </w:p>
        </w:tc>
        <w:tc>
          <w:tcPr>
            <w:tcW w:w="1134" w:type="dxa"/>
            <w:vAlign w:val="center"/>
          </w:tcPr>
          <w:p>
            <w:pPr>
              <w:pStyle w:val="11"/>
            </w:pPr>
            <w:r>
              <w:t>61.74</w:t>
            </w:r>
          </w:p>
        </w:tc>
        <w:tc>
          <w:tcPr>
            <w:tcW w:w="1134" w:type="dxa"/>
            <w:vAlign w:val="center"/>
          </w:tcPr>
          <w:p>
            <w:pPr>
              <w:pStyle w:val="11"/>
            </w:pPr>
            <w:r>
              <w:t>61.74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51.90</w:t>
            </w:r>
          </w:p>
        </w:tc>
        <w:tc>
          <w:tcPr>
            <w:tcW w:w="1134" w:type="dxa"/>
            <w:vAlign w:val="center"/>
          </w:tcPr>
          <w:p>
            <w:pPr>
              <w:pStyle w:val="11"/>
            </w:pPr>
            <w:r>
              <w:t>51.90</w:t>
            </w:r>
          </w:p>
        </w:tc>
        <w:tc>
          <w:tcPr>
            <w:tcW w:w="1134" w:type="dxa"/>
            <w:vAlign w:val="center"/>
          </w:tcPr>
          <w:p>
            <w:pPr>
              <w:pStyle w:val="11"/>
            </w:pPr>
            <w:r>
              <w:t>51.90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r>
              <w:t>9.84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3.34</w:t>
            </w:r>
          </w:p>
        </w:tc>
        <w:tc>
          <w:tcPr>
            <w:tcW w:w="1134" w:type="dxa"/>
            <w:vAlign w:val="center"/>
          </w:tcPr>
          <w:p>
            <w:pPr>
              <w:pStyle w:val="11"/>
            </w:pPr>
            <w:r>
              <w:t>3.34</w:t>
            </w:r>
          </w:p>
        </w:tc>
        <w:tc>
          <w:tcPr>
            <w:tcW w:w="1134" w:type="dxa"/>
            <w:vAlign w:val="center"/>
          </w:tcPr>
          <w:p>
            <w:pPr>
              <w:pStyle w:val="11"/>
            </w:pPr>
            <w:r>
              <w:t>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3.34</w:t>
            </w:r>
          </w:p>
        </w:tc>
        <w:tc>
          <w:tcPr>
            <w:tcW w:w="1134" w:type="dxa"/>
            <w:vAlign w:val="center"/>
          </w:tcPr>
          <w:p>
            <w:pPr>
              <w:pStyle w:val="11"/>
            </w:pPr>
            <w:r>
              <w:t>3.34</w:t>
            </w:r>
          </w:p>
        </w:tc>
        <w:tc>
          <w:tcPr>
            <w:tcW w:w="1134" w:type="dxa"/>
            <w:vAlign w:val="center"/>
          </w:tcPr>
          <w:p>
            <w:pPr>
              <w:pStyle w:val="11"/>
            </w:pPr>
            <w:r>
              <w:t>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3.34</w:t>
            </w:r>
          </w:p>
        </w:tc>
        <w:tc>
          <w:tcPr>
            <w:tcW w:w="1134" w:type="dxa"/>
            <w:vAlign w:val="center"/>
          </w:tcPr>
          <w:p>
            <w:pPr>
              <w:pStyle w:val="11"/>
            </w:pPr>
            <w:r>
              <w:t>3.34</w:t>
            </w:r>
          </w:p>
        </w:tc>
        <w:tc>
          <w:tcPr>
            <w:tcW w:w="1134" w:type="dxa"/>
            <w:vAlign w:val="center"/>
          </w:tcPr>
          <w:p>
            <w:pPr>
              <w:pStyle w:val="11"/>
            </w:pPr>
            <w:r>
              <w:t>3.34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8.02</w:t>
            </w:r>
          </w:p>
        </w:tc>
        <w:tc>
          <w:tcPr>
            <w:tcW w:w="1134" w:type="dxa"/>
            <w:vAlign w:val="center"/>
          </w:tcPr>
          <w:p>
            <w:pPr>
              <w:pStyle w:val="11"/>
            </w:pPr>
            <w:r>
              <w:t>8.02</w:t>
            </w:r>
          </w:p>
        </w:tc>
        <w:tc>
          <w:tcPr>
            <w:tcW w:w="1134" w:type="dxa"/>
            <w:vAlign w:val="center"/>
          </w:tcPr>
          <w:p>
            <w:pPr>
              <w:pStyle w:val="11"/>
            </w:pPr>
            <w:r>
              <w:t>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8.02</w:t>
            </w:r>
          </w:p>
        </w:tc>
        <w:tc>
          <w:tcPr>
            <w:tcW w:w="1134" w:type="dxa"/>
            <w:vAlign w:val="center"/>
          </w:tcPr>
          <w:p>
            <w:pPr>
              <w:pStyle w:val="11"/>
            </w:pPr>
            <w:r>
              <w:t>8.02</w:t>
            </w:r>
          </w:p>
        </w:tc>
        <w:tc>
          <w:tcPr>
            <w:tcW w:w="1134" w:type="dxa"/>
            <w:vAlign w:val="center"/>
          </w:tcPr>
          <w:p>
            <w:pPr>
              <w:pStyle w:val="11"/>
            </w:pPr>
            <w:r>
              <w:t>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8.02</w:t>
            </w:r>
          </w:p>
        </w:tc>
        <w:tc>
          <w:tcPr>
            <w:tcW w:w="1134" w:type="dxa"/>
            <w:vAlign w:val="center"/>
          </w:tcPr>
          <w:p>
            <w:pPr>
              <w:pStyle w:val="11"/>
            </w:pPr>
            <w:r>
              <w:t>8.02</w:t>
            </w:r>
          </w:p>
        </w:tc>
        <w:tc>
          <w:tcPr>
            <w:tcW w:w="1134" w:type="dxa"/>
            <w:vAlign w:val="center"/>
          </w:tcPr>
          <w:p>
            <w:pPr>
              <w:pStyle w:val="11"/>
            </w:pPr>
            <w:r>
              <w:t>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190.89</w:t>
            </w:r>
          </w:p>
        </w:tc>
        <w:tc>
          <w:tcPr>
            <w:tcW w:w="1361" w:type="dxa"/>
            <w:vAlign w:val="center"/>
          </w:tcPr>
          <w:p>
            <w:pPr>
              <w:pStyle w:val="15"/>
            </w:pPr>
            <w:r>
              <w:t>168.09</w:t>
            </w:r>
          </w:p>
        </w:tc>
        <w:tc>
          <w:tcPr>
            <w:tcW w:w="1361" w:type="dxa"/>
            <w:vAlign w:val="center"/>
          </w:tcPr>
          <w:p>
            <w:pPr>
              <w:pStyle w:val="15"/>
            </w:pPr>
            <w:r>
              <w:t>22.80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117.79</w:t>
            </w:r>
          </w:p>
        </w:tc>
        <w:tc>
          <w:tcPr>
            <w:tcW w:w="1361" w:type="dxa"/>
            <w:vAlign w:val="center"/>
          </w:tcPr>
          <w:p>
            <w:pPr>
              <w:pStyle w:val="11"/>
            </w:pPr>
            <w:r>
              <w:t>94.99</w:t>
            </w:r>
          </w:p>
        </w:tc>
        <w:tc>
          <w:tcPr>
            <w:tcW w:w="1361" w:type="dxa"/>
            <w:vAlign w:val="center"/>
          </w:tcPr>
          <w:p>
            <w:pPr>
              <w:pStyle w:val="11"/>
            </w:pPr>
            <w:r>
              <w:t>22.80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117.79</w:t>
            </w:r>
          </w:p>
        </w:tc>
        <w:tc>
          <w:tcPr>
            <w:tcW w:w="1361" w:type="dxa"/>
            <w:vAlign w:val="center"/>
          </w:tcPr>
          <w:p>
            <w:pPr>
              <w:pStyle w:val="11"/>
            </w:pPr>
            <w:r>
              <w:t>94.99</w:t>
            </w:r>
          </w:p>
        </w:tc>
        <w:tc>
          <w:tcPr>
            <w:tcW w:w="1361" w:type="dxa"/>
            <w:vAlign w:val="center"/>
          </w:tcPr>
          <w:p>
            <w:pPr>
              <w:pStyle w:val="11"/>
            </w:pPr>
            <w:r>
              <w:t>22.80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2012901</w:t>
            </w:r>
          </w:p>
        </w:tc>
        <w:tc>
          <w:tcPr>
            <w:tcW w:w="4535" w:type="dxa"/>
            <w:vAlign w:val="center"/>
          </w:tcPr>
          <w:p>
            <w:pPr>
              <w:pStyle w:val="12"/>
            </w:pPr>
            <w:r>
              <w:t>行政运行</w:t>
            </w:r>
          </w:p>
        </w:tc>
        <w:tc>
          <w:tcPr>
            <w:tcW w:w="1361" w:type="dxa"/>
            <w:vAlign w:val="center"/>
          </w:tcPr>
          <w:p>
            <w:pPr>
              <w:pStyle w:val="11"/>
            </w:pPr>
            <w:r>
              <w:t>94.99</w:t>
            </w:r>
          </w:p>
        </w:tc>
        <w:tc>
          <w:tcPr>
            <w:tcW w:w="1361" w:type="dxa"/>
            <w:vAlign w:val="center"/>
          </w:tcPr>
          <w:p>
            <w:pPr>
              <w:pStyle w:val="11"/>
            </w:pPr>
            <w:r>
              <w:t>94.99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14.30</w:t>
            </w:r>
          </w:p>
        </w:tc>
        <w:tc>
          <w:tcPr>
            <w:tcW w:w="1361" w:type="dxa"/>
            <w:vAlign w:val="center"/>
          </w:tcPr>
          <w:p>
            <w:pPr>
              <w:pStyle w:val="11"/>
            </w:pPr>
          </w:p>
        </w:tc>
        <w:tc>
          <w:tcPr>
            <w:tcW w:w="1361" w:type="dxa"/>
            <w:vAlign w:val="center"/>
          </w:tcPr>
          <w:p>
            <w:pPr>
              <w:pStyle w:val="11"/>
            </w:pPr>
            <w:r>
              <w:t>14.30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2012999</w:t>
            </w:r>
          </w:p>
        </w:tc>
        <w:tc>
          <w:tcPr>
            <w:tcW w:w="4535" w:type="dxa"/>
            <w:vAlign w:val="center"/>
          </w:tcPr>
          <w:p>
            <w:pPr>
              <w:pStyle w:val="12"/>
            </w:pPr>
            <w:r>
              <w:t>其他群众团体事务支出</w:t>
            </w: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r>
              <w:t>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61.74</w:t>
            </w:r>
          </w:p>
        </w:tc>
        <w:tc>
          <w:tcPr>
            <w:tcW w:w="1361" w:type="dxa"/>
            <w:vAlign w:val="center"/>
          </w:tcPr>
          <w:p>
            <w:pPr>
              <w:pStyle w:val="11"/>
            </w:pPr>
            <w:r>
              <w:t>61.74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61.74</w:t>
            </w:r>
          </w:p>
        </w:tc>
        <w:tc>
          <w:tcPr>
            <w:tcW w:w="1361" w:type="dxa"/>
            <w:vAlign w:val="center"/>
          </w:tcPr>
          <w:p>
            <w:pPr>
              <w:pStyle w:val="11"/>
            </w:pPr>
            <w:r>
              <w:t>61.74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51.90</w:t>
            </w:r>
          </w:p>
        </w:tc>
        <w:tc>
          <w:tcPr>
            <w:tcW w:w="1361" w:type="dxa"/>
            <w:vAlign w:val="center"/>
          </w:tcPr>
          <w:p>
            <w:pPr>
              <w:pStyle w:val="11"/>
            </w:pPr>
            <w:r>
              <w:t>51.90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9.84</w:t>
            </w:r>
          </w:p>
        </w:tc>
        <w:tc>
          <w:tcPr>
            <w:tcW w:w="1361" w:type="dxa"/>
            <w:vAlign w:val="center"/>
          </w:tcPr>
          <w:p>
            <w:pPr>
              <w:pStyle w:val="11"/>
            </w:pPr>
            <w:r>
              <w:t>9.84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3.34</w:t>
            </w:r>
          </w:p>
        </w:tc>
        <w:tc>
          <w:tcPr>
            <w:tcW w:w="1361" w:type="dxa"/>
            <w:vAlign w:val="center"/>
          </w:tcPr>
          <w:p>
            <w:pPr>
              <w:pStyle w:val="11"/>
            </w:pPr>
            <w:r>
              <w:t>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3.34</w:t>
            </w:r>
          </w:p>
        </w:tc>
        <w:tc>
          <w:tcPr>
            <w:tcW w:w="1361" w:type="dxa"/>
            <w:vAlign w:val="center"/>
          </w:tcPr>
          <w:p>
            <w:pPr>
              <w:pStyle w:val="11"/>
            </w:pPr>
            <w:r>
              <w:t>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3.34</w:t>
            </w:r>
          </w:p>
        </w:tc>
        <w:tc>
          <w:tcPr>
            <w:tcW w:w="1361" w:type="dxa"/>
            <w:vAlign w:val="center"/>
          </w:tcPr>
          <w:p>
            <w:pPr>
              <w:pStyle w:val="11"/>
            </w:pPr>
            <w:r>
              <w:t>3.34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8.02</w:t>
            </w:r>
          </w:p>
        </w:tc>
        <w:tc>
          <w:tcPr>
            <w:tcW w:w="1361" w:type="dxa"/>
            <w:vAlign w:val="center"/>
          </w:tcPr>
          <w:p>
            <w:pPr>
              <w:pStyle w:val="11"/>
            </w:pPr>
            <w:r>
              <w:t>8.02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8.02</w:t>
            </w:r>
          </w:p>
        </w:tc>
        <w:tc>
          <w:tcPr>
            <w:tcW w:w="1361" w:type="dxa"/>
            <w:vAlign w:val="center"/>
          </w:tcPr>
          <w:p>
            <w:pPr>
              <w:pStyle w:val="11"/>
            </w:pPr>
            <w:r>
              <w:t>8.02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8.02</w:t>
            </w:r>
          </w:p>
        </w:tc>
        <w:tc>
          <w:tcPr>
            <w:tcW w:w="1361" w:type="dxa"/>
            <w:vAlign w:val="center"/>
          </w:tcPr>
          <w:p>
            <w:pPr>
              <w:pStyle w:val="11"/>
            </w:pPr>
            <w:r>
              <w:t>8.02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190.89</w:t>
            </w:r>
          </w:p>
        </w:tc>
        <w:tc>
          <w:tcPr>
            <w:tcW w:w="3402" w:type="dxa"/>
            <w:vAlign w:val="center"/>
          </w:tcPr>
          <w:p>
            <w:pPr>
              <w:pStyle w:val="12"/>
            </w:pPr>
            <w:r>
              <w:t>一、一般公共服务支出</w:t>
            </w:r>
          </w:p>
        </w:tc>
        <w:tc>
          <w:tcPr>
            <w:tcW w:w="1474" w:type="dxa"/>
            <w:vAlign w:val="center"/>
          </w:tcPr>
          <w:p>
            <w:pPr>
              <w:pStyle w:val="11"/>
            </w:pPr>
            <w:r>
              <w:t>117.79</w:t>
            </w:r>
          </w:p>
        </w:tc>
        <w:tc>
          <w:tcPr>
            <w:tcW w:w="1474" w:type="dxa"/>
            <w:vAlign w:val="center"/>
          </w:tcPr>
          <w:p>
            <w:pPr>
              <w:pStyle w:val="11"/>
            </w:pPr>
            <w:r>
              <w:t>117.79</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61.74</w:t>
            </w:r>
          </w:p>
        </w:tc>
        <w:tc>
          <w:tcPr>
            <w:tcW w:w="1474" w:type="dxa"/>
            <w:vAlign w:val="center"/>
          </w:tcPr>
          <w:p>
            <w:pPr>
              <w:pStyle w:val="11"/>
            </w:pPr>
            <w:r>
              <w:t>61.74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3.34</w:t>
            </w:r>
          </w:p>
        </w:tc>
        <w:tc>
          <w:tcPr>
            <w:tcW w:w="1474" w:type="dxa"/>
            <w:vAlign w:val="center"/>
          </w:tcPr>
          <w:p>
            <w:pPr>
              <w:pStyle w:val="11"/>
            </w:pPr>
            <w:r>
              <w:t>3.34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8.02</w:t>
            </w:r>
          </w:p>
        </w:tc>
        <w:tc>
          <w:tcPr>
            <w:tcW w:w="1474" w:type="dxa"/>
            <w:vAlign w:val="center"/>
          </w:tcPr>
          <w:p>
            <w:pPr>
              <w:pStyle w:val="11"/>
            </w:pPr>
            <w:r>
              <w:t>8.02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190.89</w:t>
            </w:r>
          </w:p>
        </w:tc>
        <w:tc>
          <w:tcPr>
            <w:tcW w:w="3402" w:type="dxa"/>
            <w:vAlign w:val="center"/>
          </w:tcPr>
          <w:p>
            <w:pPr>
              <w:pStyle w:val="14"/>
            </w:pPr>
            <w:r>
              <w:t>本年支出合计</w:t>
            </w:r>
          </w:p>
        </w:tc>
        <w:tc>
          <w:tcPr>
            <w:tcW w:w="1474" w:type="dxa"/>
            <w:vAlign w:val="center"/>
          </w:tcPr>
          <w:p>
            <w:pPr>
              <w:pStyle w:val="15"/>
            </w:pPr>
            <w:r>
              <w:t>190.89</w:t>
            </w:r>
          </w:p>
        </w:tc>
        <w:tc>
          <w:tcPr>
            <w:tcW w:w="1474" w:type="dxa"/>
            <w:vAlign w:val="center"/>
          </w:tcPr>
          <w:p>
            <w:pPr>
              <w:pStyle w:val="15"/>
            </w:pPr>
            <w:r>
              <w:t>190.89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190.89</w:t>
            </w:r>
          </w:p>
        </w:tc>
        <w:tc>
          <w:tcPr>
            <w:tcW w:w="3402" w:type="dxa"/>
            <w:vAlign w:val="center"/>
          </w:tcPr>
          <w:p>
            <w:pPr>
              <w:pStyle w:val="14"/>
            </w:pPr>
            <w:r>
              <w:t>支出总计</w:t>
            </w:r>
          </w:p>
        </w:tc>
        <w:tc>
          <w:tcPr>
            <w:tcW w:w="1474" w:type="dxa"/>
            <w:vAlign w:val="center"/>
          </w:tcPr>
          <w:p>
            <w:pPr>
              <w:pStyle w:val="15"/>
            </w:pPr>
            <w:r>
              <w:t>190.89</w:t>
            </w:r>
          </w:p>
        </w:tc>
        <w:tc>
          <w:tcPr>
            <w:tcW w:w="1474" w:type="dxa"/>
            <w:vAlign w:val="center"/>
          </w:tcPr>
          <w:p>
            <w:pPr>
              <w:pStyle w:val="15"/>
            </w:pPr>
            <w:r>
              <w:t>190.89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190.89</w:t>
            </w:r>
          </w:p>
        </w:tc>
        <w:tc>
          <w:tcPr>
            <w:tcW w:w="2551" w:type="dxa"/>
            <w:vAlign w:val="center"/>
          </w:tcPr>
          <w:p>
            <w:pPr>
              <w:pStyle w:val="15"/>
            </w:pPr>
            <w:r>
              <w:t>168.09</w:t>
            </w:r>
          </w:p>
        </w:tc>
        <w:tc>
          <w:tcPr>
            <w:tcW w:w="2551" w:type="dxa"/>
            <w:vAlign w:val="center"/>
          </w:tcPr>
          <w:p>
            <w:pPr>
              <w:pStyle w:val="15"/>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117.79</w:t>
            </w:r>
          </w:p>
        </w:tc>
        <w:tc>
          <w:tcPr>
            <w:tcW w:w="2551" w:type="dxa"/>
            <w:vAlign w:val="center"/>
          </w:tcPr>
          <w:p>
            <w:pPr>
              <w:pStyle w:val="11"/>
            </w:pPr>
            <w:r>
              <w:t>94.99</w:t>
            </w:r>
          </w:p>
        </w:tc>
        <w:tc>
          <w:tcPr>
            <w:tcW w:w="2551" w:type="dxa"/>
            <w:vAlign w:val="center"/>
          </w:tcPr>
          <w:p>
            <w:pPr>
              <w:pStyle w:val="11"/>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117.79</w:t>
            </w:r>
          </w:p>
        </w:tc>
        <w:tc>
          <w:tcPr>
            <w:tcW w:w="2551" w:type="dxa"/>
            <w:vAlign w:val="center"/>
          </w:tcPr>
          <w:p>
            <w:pPr>
              <w:pStyle w:val="11"/>
            </w:pPr>
            <w:r>
              <w:t>94.99</w:t>
            </w:r>
          </w:p>
        </w:tc>
        <w:tc>
          <w:tcPr>
            <w:tcW w:w="2551" w:type="dxa"/>
            <w:vAlign w:val="center"/>
          </w:tcPr>
          <w:p>
            <w:pPr>
              <w:pStyle w:val="11"/>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2012901</w:t>
            </w:r>
          </w:p>
        </w:tc>
        <w:tc>
          <w:tcPr>
            <w:tcW w:w="4535" w:type="dxa"/>
            <w:vAlign w:val="center"/>
          </w:tcPr>
          <w:p>
            <w:pPr>
              <w:pStyle w:val="12"/>
            </w:pPr>
            <w:r>
              <w:t>行政运行</w:t>
            </w:r>
          </w:p>
        </w:tc>
        <w:tc>
          <w:tcPr>
            <w:tcW w:w="2551" w:type="dxa"/>
            <w:vAlign w:val="center"/>
          </w:tcPr>
          <w:p>
            <w:pPr>
              <w:pStyle w:val="11"/>
            </w:pPr>
            <w:r>
              <w:t>94.99</w:t>
            </w:r>
          </w:p>
        </w:tc>
        <w:tc>
          <w:tcPr>
            <w:tcW w:w="2551" w:type="dxa"/>
            <w:vAlign w:val="center"/>
          </w:tcPr>
          <w:p>
            <w:pPr>
              <w:pStyle w:val="11"/>
            </w:pPr>
            <w:r>
              <w:t>94.99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14.30</w:t>
            </w:r>
          </w:p>
        </w:tc>
        <w:tc>
          <w:tcPr>
            <w:tcW w:w="2551" w:type="dxa"/>
            <w:vAlign w:val="center"/>
          </w:tcPr>
          <w:p>
            <w:pPr>
              <w:pStyle w:val="11"/>
            </w:pPr>
          </w:p>
        </w:tc>
        <w:tc>
          <w:tcPr>
            <w:tcW w:w="2551" w:type="dxa"/>
            <w:vAlign w:val="center"/>
          </w:tcPr>
          <w:p>
            <w:pPr>
              <w:pStyle w:val="11"/>
            </w:pPr>
            <w:r>
              <w:t>14.30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2012999</w:t>
            </w:r>
          </w:p>
        </w:tc>
        <w:tc>
          <w:tcPr>
            <w:tcW w:w="4535" w:type="dxa"/>
            <w:vAlign w:val="center"/>
          </w:tcPr>
          <w:p>
            <w:pPr>
              <w:pStyle w:val="12"/>
            </w:pPr>
            <w:r>
              <w:t>其他群众团体事务支出</w:t>
            </w:r>
          </w:p>
        </w:tc>
        <w:tc>
          <w:tcPr>
            <w:tcW w:w="2551" w:type="dxa"/>
            <w:vAlign w:val="center"/>
          </w:tcPr>
          <w:p>
            <w:pPr>
              <w:pStyle w:val="11"/>
            </w:pPr>
            <w:r>
              <w:t>8.50</w:t>
            </w:r>
          </w:p>
        </w:tc>
        <w:tc>
          <w:tcPr>
            <w:tcW w:w="2551" w:type="dxa"/>
            <w:vAlign w:val="center"/>
          </w:tcPr>
          <w:p>
            <w:pPr>
              <w:pStyle w:val="11"/>
            </w:pPr>
          </w:p>
        </w:tc>
        <w:tc>
          <w:tcPr>
            <w:tcW w:w="2551" w:type="dxa"/>
            <w:vAlign w:val="center"/>
          </w:tcPr>
          <w:p>
            <w:pPr>
              <w:pStyle w:val="11"/>
            </w:pPr>
            <w:r>
              <w:t>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61.74</w:t>
            </w:r>
          </w:p>
        </w:tc>
        <w:tc>
          <w:tcPr>
            <w:tcW w:w="2551" w:type="dxa"/>
            <w:vAlign w:val="center"/>
          </w:tcPr>
          <w:p>
            <w:pPr>
              <w:pStyle w:val="11"/>
            </w:pPr>
            <w:r>
              <w:t>61.74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61.74</w:t>
            </w:r>
          </w:p>
        </w:tc>
        <w:tc>
          <w:tcPr>
            <w:tcW w:w="2551" w:type="dxa"/>
            <w:vAlign w:val="center"/>
          </w:tcPr>
          <w:p>
            <w:pPr>
              <w:pStyle w:val="11"/>
            </w:pPr>
            <w:r>
              <w:t>61.74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51.90</w:t>
            </w:r>
          </w:p>
        </w:tc>
        <w:tc>
          <w:tcPr>
            <w:tcW w:w="2551" w:type="dxa"/>
            <w:vAlign w:val="center"/>
          </w:tcPr>
          <w:p>
            <w:pPr>
              <w:pStyle w:val="11"/>
            </w:pPr>
            <w:r>
              <w:t>51.90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3.34</w:t>
            </w:r>
          </w:p>
        </w:tc>
        <w:tc>
          <w:tcPr>
            <w:tcW w:w="2551" w:type="dxa"/>
            <w:vAlign w:val="center"/>
          </w:tcPr>
          <w:p>
            <w:pPr>
              <w:pStyle w:val="11"/>
            </w:pPr>
            <w:r>
              <w:t>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3.34</w:t>
            </w:r>
          </w:p>
        </w:tc>
        <w:tc>
          <w:tcPr>
            <w:tcW w:w="2551" w:type="dxa"/>
            <w:vAlign w:val="center"/>
          </w:tcPr>
          <w:p>
            <w:pPr>
              <w:pStyle w:val="11"/>
            </w:pPr>
            <w:r>
              <w:t>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3.34</w:t>
            </w:r>
          </w:p>
        </w:tc>
        <w:tc>
          <w:tcPr>
            <w:tcW w:w="2551" w:type="dxa"/>
            <w:vAlign w:val="center"/>
          </w:tcPr>
          <w:p>
            <w:pPr>
              <w:pStyle w:val="11"/>
            </w:pPr>
            <w:r>
              <w:t>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8.02</w:t>
            </w:r>
          </w:p>
        </w:tc>
        <w:tc>
          <w:tcPr>
            <w:tcW w:w="2551" w:type="dxa"/>
            <w:vAlign w:val="center"/>
          </w:tcPr>
          <w:p>
            <w:pPr>
              <w:pStyle w:val="11"/>
            </w:pPr>
            <w:r>
              <w:t>8.02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8.02</w:t>
            </w:r>
          </w:p>
        </w:tc>
        <w:tc>
          <w:tcPr>
            <w:tcW w:w="2551" w:type="dxa"/>
            <w:vAlign w:val="center"/>
          </w:tcPr>
          <w:p>
            <w:pPr>
              <w:pStyle w:val="11"/>
            </w:pPr>
            <w:r>
              <w:t>8.02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8.02</w:t>
            </w:r>
          </w:p>
        </w:tc>
        <w:tc>
          <w:tcPr>
            <w:tcW w:w="2551" w:type="dxa"/>
            <w:vAlign w:val="center"/>
          </w:tcPr>
          <w:p>
            <w:pPr>
              <w:pStyle w:val="11"/>
            </w:pPr>
            <w:r>
              <w:t>8.02</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168.09</w:t>
            </w:r>
          </w:p>
        </w:tc>
        <w:tc>
          <w:tcPr>
            <w:tcW w:w="2551" w:type="dxa"/>
            <w:vAlign w:val="center"/>
          </w:tcPr>
          <w:p>
            <w:pPr>
              <w:pStyle w:val="15"/>
            </w:pPr>
            <w:r>
              <w:t>153.14</w:t>
            </w:r>
          </w:p>
        </w:tc>
        <w:tc>
          <w:tcPr>
            <w:tcW w:w="2551" w:type="dxa"/>
            <w:vAlign w:val="center"/>
          </w:tcPr>
          <w:p>
            <w:pPr>
              <w:pStyle w:val="15"/>
            </w:pPr>
            <w:r>
              <w:t>14.95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102.24</w:t>
            </w:r>
          </w:p>
        </w:tc>
        <w:tc>
          <w:tcPr>
            <w:tcW w:w="2551" w:type="dxa"/>
            <w:vAlign w:val="center"/>
          </w:tcPr>
          <w:p>
            <w:pPr>
              <w:pStyle w:val="11"/>
            </w:pPr>
            <w:r>
              <w:t>102.24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37.98</w:t>
            </w:r>
          </w:p>
        </w:tc>
        <w:tc>
          <w:tcPr>
            <w:tcW w:w="2551" w:type="dxa"/>
            <w:vAlign w:val="center"/>
          </w:tcPr>
          <w:p>
            <w:pPr>
              <w:pStyle w:val="11"/>
            </w:pPr>
            <w:r>
              <w:t>37.98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23.92</w:t>
            </w:r>
          </w:p>
        </w:tc>
        <w:tc>
          <w:tcPr>
            <w:tcW w:w="2551" w:type="dxa"/>
            <w:vAlign w:val="center"/>
          </w:tcPr>
          <w:p>
            <w:pPr>
              <w:pStyle w:val="11"/>
            </w:pPr>
            <w:r>
              <w:t>23.92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18.88</w:t>
            </w:r>
          </w:p>
        </w:tc>
        <w:tc>
          <w:tcPr>
            <w:tcW w:w="2551" w:type="dxa"/>
            <w:vAlign w:val="center"/>
          </w:tcPr>
          <w:p>
            <w:pPr>
              <w:pStyle w:val="11"/>
            </w:pPr>
            <w:r>
              <w:t>18.88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9.84</w:t>
            </w:r>
          </w:p>
        </w:tc>
        <w:tc>
          <w:tcPr>
            <w:tcW w:w="2551" w:type="dxa"/>
            <w:vAlign w:val="center"/>
          </w:tcPr>
          <w:p>
            <w:pPr>
              <w:pStyle w:val="11"/>
            </w:pPr>
            <w:r>
              <w:t>9.84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3.34</w:t>
            </w:r>
          </w:p>
        </w:tc>
        <w:tc>
          <w:tcPr>
            <w:tcW w:w="2551" w:type="dxa"/>
            <w:vAlign w:val="center"/>
          </w:tcPr>
          <w:p>
            <w:pPr>
              <w:pStyle w:val="11"/>
            </w:pPr>
            <w:r>
              <w:t>3.34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0.25</w:t>
            </w:r>
          </w:p>
        </w:tc>
        <w:tc>
          <w:tcPr>
            <w:tcW w:w="2551" w:type="dxa"/>
            <w:vAlign w:val="center"/>
          </w:tcPr>
          <w:p>
            <w:pPr>
              <w:pStyle w:val="11"/>
            </w:pPr>
            <w:r>
              <w:t>0.25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8.02</w:t>
            </w:r>
          </w:p>
        </w:tc>
        <w:tc>
          <w:tcPr>
            <w:tcW w:w="2551" w:type="dxa"/>
            <w:vAlign w:val="center"/>
          </w:tcPr>
          <w:p>
            <w:pPr>
              <w:pStyle w:val="11"/>
            </w:pPr>
            <w:r>
              <w:t>8.02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14.95</w:t>
            </w:r>
          </w:p>
        </w:tc>
        <w:tc>
          <w:tcPr>
            <w:tcW w:w="2551" w:type="dxa"/>
            <w:vAlign w:val="center"/>
          </w:tcPr>
          <w:p>
            <w:pPr>
              <w:pStyle w:val="11"/>
            </w:pPr>
          </w:p>
        </w:tc>
        <w:tc>
          <w:tcPr>
            <w:tcW w:w="2551" w:type="dxa"/>
            <w:vAlign w:val="center"/>
          </w:tcPr>
          <w:p>
            <w:pPr>
              <w:pStyle w:val="11"/>
            </w:pPr>
            <w:r>
              <w:t>14.95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1.62</w:t>
            </w:r>
          </w:p>
        </w:tc>
        <w:tc>
          <w:tcPr>
            <w:tcW w:w="2551" w:type="dxa"/>
            <w:vAlign w:val="center"/>
          </w:tcPr>
          <w:p>
            <w:pPr>
              <w:pStyle w:val="11"/>
            </w:pPr>
          </w:p>
        </w:tc>
        <w:tc>
          <w:tcPr>
            <w:tcW w:w="2551" w:type="dxa"/>
            <w:vAlign w:val="center"/>
          </w:tcPr>
          <w:p>
            <w:pPr>
              <w:pStyle w:val="11"/>
            </w:pPr>
            <w:r>
              <w:t>1.62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2.52</w:t>
            </w:r>
          </w:p>
        </w:tc>
        <w:tc>
          <w:tcPr>
            <w:tcW w:w="2551" w:type="dxa"/>
            <w:vAlign w:val="center"/>
          </w:tcPr>
          <w:p>
            <w:pPr>
              <w:pStyle w:val="11"/>
            </w:pPr>
          </w:p>
        </w:tc>
        <w:tc>
          <w:tcPr>
            <w:tcW w:w="2551" w:type="dxa"/>
            <w:vAlign w:val="center"/>
          </w:tcPr>
          <w:p>
            <w:pPr>
              <w:pStyle w:val="11"/>
            </w:pPr>
            <w:r>
              <w:t>2.52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1.01</w:t>
            </w:r>
          </w:p>
        </w:tc>
        <w:tc>
          <w:tcPr>
            <w:tcW w:w="2551" w:type="dxa"/>
            <w:vAlign w:val="center"/>
          </w:tcPr>
          <w:p>
            <w:pPr>
              <w:pStyle w:val="11"/>
            </w:pPr>
          </w:p>
        </w:tc>
        <w:tc>
          <w:tcPr>
            <w:tcW w:w="2551" w:type="dxa"/>
            <w:vAlign w:val="center"/>
          </w:tcPr>
          <w:p>
            <w:pPr>
              <w:pStyle w:val="11"/>
            </w:pPr>
            <w:r>
              <w:t>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2.35</w:t>
            </w:r>
          </w:p>
        </w:tc>
        <w:tc>
          <w:tcPr>
            <w:tcW w:w="2551" w:type="dxa"/>
            <w:vAlign w:val="center"/>
          </w:tcPr>
          <w:p>
            <w:pPr>
              <w:pStyle w:val="11"/>
            </w:pPr>
          </w:p>
        </w:tc>
        <w:tc>
          <w:tcPr>
            <w:tcW w:w="2551" w:type="dxa"/>
            <w:vAlign w:val="center"/>
          </w:tcPr>
          <w:p>
            <w:pPr>
              <w:pStyle w:val="11"/>
            </w:pPr>
            <w:r>
              <w:t>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3.13</w:t>
            </w:r>
          </w:p>
        </w:tc>
        <w:tc>
          <w:tcPr>
            <w:tcW w:w="2551" w:type="dxa"/>
            <w:vAlign w:val="center"/>
          </w:tcPr>
          <w:p>
            <w:pPr>
              <w:pStyle w:val="11"/>
            </w:pPr>
          </w:p>
        </w:tc>
        <w:tc>
          <w:tcPr>
            <w:tcW w:w="2551" w:type="dxa"/>
            <w:vAlign w:val="center"/>
          </w:tcPr>
          <w:p>
            <w:pPr>
              <w:pStyle w:val="11"/>
            </w:pPr>
            <w:r>
              <w:t>3.13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50.90</w:t>
            </w:r>
          </w:p>
        </w:tc>
        <w:tc>
          <w:tcPr>
            <w:tcW w:w="2551" w:type="dxa"/>
            <w:vAlign w:val="center"/>
          </w:tcPr>
          <w:p>
            <w:pPr>
              <w:pStyle w:val="11"/>
            </w:pPr>
            <w:r>
              <w:t>50.90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30301</w:t>
            </w:r>
          </w:p>
        </w:tc>
        <w:tc>
          <w:tcPr>
            <w:tcW w:w="4535" w:type="dxa"/>
            <w:vAlign w:val="center"/>
          </w:tcPr>
          <w:p>
            <w:pPr>
              <w:pStyle w:val="12"/>
            </w:pPr>
            <w:r>
              <w:t>离休费</w:t>
            </w:r>
          </w:p>
        </w:tc>
        <w:tc>
          <w:tcPr>
            <w:tcW w:w="2551" w:type="dxa"/>
            <w:vAlign w:val="center"/>
          </w:tcPr>
          <w:p>
            <w:pPr>
              <w:pStyle w:val="11"/>
            </w:pPr>
            <w:r>
              <w:t>17.61</w:t>
            </w:r>
          </w:p>
        </w:tc>
        <w:tc>
          <w:tcPr>
            <w:tcW w:w="2551" w:type="dxa"/>
            <w:vAlign w:val="center"/>
          </w:tcPr>
          <w:p>
            <w:pPr>
              <w:pStyle w:val="11"/>
            </w:pPr>
            <w:r>
              <w:t>17.61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33.28</w:t>
            </w:r>
          </w:p>
        </w:tc>
        <w:tc>
          <w:tcPr>
            <w:tcW w:w="2551" w:type="dxa"/>
            <w:vAlign w:val="center"/>
          </w:tcPr>
          <w:p>
            <w:pPr>
              <w:pStyle w:val="11"/>
            </w:pPr>
            <w:r>
              <w:t>33.28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2.35</w:t>
            </w:r>
          </w:p>
        </w:tc>
        <w:tc>
          <w:tcPr>
            <w:tcW w:w="2381" w:type="dxa"/>
            <w:vAlign w:val="center"/>
          </w:tcPr>
          <w:p>
            <w:pPr>
              <w:pStyle w:val="15"/>
            </w:pPr>
            <w:r>
              <w:t>2.35</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2.35</w:t>
            </w:r>
          </w:p>
        </w:tc>
        <w:tc>
          <w:tcPr>
            <w:tcW w:w="2381" w:type="dxa"/>
            <w:vAlign w:val="center"/>
          </w:tcPr>
          <w:p>
            <w:pPr>
              <w:pStyle w:val="11"/>
            </w:pPr>
            <w:r>
              <w:t>2.35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保定市徐水区妇女联合会本级2026年单位预算信息公开情况说明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按照《中华人民共和国预算法》、《地方预决算公开操作规程》和《关于进一步推进预算公开工作的实施意见》规定，现将保定市徐水区妇女联合会本级2026年单位预算公开如下：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根据《保定市徐水区妇女联合会职能配置、内设机构和人员编制规定》，保定市徐水区妇女联合会的主要职责是：</w:t>
      </w:r>
    </w:p>
    <w:p>
      <w:pPr>
        <w:pStyle w:val="17"/>
      </w:pPr>
      <w:r>
        <w:t>徐水区妇女联合会是党领导下的全县各族各界妇女的群众团体，是党和政府联系好女群众的桥梁和纽带，是国家政权的重要支柱之一，其主要职责是:</w:t>
      </w:r>
    </w:p>
    <w:p>
      <w:pPr>
        <w:pStyle w:val="17"/>
      </w:pPr>
      <w:r>
        <w:t>(一)坚持正确的政治方向，团结、教育全区各族各界妇女以及各类妇女组织同党中央在思想上、政治上、行动上保持高度一致。</w:t>
      </w:r>
    </w:p>
    <w:p>
      <w:pPr>
        <w:pStyle w:val="17"/>
      </w:pPr>
      <w:r>
        <w:t>(二)紧密围绕区委、区政府的中心任务开展工作。团结、动员和组织妇女群众投导改革开放和社会主义物质文明、精神文明建设，积极促进我区经济发展和社会进步，为维护改革、稳定、发展的大局服务。</w:t>
      </w:r>
    </w:p>
    <w:p>
      <w:pPr>
        <w:pStyle w:val="17"/>
      </w:pPr>
      <w:r>
        <w:t>(三)宣传马克思主义妇女观和男女平等基本国策，教育、引导妇女树立正确的世界观、人生观和价值观，弘扬“自尊、自信、自立、自强”的精神，积极推动和开展对妇女的科技文化及生产劳动技能教育，全面提高妇女素质。</w:t>
      </w:r>
    </w:p>
    <w:p>
      <w:pPr>
        <w:pStyle w:val="17"/>
      </w:pPr>
      <w:r>
        <w:t>(四)代表妇女参与国家和社会事务的民主管理和民主监督;关注并加强研究涉及妇女切身利益的热点、难点问题，及时向县委县政府反映社情民意，提出对策建议;参与有关妇女儿童政策和法律、法规草案的拟定，从源头上强化维护好妇女儿童合法权益工作。</w:t>
      </w:r>
    </w:p>
    <w:p>
      <w:pPr>
        <w:pStyle w:val="17"/>
      </w:pPr>
      <w:r>
        <w:t>(五)坚持为妇女儿童服务、为基层服务，加强与社会各界的联系，协调推动全社会为妇女儿童办实事，办好事。</w:t>
      </w:r>
    </w:p>
    <w:p>
      <w:pPr>
        <w:pStyle w:val="17"/>
      </w:pPr>
      <w:r>
        <w:t>(六)指导基层妇联依据《中华全国妇女联合会章程》和妇女代表大会的任务，开展好妇女儿童工作，联系团体会员并给子工作指导；建立与各族各界妇女的联系，巩固和扩大同各族各界妇女的团结，积极开展妇女的联络联谊工作，促进祖国统一。</w:t>
      </w:r>
    </w:p>
    <w:p>
      <w:pPr>
        <w:pStyle w:val="17"/>
      </w:pPr>
      <w:r>
        <w:t>(七)积极发展同各省、市及各县妇女和妇女组织的友好交往，增进了解和友谊，开展合作。</w:t>
      </w:r>
    </w:p>
    <w:p>
      <w:pPr>
        <w:pStyle w:val="17"/>
      </w:pPr>
      <w:r>
        <w:t>(八)承担徐水区妇女儿童工作机制的相关工作。</w:t>
      </w:r>
    </w:p>
    <w:p>
      <w:pPr>
        <w:pStyle w:val="17"/>
      </w:pPr>
      <w:r>
        <w:t>(九)承办区委、区政府交给的有关工作。</w:t>
      </w:r>
    </w:p>
    <w:p>
      <w:pPr>
        <w:pStyle w:val="17"/>
      </w:pPr>
      <w:r>
        <w:t>(十)开展省级妇女之家建设和儿童友好城市建设工作。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保定市徐水区妇女联合会本级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190.89万元，其中：一般公共预算收入190.89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保定市徐水区妇女联合会本级年度单位预算中支出预算的总体情况。2026年支出预算190.89万元，其中基本支出168.09万元，包括人员经费153.14万元和日常公用经费14.95万元；项目支出22.80万元，主要为妇女儿童工作经费。；预计下年使用的单位资金结余0.00万元。委托业务费共计安排0.00万元，主要用于因技术原因确需对外委托的辅助性工作和确有必要对外委托开展咨询、评审、规划等工作。</w:t>
      </w:r>
    </w:p>
    <w:p>
      <w:pPr>
        <w:pStyle w:val="18"/>
      </w:pPr>
      <w:r>
        <w:t>3、比上年增减情况</w:t>
      </w:r>
    </w:p>
    <w:p>
      <w:pPr>
        <w:pStyle w:val="18"/>
      </w:pPr>
      <w:r>
        <w:t>2026年预算收支安排190.89万元，较2025年预算增加25.68万元，其中：基本支出增加25.68万元，主要为人员调入，晋级晋档及日常业务增多项目支出增加0.00万元，主要为较上年无变化。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2026年，我单位机关运行经费共计安排14.95万元，主要用于日常维修、办公用房水电费、办公用房取暖费、办公用房物业管理费等日常运行支出。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2.35万元，其中因公出国（境）费0.00万元；公务用车购置及运维费2.35万元（其中：公务用车购置费为0.00万元，公务用车运维费2.35万元)；公务接待费0.00万元。与2025年相比增加2.35万元，增减变化的主要原因是2025年新购置公务用车一辆，三公经费增加2.35万元</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1、妇女儿童工作经费绩效目标表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13062526P00002410404L</w:t>
            </w:r>
          </w:p>
        </w:tc>
        <w:tc>
          <w:tcPr>
            <w:tcW w:w="2835" w:type="dxa"/>
            <w:vAlign w:val="center"/>
          </w:tcPr>
          <w:p>
            <w:pPr>
              <w:pStyle w:val="10"/>
            </w:pPr>
            <w:r>
              <w:t>项目名称</w:t>
            </w:r>
          </w:p>
        </w:tc>
        <w:tc>
          <w:tcPr>
            <w:tcW w:w="6095" w:type="dxa"/>
            <w:gridSpan w:val="3"/>
            <w:vAlign w:val="center"/>
          </w:tcPr>
          <w:p>
            <w:pPr>
              <w:pStyle w:val="12"/>
            </w:pPr>
            <w:r>
              <w:t>妇女儿童工作经费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14.30</w:t>
            </w:r>
          </w:p>
        </w:tc>
        <w:tc>
          <w:tcPr>
            <w:tcW w:w="2835" w:type="dxa"/>
            <w:vAlign w:val="center"/>
          </w:tcPr>
          <w:p>
            <w:pPr>
              <w:pStyle w:val="10"/>
            </w:pPr>
            <w:r>
              <w:t>其中：财政    资金</w:t>
            </w:r>
          </w:p>
        </w:tc>
        <w:tc>
          <w:tcPr>
            <w:tcW w:w="2551" w:type="dxa"/>
            <w:vAlign w:val="center"/>
          </w:tcPr>
          <w:p>
            <w:pPr>
              <w:pStyle w:val="12"/>
            </w:pPr>
            <w:r>
              <w:t>14.30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坚持党建带妇建，推动妇联组织阵地建设；开展“三八”妇女节、“六一”儿童节、家庭家教家风建设、普法宣传、维权关爱等活动；开展巾帼家政服务进社区（乡村）、巾帼家政宣传，培树巾帼家政示范典型、打造示范基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4.00</w:t>
            </w:r>
          </w:p>
        </w:tc>
        <w:tc>
          <w:tcPr>
            <w:tcW w:w="2835" w:type="dxa"/>
            <w:vAlign w:val="center"/>
          </w:tcPr>
          <w:p>
            <w:pPr>
              <w:pStyle w:val="13"/>
            </w:pPr>
            <w:r>
              <w:t>7.50</w:t>
            </w:r>
          </w:p>
        </w:tc>
        <w:tc>
          <w:tcPr>
            <w:tcW w:w="2551" w:type="dxa"/>
            <w:vAlign w:val="center"/>
          </w:tcPr>
          <w:p>
            <w:pPr>
              <w:pStyle w:val="13"/>
            </w:pPr>
            <w:r>
              <w:t>11.00</w:t>
            </w:r>
          </w:p>
        </w:tc>
        <w:tc>
          <w:tcPr>
            <w:tcW w:w="3544" w:type="dxa"/>
            <w:gridSpan w:val="2"/>
            <w:vAlign w:val="center"/>
          </w:tcPr>
          <w:p>
            <w:pPr>
              <w:pStyle w:val="13"/>
            </w:pPr>
            <w:r>
              <w:t>14.30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1.培树巾帼家政示范典型、打造示范基地不少于4个；开展巾帼家政服务进社区（乡村）、巾帼家政宣传等活动不少于40场。</w:t>
            </w:r>
          </w:p>
          <w:p>
            <w:pPr>
              <w:pStyle w:val="12"/>
            </w:pPr>
            <w:r>
              <w:t>2.坚持党建带妇建，推动妇联组织建设，美丽庭院创建、儿童友好城市建设等工作总数不少于4项。</w:t>
            </w:r>
          </w:p>
          <w:p>
            <w:pPr>
              <w:pStyle w:val="12"/>
            </w:pPr>
            <w:r>
              <w:t>3.开展“三八”妇女节、“六一”儿童节、家庭家教家风建设、普法宣传、维权关爱等活动不少于6场次。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阵地建设数量</w:t>
            </w:r>
          </w:p>
        </w:tc>
        <w:tc>
          <w:tcPr>
            <w:tcW w:w="5386" w:type="dxa"/>
            <w:vAlign w:val="center"/>
          </w:tcPr>
          <w:p>
            <w:pPr>
              <w:pStyle w:val="12"/>
            </w:pPr>
            <w:r>
              <w:t>阵地建设数量</w:t>
            </w:r>
          </w:p>
        </w:tc>
        <w:tc>
          <w:tcPr>
            <w:tcW w:w="2268" w:type="dxa"/>
            <w:vAlign w:val="center"/>
          </w:tcPr>
          <w:p>
            <w:pPr>
              <w:pStyle w:val="12"/>
            </w:pPr>
            <w:r>
              <w:t>≥4个</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专项工作数量</w:t>
            </w:r>
          </w:p>
        </w:tc>
        <w:tc>
          <w:tcPr>
            <w:tcW w:w="5386" w:type="dxa"/>
            <w:vAlign w:val="center"/>
          </w:tcPr>
          <w:p>
            <w:pPr>
              <w:pStyle w:val="12"/>
            </w:pPr>
            <w:r>
              <w:t>专项工作数量</w:t>
            </w:r>
          </w:p>
        </w:tc>
        <w:tc>
          <w:tcPr>
            <w:tcW w:w="2268" w:type="dxa"/>
            <w:vAlign w:val="center"/>
          </w:tcPr>
          <w:p>
            <w:pPr>
              <w:pStyle w:val="12"/>
            </w:pPr>
            <w:r>
              <w:t>≥4项</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活动次数</w:t>
            </w:r>
          </w:p>
        </w:tc>
        <w:tc>
          <w:tcPr>
            <w:tcW w:w="5386" w:type="dxa"/>
            <w:vAlign w:val="center"/>
          </w:tcPr>
          <w:p>
            <w:pPr>
              <w:pStyle w:val="12"/>
            </w:pPr>
            <w:r>
              <w:t>活动次数</w:t>
            </w:r>
          </w:p>
        </w:tc>
        <w:tc>
          <w:tcPr>
            <w:tcW w:w="2268" w:type="dxa"/>
            <w:vAlign w:val="center"/>
          </w:tcPr>
          <w:p>
            <w:pPr>
              <w:pStyle w:val="12"/>
            </w:pPr>
            <w:r>
              <w:t>≥6场次</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开展巾帼家政服务进社区（农村）、巾帼家政宣传等活动场次</w:t>
            </w:r>
          </w:p>
        </w:tc>
        <w:tc>
          <w:tcPr>
            <w:tcW w:w="5386" w:type="dxa"/>
            <w:vAlign w:val="center"/>
          </w:tcPr>
          <w:p>
            <w:pPr>
              <w:pStyle w:val="12"/>
            </w:pPr>
            <w:r>
              <w:t>开展巾帼家政服务进社区（乡村）、巾帼家政宣传等活动场次</w:t>
            </w:r>
          </w:p>
        </w:tc>
        <w:tc>
          <w:tcPr>
            <w:tcW w:w="2268" w:type="dxa"/>
            <w:vAlign w:val="center"/>
          </w:tcPr>
          <w:p>
            <w:pPr>
              <w:pStyle w:val="12"/>
            </w:pPr>
            <w:r>
              <w:t>≥40%</w:t>
            </w:r>
          </w:p>
        </w:tc>
        <w:tc>
          <w:tcPr>
            <w:tcW w:w="1276" w:type="dxa"/>
            <w:vAlign w:val="center"/>
          </w:tcPr>
          <w:p>
            <w:pPr>
              <w:pStyle w:val="12"/>
            </w:pPr>
            <w:r>
              <w:t>保定市徐水区2025年民生工程实施方案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培树巾帼家政示范典型、打造示范基地数量</w:t>
            </w:r>
          </w:p>
        </w:tc>
        <w:tc>
          <w:tcPr>
            <w:tcW w:w="5386" w:type="dxa"/>
            <w:vAlign w:val="center"/>
          </w:tcPr>
          <w:p>
            <w:pPr>
              <w:pStyle w:val="12"/>
            </w:pPr>
            <w:r>
              <w:t>培树巾帼家政示范典型、打造示范基地数量</w:t>
            </w:r>
          </w:p>
        </w:tc>
        <w:tc>
          <w:tcPr>
            <w:tcW w:w="2268" w:type="dxa"/>
            <w:vAlign w:val="center"/>
          </w:tcPr>
          <w:p>
            <w:pPr>
              <w:pStyle w:val="12"/>
            </w:pPr>
            <w:r>
              <w:t>≥4%</w:t>
            </w:r>
          </w:p>
        </w:tc>
        <w:tc>
          <w:tcPr>
            <w:tcW w:w="1276" w:type="dxa"/>
            <w:vAlign w:val="center"/>
          </w:tcPr>
          <w:p>
            <w:pPr>
              <w:pStyle w:val="12"/>
            </w:pPr>
            <w:r>
              <w:t>保定市徐水区2025年民生工程实施方案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活动质量</w:t>
            </w:r>
          </w:p>
        </w:tc>
        <w:tc>
          <w:tcPr>
            <w:tcW w:w="5386" w:type="dxa"/>
            <w:vAlign w:val="center"/>
          </w:tcPr>
          <w:p>
            <w:pPr>
              <w:pStyle w:val="12"/>
            </w:pPr>
            <w:r>
              <w:t>活动质量</w:t>
            </w:r>
          </w:p>
        </w:tc>
        <w:tc>
          <w:tcPr>
            <w:tcW w:w="2268" w:type="dxa"/>
            <w:vAlign w:val="center"/>
          </w:tcPr>
          <w:p>
            <w:pPr>
              <w:pStyle w:val="12"/>
            </w:pPr>
            <w:r>
              <w:t>≥90%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阵地建设完工及时率</w:t>
            </w:r>
          </w:p>
        </w:tc>
        <w:tc>
          <w:tcPr>
            <w:tcW w:w="5386" w:type="dxa"/>
            <w:vAlign w:val="center"/>
          </w:tcPr>
          <w:p>
            <w:pPr>
              <w:pStyle w:val="12"/>
            </w:pPr>
            <w:r>
              <w:t>阵地建设验收合格率</w:t>
            </w:r>
          </w:p>
        </w:tc>
        <w:tc>
          <w:tcPr>
            <w:tcW w:w="2268" w:type="dxa"/>
            <w:vAlign w:val="center"/>
          </w:tcPr>
          <w:p>
            <w:pPr>
              <w:pStyle w:val="12"/>
            </w:pPr>
            <w:r>
              <w:t>≥90%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工作达标率</w:t>
            </w:r>
          </w:p>
        </w:tc>
        <w:tc>
          <w:tcPr>
            <w:tcW w:w="5386" w:type="dxa"/>
            <w:vAlign w:val="center"/>
          </w:tcPr>
          <w:p>
            <w:pPr>
              <w:pStyle w:val="12"/>
            </w:pPr>
            <w:r>
              <w:t>工作达标率</w:t>
            </w:r>
          </w:p>
        </w:tc>
        <w:tc>
          <w:tcPr>
            <w:tcW w:w="2268" w:type="dxa"/>
            <w:vAlign w:val="center"/>
          </w:tcPr>
          <w:p>
            <w:pPr>
              <w:pStyle w:val="12"/>
            </w:pPr>
            <w:r>
              <w:t>≥90%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阵地建设完工及时率</w:t>
            </w:r>
          </w:p>
        </w:tc>
        <w:tc>
          <w:tcPr>
            <w:tcW w:w="5386" w:type="dxa"/>
            <w:vAlign w:val="center"/>
          </w:tcPr>
          <w:p>
            <w:pPr>
              <w:pStyle w:val="12"/>
            </w:pPr>
            <w:r>
              <w:t>阵地建设完工及时率</w:t>
            </w:r>
          </w:p>
        </w:tc>
        <w:tc>
          <w:tcPr>
            <w:tcW w:w="2268" w:type="dxa"/>
            <w:vAlign w:val="center"/>
          </w:tcPr>
          <w:p>
            <w:pPr>
              <w:pStyle w:val="12"/>
            </w:pPr>
            <w:r>
              <w:t>≥90%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工作完成及时率</w:t>
            </w:r>
          </w:p>
        </w:tc>
        <w:tc>
          <w:tcPr>
            <w:tcW w:w="2268" w:type="dxa"/>
            <w:vAlign w:val="center"/>
          </w:tcPr>
          <w:p>
            <w:pPr>
              <w:pStyle w:val="12"/>
            </w:pPr>
            <w:r>
              <w:t>≥90%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活动及时率</w:t>
            </w:r>
          </w:p>
        </w:tc>
        <w:tc>
          <w:tcPr>
            <w:tcW w:w="5386" w:type="dxa"/>
            <w:vAlign w:val="center"/>
          </w:tcPr>
          <w:p>
            <w:pPr>
              <w:pStyle w:val="12"/>
            </w:pPr>
            <w:r>
              <w:t>活动及时率</w:t>
            </w:r>
          </w:p>
        </w:tc>
        <w:tc>
          <w:tcPr>
            <w:tcW w:w="2268" w:type="dxa"/>
            <w:vAlign w:val="center"/>
          </w:tcPr>
          <w:p>
            <w:pPr>
              <w:pStyle w:val="12"/>
            </w:pPr>
            <w:r>
              <w:t>≥85%</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建设成本</w:t>
            </w:r>
          </w:p>
        </w:tc>
        <w:tc>
          <w:tcPr>
            <w:tcW w:w="5386" w:type="dxa"/>
            <w:vAlign w:val="center"/>
          </w:tcPr>
          <w:p>
            <w:pPr>
              <w:pStyle w:val="12"/>
            </w:pPr>
            <w:r>
              <w:t>建设成本</w:t>
            </w:r>
          </w:p>
        </w:tc>
        <w:tc>
          <w:tcPr>
            <w:tcW w:w="2268" w:type="dxa"/>
            <w:vAlign w:val="center"/>
          </w:tcPr>
          <w:p>
            <w:pPr>
              <w:pStyle w:val="12"/>
            </w:pPr>
            <w:r>
              <w:t>≤5万元</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工作成本</w:t>
            </w:r>
          </w:p>
        </w:tc>
        <w:tc>
          <w:tcPr>
            <w:tcW w:w="5386" w:type="dxa"/>
            <w:vAlign w:val="center"/>
          </w:tcPr>
          <w:p>
            <w:pPr>
              <w:pStyle w:val="12"/>
            </w:pPr>
            <w:r>
              <w:t>工作成本</w:t>
            </w:r>
          </w:p>
        </w:tc>
        <w:tc>
          <w:tcPr>
            <w:tcW w:w="2268" w:type="dxa"/>
            <w:vAlign w:val="center"/>
          </w:tcPr>
          <w:p>
            <w:pPr>
              <w:pStyle w:val="12"/>
            </w:pPr>
            <w:r>
              <w:t>≤4万元</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活动成本</w:t>
            </w:r>
          </w:p>
        </w:tc>
        <w:tc>
          <w:tcPr>
            <w:tcW w:w="5386" w:type="dxa"/>
            <w:vAlign w:val="center"/>
          </w:tcPr>
          <w:p>
            <w:pPr>
              <w:pStyle w:val="12"/>
            </w:pPr>
            <w:r>
              <w:t>活动成本</w:t>
            </w:r>
          </w:p>
        </w:tc>
        <w:tc>
          <w:tcPr>
            <w:tcW w:w="2268" w:type="dxa"/>
            <w:vAlign w:val="center"/>
          </w:tcPr>
          <w:p>
            <w:pPr>
              <w:pStyle w:val="12"/>
            </w:pPr>
            <w:r>
              <w:t>≤5.3万元</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阵地可持续利用率</w:t>
            </w:r>
          </w:p>
        </w:tc>
        <w:tc>
          <w:tcPr>
            <w:tcW w:w="5386" w:type="dxa"/>
            <w:vAlign w:val="center"/>
          </w:tcPr>
          <w:p>
            <w:pPr>
              <w:pStyle w:val="12"/>
            </w:pPr>
            <w:r>
              <w:t>阵地可持续利用率</w:t>
            </w:r>
          </w:p>
        </w:tc>
        <w:tc>
          <w:tcPr>
            <w:tcW w:w="2268" w:type="dxa"/>
            <w:vAlign w:val="center"/>
          </w:tcPr>
          <w:p>
            <w:pPr>
              <w:pStyle w:val="12"/>
            </w:pPr>
            <w:r>
              <w:t>≥50%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环境改善率</w:t>
            </w:r>
          </w:p>
        </w:tc>
        <w:tc>
          <w:tcPr>
            <w:tcW w:w="5386" w:type="dxa"/>
            <w:vAlign w:val="center"/>
          </w:tcPr>
          <w:p>
            <w:pPr>
              <w:pStyle w:val="12"/>
            </w:pPr>
            <w:r>
              <w:t>环境改善率</w:t>
            </w:r>
          </w:p>
        </w:tc>
        <w:tc>
          <w:tcPr>
            <w:tcW w:w="2268" w:type="dxa"/>
            <w:vAlign w:val="center"/>
          </w:tcPr>
          <w:p>
            <w:pPr>
              <w:pStyle w:val="12"/>
            </w:pPr>
            <w:r>
              <w:t>≥50%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活动激励作用</w:t>
            </w:r>
          </w:p>
        </w:tc>
        <w:tc>
          <w:tcPr>
            <w:tcW w:w="5386" w:type="dxa"/>
            <w:vAlign w:val="center"/>
          </w:tcPr>
          <w:p>
            <w:pPr>
              <w:pStyle w:val="12"/>
            </w:pPr>
            <w:r>
              <w:t>活动激励作用</w:t>
            </w:r>
          </w:p>
        </w:tc>
        <w:tc>
          <w:tcPr>
            <w:tcW w:w="2268" w:type="dxa"/>
            <w:vAlign w:val="center"/>
          </w:tcPr>
          <w:p>
            <w:pPr>
              <w:pStyle w:val="12"/>
            </w:pPr>
            <w:r>
              <w:t>≥80%</w:t>
            </w:r>
          </w:p>
        </w:tc>
        <w:tc>
          <w:tcPr>
            <w:tcW w:w="1276" w:type="dxa"/>
            <w:vAlign w:val="center"/>
          </w:tcPr>
          <w:p>
            <w:pPr>
              <w:pStyle w:val="12"/>
            </w:pPr>
            <w:r>
              <w:t>保定市妇联2025年工作要点、妇女三定方案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提高就业率</w:t>
            </w:r>
          </w:p>
        </w:tc>
        <w:tc>
          <w:tcPr>
            <w:tcW w:w="5386" w:type="dxa"/>
            <w:vAlign w:val="center"/>
          </w:tcPr>
          <w:p>
            <w:pPr>
              <w:pStyle w:val="12"/>
            </w:pPr>
            <w:r>
              <w:t>提高就业率</w:t>
            </w:r>
          </w:p>
        </w:tc>
        <w:tc>
          <w:tcPr>
            <w:tcW w:w="2268" w:type="dxa"/>
            <w:vAlign w:val="center"/>
          </w:tcPr>
          <w:p>
            <w:pPr>
              <w:pStyle w:val="12"/>
            </w:pPr>
            <w:r>
              <w:t>≥50%</w:t>
            </w:r>
          </w:p>
        </w:tc>
        <w:tc>
          <w:tcPr>
            <w:tcW w:w="1276" w:type="dxa"/>
            <w:vAlign w:val="center"/>
          </w:tcPr>
          <w:p>
            <w:pPr>
              <w:pStyle w:val="12"/>
            </w:pPr>
            <w:r>
              <w:t>保定市徐水区2025年民生工程实施方案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妇女群众满意度</w:t>
            </w:r>
          </w:p>
        </w:tc>
        <w:tc>
          <w:tcPr>
            <w:tcW w:w="2268" w:type="dxa"/>
            <w:vAlign w:val="center"/>
          </w:tcPr>
          <w:p>
            <w:pPr>
              <w:pStyle w:val="12"/>
            </w:pPr>
            <w:r>
              <w:t>≥70%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2、提前下达2026年省级妇女之家建设专项资金绩效目标表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13062526P000024104058</w:t>
            </w:r>
          </w:p>
        </w:tc>
        <w:tc>
          <w:tcPr>
            <w:tcW w:w="2835" w:type="dxa"/>
            <w:vAlign w:val="center"/>
          </w:tcPr>
          <w:p>
            <w:pPr>
              <w:pStyle w:val="10"/>
            </w:pPr>
            <w:r>
              <w:t>项目名称</w:t>
            </w:r>
          </w:p>
        </w:tc>
        <w:tc>
          <w:tcPr>
            <w:tcW w:w="6095" w:type="dxa"/>
            <w:gridSpan w:val="3"/>
            <w:vAlign w:val="center"/>
          </w:tcPr>
          <w:p>
            <w:pPr>
              <w:pStyle w:val="12"/>
            </w:pPr>
            <w:r>
              <w:t>提前下达2026年省级妇女之家建设专项资金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8.50</w:t>
            </w:r>
          </w:p>
        </w:tc>
        <w:tc>
          <w:tcPr>
            <w:tcW w:w="2835" w:type="dxa"/>
            <w:vAlign w:val="center"/>
          </w:tcPr>
          <w:p>
            <w:pPr>
              <w:pStyle w:val="10"/>
            </w:pPr>
            <w:r>
              <w:t>其中：财政    资金</w:t>
            </w:r>
          </w:p>
        </w:tc>
        <w:tc>
          <w:tcPr>
            <w:tcW w:w="2551" w:type="dxa"/>
            <w:vAlign w:val="center"/>
          </w:tcPr>
          <w:p>
            <w:pPr>
              <w:pStyle w:val="12"/>
            </w:pPr>
            <w:r>
              <w:t>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整合妇女之家建设资源，完善妇女之家教育培训、维权服务等功能，把基层妇联组织建成妇女可信赖可依靠的“妇女之家”。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6.00</w:t>
            </w:r>
          </w:p>
        </w:tc>
        <w:tc>
          <w:tcPr>
            <w:tcW w:w="2551" w:type="dxa"/>
            <w:vAlign w:val="center"/>
          </w:tcPr>
          <w:p>
            <w:pPr>
              <w:pStyle w:val="13"/>
            </w:pPr>
            <w:r>
              <w:t>8.50</w:t>
            </w:r>
          </w:p>
        </w:tc>
        <w:tc>
          <w:tcPr>
            <w:tcW w:w="3544" w:type="dxa"/>
            <w:gridSpan w:val="2"/>
            <w:vAlign w:val="center"/>
          </w:tcPr>
          <w:p>
            <w:pPr>
              <w:pStyle w:val="13"/>
            </w:pPr>
            <w:r>
              <w:t>8.50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1.建成1个省级妇女儿童之家。</w:t>
            </w:r>
          </w:p>
          <w:p>
            <w:pPr>
              <w:pStyle w:val="12"/>
            </w:pPr>
            <w:r>
              <w:t>2.以支持基层妇女之家阵地建设为重点，整合妇女之家建设资源，完善妇女之家教育培训、维权服务等功能，把基层妇联组织建成妇女可信赖可依靠的“妇女之家”。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建设省级妇女之家数量</w:t>
            </w:r>
          </w:p>
        </w:tc>
        <w:tc>
          <w:tcPr>
            <w:tcW w:w="5386" w:type="dxa"/>
            <w:vAlign w:val="center"/>
          </w:tcPr>
          <w:p>
            <w:pPr>
              <w:pStyle w:val="12"/>
            </w:pPr>
            <w:r>
              <w:t>考察建设符合标准的省级妇女之家数量</w:t>
            </w:r>
          </w:p>
        </w:tc>
        <w:tc>
          <w:tcPr>
            <w:tcW w:w="2268" w:type="dxa"/>
            <w:vAlign w:val="center"/>
          </w:tcPr>
          <w:p>
            <w:pPr>
              <w:pStyle w:val="12"/>
            </w:pPr>
            <w:r>
              <w:t>1个</w:t>
            </w:r>
          </w:p>
        </w:tc>
        <w:tc>
          <w:tcPr>
            <w:tcW w:w="1276" w:type="dxa"/>
            <w:vAlign w:val="center"/>
          </w:tcPr>
          <w:p>
            <w:pPr>
              <w:pStyle w:val="12"/>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验收合格率</w:t>
            </w:r>
          </w:p>
        </w:tc>
        <w:tc>
          <w:tcPr>
            <w:tcW w:w="5386" w:type="dxa"/>
            <w:vAlign w:val="center"/>
          </w:tcPr>
          <w:p>
            <w:pPr>
              <w:pStyle w:val="12"/>
            </w:pPr>
            <w:r>
              <w:t>反映省级妇女之家验收合格情况</w:t>
            </w:r>
          </w:p>
        </w:tc>
        <w:tc>
          <w:tcPr>
            <w:tcW w:w="2268" w:type="dxa"/>
            <w:vAlign w:val="center"/>
          </w:tcPr>
          <w:p>
            <w:pPr>
              <w:pStyle w:val="12"/>
            </w:pPr>
            <w:r>
              <w:t>100%</w:t>
            </w:r>
          </w:p>
        </w:tc>
        <w:tc>
          <w:tcPr>
            <w:tcW w:w="1276" w:type="dxa"/>
            <w:vAlign w:val="center"/>
          </w:tcPr>
          <w:p>
            <w:pPr>
              <w:pStyle w:val="12"/>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完成建设任务的时间</w:t>
            </w:r>
          </w:p>
        </w:tc>
        <w:tc>
          <w:tcPr>
            <w:tcW w:w="5386" w:type="dxa"/>
            <w:vAlign w:val="center"/>
          </w:tcPr>
          <w:p>
            <w:pPr>
              <w:pStyle w:val="12"/>
            </w:pPr>
            <w:r>
              <w:t>考察省级妇女之家建设完成情况</w:t>
            </w:r>
          </w:p>
        </w:tc>
        <w:tc>
          <w:tcPr>
            <w:tcW w:w="2268" w:type="dxa"/>
            <w:vAlign w:val="center"/>
          </w:tcPr>
          <w:p>
            <w:pPr>
              <w:pStyle w:val="12"/>
            </w:pPr>
            <w:r>
              <w:t>≤9月底</w:t>
            </w:r>
          </w:p>
        </w:tc>
        <w:tc>
          <w:tcPr>
            <w:tcW w:w="1276" w:type="dxa"/>
            <w:vAlign w:val="center"/>
          </w:tcPr>
          <w:p>
            <w:pPr>
              <w:pStyle w:val="12"/>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总成本费用</w:t>
            </w:r>
          </w:p>
        </w:tc>
        <w:tc>
          <w:tcPr>
            <w:tcW w:w="5386" w:type="dxa"/>
            <w:vAlign w:val="center"/>
          </w:tcPr>
          <w:p>
            <w:pPr>
              <w:pStyle w:val="12"/>
            </w:pPr>
            <w:r>
              <w:t>反映总成本费用支出情况</w:t>
            </w:r>
          </w:p>
        </w:tc>
        <w:tc>
          <w:tcPr>
            <w:tcW w:w="2268" w:type="dxa"/>
            <w:vAlign w:val="center"/>
          </w:tcPr>
          <w:p>
            <w:pPr>
              <w:pStyle w:val="12"/>
            </w:pPr>
            <w:r>
              <w:t>≤8.5万元</w:t>
            </w:r>
          </w:p>
        </w:tc>
        <w:tc>
          <w:tcPr>
            <w:tcW w:w="1276" w:type="dxa"/>
            <w:vAlign w:val="center"/>
          </w:tcPr>
          <w:p>
            <w:pPr>
              <w:pStyle w:val="12"/>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妇女之家有效利用率</w:t>
            </w:r>
          </w:p>
        </w:tc>
        <w:tc>
          <w:tcPr>
            <w:tcW w:w="5386" w:type="dxa"/>
            <w:vAlign w:val="center"/>
          </w:tcPr>
          <w:p>
            <w:pPr>
              <w:pStyle w:val="12"/>
            </w:pPr>
            <w:r>
              <w:t>考察利用妇女之家开展工作达到预期效果次数占总利用次数的比例</w:t>
            </w:r>
          </w:p>
        </w:tc>
        <w:tc>
          <w:tcPr>
            <w:tcW w:w="2268" w:type="dxa"/>
            <w:vAlign w:val="center"/>
          </w:tcPr>
          <w:p>
            <w:pPr>
              <w:pStyle w:val="12"/>
            </w:pPr>
            <w:r>
              <w:t>≥80%</w:t>
            </w:r>
          </w:p>
        </w:tc>
        <w:tc>
          <w:tcPr>
            <w:tcW w:w="1276" w:type="dxa"/>
            <w:vAlign w:val="center"/>
          </w:tcPr>
          <w:p>
            <w:pPr>
              <w:pStyle w:val="12"/>
            </w:pPr>
            <w:r>
              <w:t>保定市财政局关于提前下达2026年省级妇女之家建设专项资金的通知（保财行[2025]22号）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基层妇女群众和妇联干部的满意度</w:t>
            </w:r>
          </w:p>
        </w:tc>
        <w:tc>
          <w:tcPr>
            <w:tcW w:w="5386" w:type="dxa"/>
            <w:vAlign w:val="center"/>
          </w:tcPr>
          <w:p>
            <w:pPr>
              <w:pStyle w:val="12"/>
            </w:pPr>
            <w:r>
              <w:t>考察基层妇女群众和妇联干部对妇女之家建设满意度情况</w:t>
            </w:r>
          </w:p>
        </w:tc>
        <w:tc>
          <w:tcPr>
            <w:tcW w:w="2268" w:type="dxa"/>
            <w:vAlign w:val="center"/>
          </w:tcPr>
          <w:p>
            <w:pPr>
              <w:pStyle w:val="12"/>
            </w:pPr>
            <w:r>
              <w:t>≥80%</w:t>
            </w:r>
          </w:p>
        </w:tc>
        <w:tc>
          <w:tcPr>
            <w:tcW w:w="1276" w:type="dxa"/>
            <w:vAlign w:val="center"/>
          </w:tcPr>
          <w:p>
            <w:pPr>
              <w:pStyle w:val="12"/>
            </w:pPr>
            <w:r>
              <w:t>根据满意度调查问卷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1.71</w:t>
            </w:r>
          </w:p>
        </w:tc>
        <w:tc>
          <w:tcPr>
            <w:tcW w:w="964" w:type="dxa"/>
            <w:vAlign w:val="center"/>
          </w:tcPr>
          <w:p>
            <w:pPr>
              <w:pStyle w:val="15"/>
            </w:pPr>
            <w:r>
              <w:t>1.71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保定市徐水区妇女联合会本级小计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1.71</w:t>
            </w:r>
          </w:p>
        </w:tc>
        <w:tc>
          <w:tcPr>
            <w:tcW w:w="964" w:type="dxa"/>
            <w:vAlign w:val="center"/>
          </w:tcPr>
          <w:p>
            <w:pPr>
              <w:pStyle w:val="15"/>
            </w:pPr>
            <w:r>
              <w:t>1.71</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4.69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100</w:t>
            </w:r>
          </w:p>
        </w:tc>
        <w:tc>
          <w:tcPr>
            <w:tcW w:w="850" w:type="dxa"/>
            <w:vAlign w:val="center"/>
          </w:tcPr>
          <w:p>
            <w:pPr>
              <w:pStyle w:val="11"/>
            </w:pPr>
            <w:r>
              <w:t>0.00</w:t>
            </w:r>
          </w:p>
        </w:tc>
        <w:tc>
          <w:tcPr>
            <w:tcW w:w="964" w:type="dxa"/>
            <w:vAlign w:val="center"/>
          </w:tcPr>
          <w:p>
            <w:pPr>
              <w:pStyle w:val="11"/>
            </w:pPr>
            <w:r>
              <w:t>0.21</w:t>
            </w:r>
          </w:p>
        </w:tc>
        <w:tc>
          <w:tcPr>
            <w:tcW w:w="964" w:type="dxa"/>
            <w:vAlign w:val="center"/>
          </w:tcPr>
          <w:p>
            <w:pPr>
              <w:pStyle w:val="11"/>
            </w:pPr>
            <w:r>
              <w:t>0.21</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空调机</w:t>
            </w:r>
          </w:p>
        </w:tc>
        <w:tc>
          <w:tcPr>
            <w:tcW w:w="1134" w:type="dxa"/>
            <w:vAlign w:val="center"/>
          </w:tcPr>
          <w:p>
            <w:pPr>
              <w:pStyle w:val="12"/>
            </w:pPr>
            <w:r>
              <w:t>A02061804</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茶几</w:t>
            </w:r>
          </w:p>
        </w:tc>
        <w:tc>
          <w:tcPr>
            <w:tcW w:w="1134" w:type="dxa"/>
            <w:vAlign w:val="center"/>
          </w:tcPr>
          <w:p>
            <w:pPr>
              <w:pStyle w:val="12"/>
            </w:pPr>
            <w:r>
              <w:t>A05010204</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0.06</w:t>
            </w:r>
          </w:p>
        </w:tc>
        <w:tc>
          <w:tcPr>
            <w:tcW w:w="964" w:type="dxa"/>
            <w:vAlign w:val="center"/>
          </w:tcPr>
          <w:p>
            <w:pPr>
              <w:pStyle w:val="11"/>
            </w:pPr>
            <w:r>
              <w:t>0.06</w:t>
            </w:r>
          </w:p>
        </w:tc>
        <w:tc>
          <w:tcPr>
            <w:tcW w:w="964" w:type="dxa"/>
            <w:vAlign w:val="center"/>
          </w:tcPr>
          <w:p>
            <w:pPr>
              <w:pStyle w:val="11"/>
            </w:pPr>
            <w:r>
              <w:t>0.06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单人沙发</w:t>
            </w:r>
          </w:p>
        </w:tc>
        <w:tc>
          <w:tcPr>
            <w:tcW w:w="1134" w:type="dxa"/>
            <w:vAlign w:val="center"/>
          </w:tcPr>
          <w:p>
            <w:pPr>
              <w:pStyle w:val="12"/>
            </w:pPr>
            <w:r>
              <w:t>A05010402</w:t>
            </w:r>
          </w:p>
        </w:tc>
        <w:tc>
          <w:tcPr>
            <w:tcW w:w="709" w:type="dxa"/>
            <w:vAlign w:val="center"/>
          </w:tcPr>
          <w:p>
            <w:pPr>
              <w:pStyle w:val="13"/>
            </w:pPr>
            <w:r>
              <w:t>件</w:t>
            </w:r>
          </w:p>
        </w:tc>
        <w:tc>
          <w:tcPr>
            <w:tcW w:w="850" w:type="dxa"/>
            <w:vAlign w:val="center"/>
          </w:tcPr>
          <w:p>
            <w:pPr>
              <w:pStyle w:val="11"/>
            </w:pPr>
            <w:r>
              <w:t>2</w:t>
            </w:r>
          </w:p>
        </w:tc>
        <w:tc>
          <w:tcPr>
            <w:tcW w:w="850" w:type="dxa"/>
            <w:vAlign w:val="center"/>
          </w:tcPr>
          <w:p>
            <w:pPr>
              <w:pStyle w:val="11"/>
            </w:pPr>
            <w:r>
              <w:t>0.15</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其他沙发类</w:t>
            </w:r>
          </w:p>
        </w:tc>
        <w:tc>
          <w:tcPr>
            <w:tcW w:w="1134" w:type="dxa"/>
            <w:vAlign w:val="center"/>
          </w:tcPr>
          <w:p>
            <w:pPr>
              <w:pStyle w:val="12"/>
            </w:pPr>
            <w:r>
              <w:t>A05010499</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0.24</w:t>
            </w:r>
          </w:p>
        </w:tc>
        <w:tc>
          <w:tcPr>
            <w:tcW w:w="964" w:type="dxa"/>
            <w:vAlign w:val="center"/>
          </w:tcPr>
          <w:p>
            <w:pPr>
              <w:pStyle w:val="11"/>
            </w:pPr>
            <w:r>
              <w:t>0.24</w:t>
            </w:r>
          </w:p>
        </w:tc>
        <w:tc>
          <w:tcPr>
            <w:tcW w:w="964" w:type="dxa"/>
            <w:vAlign w:val="center"/>
          </w:tcPr>
          <w:p>
            <w:pPr>
              <w:pStyle w:val="11"/>
            </w:pPr>
            <w:r>
              <w:t>0.24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书柜</w:t>
            </w:r>
          </w:p>
        </w:tc>
        <w:tc>
          <w:tcPr>
            <w:tcW w:w="1134" w:type="dxa"/>
            <w:vAlign w:val="center"/>
          </w:tcPr>
          <w:p>
            <w:pPr>
              <w:pStyle w:val="12"/>
            </w:pPr>
            <w:r>
              <w:t>A05010501</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0.18</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妇女儿童工作经费</w:t>
            </w:r>
          </w:p>
        </w:tc>
        <w:tc>
          <w:tcPr>
            <w:tcW w:w="964" w:type="dxa"/>
            <w:vAlign w:val="center"/>
          </w:tcPr>
          <w:p>
            <w:pPr>
              <w:pStyle w:val="11"/>
            </w:pPr>
            <w:r>
              <w:t>14.30</w:t>
            </w:r>
          </w:p>
        </w:tc>
        <w:tc>
          <w:tcPr>
            <w:tcW w:w="1134" w:type="dxa"/>
            <w:vAlign w:val="center"/>
          </w:tcPr>
          <w:p>
            <w:pPr>
              <w:pStyle w:val="12"/>
            </w:pPr>
            <w:r>
              <w:t>其他柜类</w:t>
            </w:r>
          </w:p>
        </w:tc>
        <w:tc>
          <w:tcPr>
            <w:tcW w:w="1134" w:type="dxa"/>
            <w:vAlign w:val="center"/>
          </w:tcPr>
          <w:p>
            <w:pPr>
              <w:pStyle w:val="12"/>
            </w:pPr>
            <w:r>
              <w:t>A05010599</w:t>
            </w:r>
          </w:p>
        </w:tc>
        <w:tc>
          <w:tcPr>
            <w:tcW w:w="709" w:type="dxa"/>
            <w:vAlign w:val="center"/>
          </w:tcPr>
          <w:p>
            <w:pPr>
              <w:pStyle w:val="13"/>
            </w:pPr>
            <w:r>
              <w:t>件</w:t>
            </w:r>
          </w:p>
        </w:tc>
        <w:tc>
          <w:tcPr>
            <w:tcW w:w="850" w:type="dxa"/>
            <w:vAlign w:val="center"/>
          </w:tcPr>
          <w:p>
            <w:pPr>
              <w:pStyle w:val="11"/>
            </w:pPr>
            <w:r>
              <w:t>1</w:t>
            </w:r>
          </w:p>
        </w:tc>
        <w:tc>
          <w:tcPr>
            <w:tcW w:w="850" w:type="dxa"/>
            <w:vAlign w:val="center"/>
          </w:tcPr>
          <w:p>
            <w:pPr>
              <w:pStyle w:val="11"/>
            </w:pPr>
            <w:r>
              <w:t>0.12</w:t>
            </w:r>
          </w:p>
        </w:tc>
        <w:tc>
          <w:tcPr>
            <w:tcW w:w="964" w:type="dxa"/>
            <w:vAlign w:val="center"/>
          </w:tcPr>
          <w:p>
            <w:pPr>
              <w:pStyle w:val="11"/>
            </w:pPr>
            <w:r>
              <w:t>0.12</w:t>
            </w:r>
          </w:p>
        </w:tc>
        <w:tc>
          <w:tcPr>
            <w:tcW w:w="964" w:type="dxa"/>
            <w:vAlign w:val="center"/>
          </w:tcPr>
          <w:p>
            <w:pPr>
              <w:pStyle w:val="11"/>
            </w:pPr>
            <w:r>
              <w:t>0.12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0.12</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保定市徐水区妇女联合会本级上年末固定资产金额为29.33万元（详见下表）。本年度拟购置固定资产总额为1.50万元，已按要求列入政府采购预算，详见政府采购预算表。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713001保定市徐水区妇女联合会本级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29.33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15.47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74</w:t>
            </w:r>
          </w:p>
        </w:tc>
        <w:tc>
          <w:tcPr>
            <w:tcW w:w="2835" w:type="dxa"/>
            <w:vAlign w:val="center"/>
          </w:tcPr>
          <w:p>
            <w:pPr>
              <w:pStyle w:val="11"/>
            </w:pPr>
            <w:r>
              <w:t>13.86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C5ECD"/>
    <w:rsid w:val="17AF65E9"/>
    <w:rsid w:val="1D7D4304"/>
    <w:rsid w:val="54522D06"/>
    <w:rsid w:val="67EF7E8A"/>
    <w:rsid w:val="72FB0AC0"/>
    <w:rsid w:val="7D034BFA"/>
    <w:rsid w:val="7EAF7ABB"/>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9</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2026-03-02T16:11:00Z</dcterms:created>
  <dc:creator>lenovo</dc:creator>
  <cp:lastModifiedBy>Administrator</cp:lastModifiedBy>
  <dcterms:modified xsi:type="dcterms:W3CDTF">2026-03-04T02:51:19Z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5ABE0C3A5ABC42849D3042B387BCDF96</vt:lpwstr>
  </property>
</Properties>
</file>