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保定市徐水区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年预算执行情况</w:t>
      </w:r>
      <w:r>
        <w:rPr>
          <w:rFonts w:hint="eastAsia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与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年预算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（草案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</w:rPr>
        <w:t>的报告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val="en-US" w:eastAsia="zh-CN"/>
        </w:rPr>
        <w:t>书面</w:t>
      </w:r>
      <w:r>
        <w:rPr>
          <w:rFonts w:hint="eastAsia" w:ascii="Times New Roman" w:hAnsi="Times New Roman" w:eastAsia="方正小标宋简体" w:cs="方正小标宋简体"/>
          <w:color w:val="auto"/>
          <w:spacing w:val="-4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书宋简体"/>
          <w:color w:val="auto"/>
          <w:spacing w:val="-4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pacing w:val="0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</w:rPr>
        <w:t>保定市徐水区第</w:t>
      </w:r>
      <w:r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</w:rPr>
        <w:t>届人民代表大会第</w:t>
      </w:r>
      <w:r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/>
          <w:color w:val="auto"/>
          <w:spacing w:val="0"/>
          <w:kern w:val="0"/>
          <w:sz w:val="32"/>
          <w:szCs w:val="32"/>
          <w:highlight w:val="none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_GB2312"/>
          <w:color w:val="auto"/>
          <w:spacing w:val="0"/>
          <w:kern w:val="0"/>
          <w:sz w:val="30"/>
          <w:szCs w:val="28"/>
          <w:highlight w:val="none"/>
        </w:rPr>
      </w:pPr>
      <w:r>
        <w:rPr>
          <w:rFonts w:hint="eastAsia" w:ascii="Times New Roman" w:hAnsi="Times New Roman" w:eastAsia="楷体_GB2312"/>
          <w:color w:val="auto"/>
          <w:spacing w:val="0"/>
          <w:kern w:val="0"/>
          <w:sz w:val="32"/>
          <w:szCs w:val="32"/>
          <w:highlight w:val="none"/>
        </w:rPr>
        <w:t>保</w:t>
      </w:r>
      <w:r>
        <w:rPr>
          <w:rFonts w:ascii="Times New Roman" w:hAnsi="Times New Roman" w:eastAsia="楷体_GB2312"/>
          <w:color w:val="auto"/>
          <w:spacing w:val="0"/>
          <w:kern w:val="0"/>
          <w:sz w:val="32"/>
          <w:szCs w:val="32"/>
          <w:highlight w:val="none"/>
        </w:rPr>
        <w:t>定市徐水</w:t>
      </w:r>
      <w:r>
        <w:rPr>
          <w:rFonts w:hint="eastAsia" w:ascii="Times New Roman" w:hAnsi="Times New Roman" w:eastAsia="楷体_GB2312"/>
          <w:color w:val="auto"/>
          <w:spacing w:val="0"/>
          <w:kern w:val="0"/>
          <w:sz w:val="32"/>
          <w:szCs w:val="32"/>
          <w:highlight w:val="none"/>
        </w:rPr>
        <w:t>区</w:t>
      </w:r>
      <w:r>
        <w:rPr>
          <w:rFonts w:ascii="Times New Roman" w:hAnsi="Times New Roman" w:eastAsia="楷体_GB2312"/>
          <w:color w:val="auto"/>
          <w:spacing w:val="0"/>
          <w:kern w:val="0"/>
          <w:sz w:val="32"/>
          <w:szCs w:val="32"/>
          <w:highlight w:val="none"/>
        </w:rPr>
        <w:t xml:space="preserve">财政局局长  </w:t>
      </w:r>
      <w:r>
        <w:rPr>
          <w:rFonts w:hint="eastAsia" w:ascii="Times New Roman" w:hAnsi="Times New Roman" w:eastAsia="楷体_GB2312"/>
          <w:color w:val="auto"/>
          <w:spacing w:val="0"/>
          <w:kern w:val="0"/>
          <w:sz w:val="32"/>
          <w:szCs w:val="32"/>
          <w:highlight w:val="none"/>
          <w:lang w:eastAsia="zh-CN"/>
        </w:rPr>
        <w:t>江磊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楷体_GB2312"/>
          <w:color w:val="auto"/>
          <w:spacing w:val="0"/>
          <w:kern w:val="0"/>
          <w:sz w:val="30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/>
          <w:color w:val="auto"/>
          <w:spacing w:val="0"/>
          <w:kern w:val="0"/>
          <w:sz w:val="32"/>
          <w:szCs w:val="32"/>
          <w:highlight w:val="none"/>
        </w:rPr>
        <w:t>各位代表：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受区政府委托，我向大会报告2025年预算执行情况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2026年预算草案，请予审议，并请各位政协委员和列席会议的同志提出意见。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/>
        </w:rPr>
        <w:t>202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5年预算执行情况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在区委的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坚强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领导下，在区人大及其常委会、区政协的监督支持下，全区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财政坚持以习近平新时代中国特色社会主义思想为指导，深入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贯彻党的二十大和二十届历次全会精神，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认真落实中央经济工作会议及省委、市委、区委各项决策部署，坚持稳中求进总基调，完整准确全面贯彻新发展理念，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高效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落实更加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积极的财政政策，持续强化预算执行管理，着力加强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三保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”等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重点领域保障，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严格落实党政机关习惯过“紧日子”要求，有效防范财政运行风险，扎实推进财政科学管理，在极为困难的局面下实现了财政平稳运行。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  <w:u w:val="none"/>
        </w:rPr>
        <w:t>（一）一般公共预算执行情况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本级一般公共预算收入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17亿元，占调整预算的101.4%，较上年增长17.9%。上级补助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亿元，动用预算稳定调节基金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亿元，上年结转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亿元，调入资金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亿元，债务转贷收入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亿元，收入总计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52.3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亿元。本级一般公共预算支出46亿元，占调整预算的97.5%，较上年增长1.3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。上解支出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亿元，债务还本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亿元，结转下年支出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亿元，调出资金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亿元，安排预算稳定调节基金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亿元，支出总计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52.3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亿元。收支相抵，当年收支平衡。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（二）政府性基金预算执行情况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pacing w:val="0"/>
          <w:kern w:val="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本级政府性基金预算收入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2.3亿元，占调整预算的103.8%，较上年下降65.4%，上级补助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亿元，上年结转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亿元，调入资金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亿元，债务转贷收入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亿元，收入总计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23.2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亿元。本级政府性基金预算支出14.4亿元，占调整预算的67.3%，较上年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20.5%。结转下年支出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亿元，调出资金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亿元，债务还本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亿元，支出总计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23.2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亿元。收支相抵，当年收支平衡。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）社会保险基金预算执行情况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社会保险基金收入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9.1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亿元，占调整预算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99.1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%，其中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机关事业单位基本养老保险基金收入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亿元，城乡居民基本养老保险基金收入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亿元。社会保险基金支出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7.6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亿元，占调整预算的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99.5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%，其中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机关事业单位基本养老保险基金支出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亿元，城乡居民基本养老保险基金支出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zh-CN"/>
        </w:rPr>
        <w:t>（四）国有资本经营预算执行情况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国有资本经营预算收入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121万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元，支出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万元，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为上级转移支付资金。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en-US" w:eastAsia="zh-CN"/>
        </w:rPr>
        <w:t>（五）地方政府债务情况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1.地方政府债务限额及余额情况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截至2025年底，我区政府债务限额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123.5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亿元，其中，一般债务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亿元，专项债务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104.6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亿元。政府债务余额为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亿元，其中，一般债务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亿元，专项债务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103.4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亿元，未突破限额。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2.地方政府债券发行及使用情况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上级下达政府债券资金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亿元，其中，一般债券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亿元、专项债券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亿元。政府债券资金共支出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亿元，其中，一般债券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亿元，专项债券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6.7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宋体"/>
          <w:b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3.政府债务还本付息情况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上解政府债券本息及付息服务费5.2亿元，未发生逾期风险事件。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en-US" w:eastAsia="zh-CN"/>
        </w:rPr>
        <w:t>（六）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24"/>
          <w:highlight w:val="none"/>
          <w:u w:val="none"/>
          <w:lang w:val="zh-CN"/>
        </w:rPr>
        <w:t>预算执行特点和成效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1.精准施策，发展动能持续积聚。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组合使用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地方政府债券、超长期国债、减税降费、政府采购等工具，高效落实更加积极的财政政策，巩固经济稳中向好势头。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方正仿宋_GBK" w:cs="仿宋_GB2312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着力优化专项债投向。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拨付专项债券资金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亿元，重点支持产业园区基础设施建设、棚户区改造等，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发挥财政资金稳投资、补短板、惠民生作用。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二是管好用好国债资金。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拨付增发国债资金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亿元，用于漕河治理工程、水毁公路重建、六各庄排干防洪灾后重建等，加快弥补防灾减灾救灾短板。拨付超长期特别国债资金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亿元，重点支持“两重”</w:t>
      </w:r>
      <w:r>
        <w:rPr>
          <w:rFonts w:hint="eastAsia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“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两新</w:t>
      </w:r>
      <w:r>
        <w:rPr>
          <w:rFonts w:hint="eastAsia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”</w:t>
      </w:r>
      <w:r>
        <w:rPr>
          <w:rFonts w:hint="eastAsia" w:ascii="Times New Roman" w:hAnsi="Times New Roman" w:eastAsia="方正仿宋_GBK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政策落地，实施好提振消费专项行动。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三是全面落实税费政策。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累计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减税降费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和留抵退税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亿元，</w:t>
      </w:r>
      <w:r>
        <w:rPr>
          <w:rFonts w:hint="eastAsia" w:ascii="Times New Roman" w:hAnsi="Times New Roman" w:eastAsia="方正仿宋_GBK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切实为市场主体增活力、添动力、提信心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。四是持续优化政府采购营商环境。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成政府采购计划备案76个，合同金额1.9亿元，其中预留中小企业采购金额1.2亿元，预留比例达到63%，充分调动各类经营主体积极性。纵深推进“双盲”评审全覆盖，全区8个项目开展政府采购公开招标“双盲”远程异地评审，涉及金额2565万元，评审过程公平性、公开性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进一步增强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2.倾力惠民，群众福祉更加殷实</w:t>
      </w:r>
      <w:r>
        <w:rPr>
          <w:rFonts w:hint="eastAsia" w:ascii="Times New Roman" w:hAnsi="Times New Roman" w:eastAsia="方正仿宋_GBK" w:cs="方正仿宋_GBK"/>
          <w:b/>
          <w:bCs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坚持尽力而为、量力而行，持续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基础性、普惠性、兜底性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基本民生保障。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一是支持教育优质均衡发展。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严格落实教育支出“只增不减”目标，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全区教育事业支出12.5亿元，重点支持民办义务教育学校购买学位、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校舍安全提升、薄弱学校改造、营养餐改善计划、现代职业教育质量提升等重点项目落地实施。普通高中国家助学金和中等职业学校国家助学金资助标准</w:t>
      </w:r>
      <w:r>
        <w:rPr>
          <w:rFonts w:hint="eastAsia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提高300元，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达到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每生每年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2300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元，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587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名学生受益</w:t>
      </w:r>
      <w:r>
        <w:rPr>
          <w:rFonts w:hint="eastAsia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。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落实学前一年保教保育费减免政策，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6117名</w:t>
      </w:r>
      <w:r>
        <w:rPr>
          <w:rFonts w:hint="eastAsia" w:ascii="Times New Roman" w:hAnsi="Times New Roman" w:eastAsia="方正仿宋_GBK" w:cs="仿宋"/>
          <w:color w:val="000000"/>
          <w:kern w:val="0"/>
          <w:sz w:val="31"/>
          <w:szCs w:val="31"/>
          <w:highlight w:val="none"/>
          <w:lang w:val="en-US" w:eastAsia="zh-CN" w:bidi="ar"/>
        </w:rPr>
        <w:t>在园儿童享受政策红利。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二是支持卫生健康事业发展。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把保障人民健康放在优先发展地位，着力减轻人民群众看病就医负担，提升群众获得感、幸福感。拨付专项资金2亿元，用于城乡居民基本医疗保险、医疗救助补助、基本公共卫生服务、落实国家基本药物制度等，城乡居民基本医疗保险人均财政补助提高30元，达到每人每年700元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基本公共卫生服务经费人均财政补助标准提高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元，达到每人每年99元。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三是支持完善社保体系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拨付专项资金4.2亿元，用于城乡居民基本养老保险、机关事业养老补助和低保对象、特困人员、孤儿、残疾人、临时救助等困难群众基本生活保障以及落实就业优先政策。城乡居民基础养老金标准提高20元，达到每人每月200元，城市特困标准提高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元，达到每人每月1065元。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统筹资金3956万元，按照每孩每年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3600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元标准对符合法律法规规定生育的</w:t>
      </w:r>
      <w:r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周岁以下婴幼儿发放补贴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，12505人受益。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3.聚力攻坚，重大部署有效落地。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聚焦党中央决策和省委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、市委、区委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，支持保障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国家战略、大事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要事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顺利实施。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支持乡村全面振兴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拨付专项资金2.3亿元，用于巩固拓展脱贫攻坚成果同乡村振兴有效衔接、耕地地力保护和农业保险保费补贴、高标准农田建设、农村公益事业建设、农机购置与报废补贴、村级组织运转等，激活农村各类要素潜能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二是践行绿色发展理念。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拨付资金2.7亿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，用于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白洋淀上游矿山恢复治理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山水林田湖草沙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一体化保护和系统治理、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农村冬季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双代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清洁取暖补贴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洁净型煤补贴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污水处理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土地绿化流转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等，持续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保护和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改善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大气、水、土壤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环境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三是助力培育新质生产力。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拨付资金7003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万元，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重点支持大型科研仪器设备开放共享、科技创新引导等方面，增强发展内生动力。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4.严控风险，安全屏障更加牢固。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统筹发展和安全，切实提高防范化解风险能力。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一是严格债务管理。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加强对债务规模、结构、资金流向全过程精准监控，坚决遏制新增隐性债务，</w:t>
      </w:r>
      <w:r>
        <w:rPr>
          <w:rFonts w:ascii="Times New Roman" w:hAnsi="Times New Roman" w:eastAsia="方正仿宋_GBK" w:cs="仿宋"/>
          <w:color w:val="auto"/>
          <w:kern w:val="0"/>
          <w:sz w:val="31"/>
          <w:szCs w:val="31"/>
          <w:highlight w:val="none"/>
          <w:lang w:val="en-US" w:eastAsia="zh-CN" w:bidi="ar"/>
        </w:rPr>
        <w:t>牢牢守</w:t>
      </w:r>
      <w:r>
        <w:rPr>
          <w:rFonts w:hint="eastAsia" w:ascii="Times New Roman" w:hAnsi="Times New Roman" w:eastAsia="方正仿宋_GBK" w:cs="仿宋"/>
          <w:color w:val="auto"/>
          <w:kern w:val="0"/>
          <w:sz w:val="31"/>
          <w:szCs w:val="31"/>
          <w:highlight w:val="none"/>
          <w:lang w:val="en-US" w:eastAsia="zh-CN" w:bidi="ar"/>
        </w:rPr>
        <w:t>住</w:t>
      </w:r>
      <w:r>
        <w:rPr>
          <w:rFonts w:ascii="Times New Roman" w:hAnsi="Times New Roman" w:eastAsia="方正仿宋_GBK" w:cs="仿宋"/>
          <w:color w:val="auto"/>
          <w:kern w:val="0"/>
          <w:sz w:val="31"/>
          <w:szCs w:val="31"/>
          <w:highlight w:val="none"/>
          <w:lang w:val="en-US" w:eastAsia="zh-CN" w:bidi="ar"/>
        </w:rPr>
        <w:t>政府债务</w:t>
      </w:r>
      <w:r>
        <w:rPr>
          <w:rFonts w:hint="eastAsia" w:ascii="Times New Roman" w:hAnsi="Times New Roman" w:eastAsia="方正仿宋_GBK" w:cs="仿宋"/>
          <w:color w:val="auto"/>
          <w:kern w:val="0"/>
          <w:sz w:val="31"/>
          <w:szCs w:val="31"/>
          <w:highlight w:val="none"/>
          <w:lang w:val="en-US" w:eastAsia="zh-CN" w:bidi="ar"/>
        </w:rPr>
        <w:t>“零违约”底线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。拨付资金3.2亿元，清理拖欠企业账款，50万元以下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欠款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提前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清零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，维护经济安全和社会稳定。</w:t>
      </w:r>
      <w:r>
        <w:rPr>
          <w:rFonts w:hint="eastAsia" w:ascii="Times New Roman" w:hAnsi="Times New Roman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二是</w:t>
      </w:r>
      <w:r>
        <w:rPr>
          <w:rFonts w:ascii="Times New Roman" w:hAnsi="Times New Roman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兜牢</w:t>
      </w:r>
      <w:r>
        <w:rPr>
          <w:rFonts w:hint="eastAsia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“</w:t>
      </w:r>
      <w:r>
        <w:rPr>
          <w:rFonts w:ascii="Times New Roman" w:hAnsi="Times New Roman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三保</w:t>
      </w:r>
      <w:r>
        <w:rPr>
          <w:rFonts w:hint="eastAsia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”</w:t>
      </w:r>
      <w:r>
        <w:rPr>
          <w:rFonts w:ascii="Times New Roman" w:hAnsi="Times New Roman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底线。</w:t>
      </w:r>
      <w:r>
        <w:rPr>
          <w:rFonts w:hint="eastAsia" w:ascii="Times New Roman" w:hAnsi="Times New Roman" w:eastAsia="方正仿宋_GBK" w:cs="仿宋"/>
          <w:color w:val="auto"/>
          <w:kern w:val="0"/>
          <w:sz w:val="31"/>
          <w:szCs w:val="31"/>
          <w:highlight w:val="none"/>
          <w:lang w:val="en-US" w:eastAsia="zh-CN" w:bidi="ar"/>
        </w:rPr>
        <w:t>严格执行“五环”分层支出保障法，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统筹资金，按时足额落实“三保”支出，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“三保”支出 23.9亿元，保障率106.4%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仿宋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三是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扛牢财会监督主责。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坚持精准发现问题和有效解决问题相结合，开展乡镇财政基础管理工作专项整治。针对地方政府债务、高标准农田建设资金使用管理情况等开展专项监督检查，扎实开展会计信息质量检查，严肃财经纪律，维护财经秩序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5.锐意革新，管理效能加速释放。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以河北省财政科学管理试点为契机，全面提升财政管理规范化、科学化、精细化水平。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一是强化数字赋能。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深入推进“数字财政”建设，持续拓展财政业务数字化应用场景，构建了7个核心模块和24个分支功能组成的强大信息化支撑体系，通过“规则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技术”方式，赋能财政全链条管理，切实增强管理刚性。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二是提质绩效管理。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依托“数字财政”系统，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完善全方位、全过程、全覆盖的预算绩效闭环管理体系，评价结果自动计算、实时更新，评价报告直接生成、客观可用，推动绩效管理从“滞后评价”到“超前预判”、从“模糊评价”到“算法治理”转变。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pacing w:val="0"/>
          <w:kern w:val="0"/>
          <w:highlight w:val="none"/>
          <w:lang w:val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在肯定成绩的同时，我们也清醒地认识到新形势下财政工作面临新的困难和挑战，主要表现在：财源抗冲击能力不足，财政增收难度大；减收增支因素进一步凸显，收支矛盾更加突出；部门绩效理念有待增强，提升预算绩效还有较大空间；争取债券规模大，偿债压力进一步加剧。对此，我们将坚持问题导向，做好统筹谋划，采取有效措施，努力加以解决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pacing w:val="0"/>
          <w:kern w:val="0"/>
          <w:sz w:val="32"/>
          <w:szCs w:val="32"/>
          <w:highlight w:val="none"/>
        </w:rPr>
        <w:t>二、202</w:t>
      </w:r>
      <w:r>
        <w:rPr>
          <w:rFonts w:hint="eastAsia" w:ascii="Times New Roman" w:hAnsi="Times New Roman" w:eastAsia="方正黑体_GBK" w:cs="方正黑体_GBK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auto"/>
          <w:spacing w:val="0"/>
          <w:kern w:val="0"/>
          <w:sz w:val="32"/>
          <w:szCs w:val="32"/>
          <w:highlight w:val="none"/>
        </w:rPr>
        <w:t>年预算（草案）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  <w:t>（一）预算安排指导思想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以习近平新时代中国特色社会主义思想为指导，深入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zh-CN" w:eastAsia="zh-CN"/>
        </w:rPr>
        <w:t>贯彻党的二十大和二十届历次全会精神，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认真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落实中央和省委、市委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、区委决策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部署，坚持稳中求进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总基调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，完整准确全面贯彻新发展理念，积极服务和融入新发展格局，落实更加积极的财政政策，加强财政资源和预算统筹，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深化零基预算改革，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坚持党政机关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习惯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过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紧日子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，优化财政支出结构，强化重点领域保障，防范化解债务风险，严肃财经纪律，提高资金使用效益和政策效能，为全区经济社会高质量发展提供有力支撑。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  <w:t>（二）预算安排基本原则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依法依规。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严格执行《预算法》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和《预算法实施条例》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highlight w:val="none"/>
          <w:lang w:val="en-US" w:eastAsia="zh-CN"/>
        </w:rPr>
        <w:t>突出绩效。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完善预算绩效全过程管理机制，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实施项目全生命周期管理，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着力提升财政资金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使用质效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三是优化结构。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优先保障“三保”等刚性支出，严控一般性支出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，把有限的资金用在稳定关键点、发展紧要处、民生急需处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是防控风险。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预算管理和政府债务限额管理，确保财政平稳运行、全年收支平衡和政府债务合理适度。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</w:rPr>
        <w:t>（三）预算安排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</w:rPr>
        <w:t>.一般公共预算安排情况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15.3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亿元（其中税收收入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亿元、非税收入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亿元），较上年增长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2.5%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，上级补助收入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21.2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亿元，债务转贷收入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亿元，调入预算稳定调节基金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亿元，调入资金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亿元，收入总计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亿元，上解上级支出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亿元，债务还本支出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亿元，支出总计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47.9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亿元。收支相抵后收支平衡。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  <w:t>2.政府性基金预算安排情况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政府性基金收入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16.5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亿元，上级补助收入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389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万元，专项债券转贷收入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亿元，收入总计为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18.7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政府性基金支出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9.4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亿元，债务还本支出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2.4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亿元，调出资金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6.9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亿元，支出总计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18.7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亿元。收支相抵后收支平衡。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  <w:t>3.社会保险基金预算安排情况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主要包括机关事业单位基本养老保险基金、城乡居民基本养老保险基金。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社保基金收入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4亿元，支出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8.1亿元，当年收支结余0.3亿元。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  <w:t>4.</w:t>
      </w:r>
      <w:r>
        <w:rPr>
          <w:rFonts w:hint="eastAsia"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  <w:t>国有</w:t>
      </w:r>
      <w:r>
        <w:rPr>
          <w:rFonts w:ascii="Times New Roman" w:hAnsi="Times New Roman" w:eastAsia="方正仿宋_GBK" w:cs="Times New Roman"/>
          <w:b/>
          <w:color w:val="auto"/>
          <w:spacing w:val="0"/>
          <w:kern w:val="0"/>
          <w:sz w:val="32"/>
          <w:szCs w:val="32"/>
          <w:highlight w:val="none"/>
          <w:u w:val="none"/>
        </w:rPr>
        <w:t>资本经营预算安排情况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我区无应上缴国有资本经营收益，未编制相应收支预算。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highlight w:val="none"/>
        </w:rPr>
        <w:t>三、20</w:t>
      </w:r>
      <w:r>
        <w:rPr>
          <w:rFonts w:ascii="Times New Roman" w:hAnsi="Times New Roman" w:eastAsia="黑体"/>
          <w:color w:val="auto"/>
          <w:spacing w:val="0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重点工作措施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（一）在政策落实上精准发力，巩固经济向好势头。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高效落实更加积极的财政政策，用足用好政府专项债券、超长期特别国债等资金，进一步加强政府投资项目管理，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提升项目建设质效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平稳有序实施消费品“以旧换新”，落实育儿补贴、免费学前教育、个人消费贷和经营主体贷款贴息等增量政策，打好提振消费“组合拳”。落实政府采购公开招标项目双盲评审制度和中小企业预留份额要求，进一步激发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活力。健全防范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“三乱”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长效机制，巩固涉企违规收费整治成果。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（二）在收支管理上科学统筹，增强支持保障能力。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科学研判财经形势，强化财税部门协调联动，加强重点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、重点税源监控分析，做到依法征收、应收尽收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，做大财政收入蛋糕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密切关注上级政策动向、资金投向，全力争取转移支付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牢固树立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党政机关习惯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紧日子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思想，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继续压减一般性支出，依托数字技术分层分类有序安排支出，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优化财政支出结构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（三）在重点领域上优先保障，筑牢改革发展根基。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教育、社保、就业等基本民生保障，切实兜牢“三保”底线，不断织密扎牢民生兜底安全网。积极服务保障雄忻高铁、R1线、北三环S524项目等基础设施建设，在对接京津、服务雄安中加快发展。重点支持城乡基础设施建设，深入实施城市更新行动。用好财政衔接推进乡村振兴补助资金，落实各项惠农补贴政策，推进以人为本的新型城镇化和城乡协调发展。重点支持经济社会发展绿色转型，助力蓝天、碧水、净土保卫战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（四）在风险防范上严守底线，保障财政运行安全。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进一步深化政府债务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借、用、管、还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全过程管理，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债务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风险预判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应对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优先安排债券还本付息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，坚决遏制新增隐性债务。强化预算执行控制，严禁超预算、无预算支出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加强财会监督，持续开展资金安全专项检查，严肃财经纪律，维护财经秩序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（五）在科学管理上纵深探索，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提升财政治理效能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。充分发挥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财政科学管理试点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先行优势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深化零基预算改革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加强预算绩效管理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、推进财政数字化、提升乡级财政运行效能等方面，形成一批可复制可转化的成果，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面提升财政管理系统化、精细化、标准化和法治化水平。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各位代表，做好2026年财政工作任务艰巨、责任重大。我们将在区委的坚强领导下，在区人大及其常委会的有效监督下，坚定信心、锐意进取、扎实工作，努力完成全年预算目标任务，扎实推动财政各项工作高质量发展，加快建设经济强区美丽徐水，奋力谱写中国式现代化徐水篇章。</w:t>
      </w:r>
    </w:p>
    <w:p>
      <w:pP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br w:type="page"/>
      </w:r>
    </w:p>
    <w:tbl>
      <w:tblPr>
        <w:tblStyle w:val="13"/>
        <w:tblW w:w="89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1740"/>
        <w:gridCol w:w="1714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  <w:t>2025年一般公共预算收入情况表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占预算（%）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增长（％）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77927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100.9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增值税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25446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100.2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-3.9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5604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102.6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2203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101.5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756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102.1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13877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100.9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-2.3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7266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100.1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4398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100.4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5304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101.0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2060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100.5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-30.5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3674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100.1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2169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104.3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-41.5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5170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103.4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-56.9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92374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101.7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专项收入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19166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101.1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行政事业性收费收入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4995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101.9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罚没收入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3810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106.7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国有资源(资产)有偿使用收入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63837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101.6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政府住房基金收入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101.0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</w:t>
            </w:r>
          </w:p>
        </w:tc>
      </w:tr>
    </w:tbl>
    <w:p/>
    <w:tbl>
      <w:tblPr>
        <w:tblStyle w:val="13"/>
        <w:tblW w:w="8860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513"/>
        <w:gridCol w:w="1599"/>
        <w:gridCol w:w="16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6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  <w:t>2025年一般公共预算支出情况表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86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  算  科  目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占预算（%）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增长（％）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47132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-11.1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二、公共安全支出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13309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0.8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三、教育支出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126373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四、科学技术支出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7003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五、文化旅游体育与传媒支出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2338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-20.6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六、社会保障和就业支出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80175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99.6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16.2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七、卫生健康支出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37607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8.2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八、节能环保支出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16884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318.3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九、城乡社区支出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60719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98.4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269.8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十、农林水支出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32182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-19.9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十一、交通运输支出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3357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-46.2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十二、资源勘探工业信息等支出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-46.0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十三、商业服务业等支出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64.2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十四、自然资源海洋气象等支出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5944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-31.1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十五、住房保障支出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10933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145.7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十六、粮油物资储备支出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-33.9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十七、灾害防治及应急管理支出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21460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-77.6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十八、债务付息支出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5278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1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十九、债务发行费用支出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-7.4 </w:t>
            </w:r>
          </w:p>
        </w:tc>
      </w:tr>
    </w:tbl>
    <w:p>
      <w:pP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br w:type="page"/>
      </w:r>
    </w:p>
    <w:tbl>
      <w:tblPr>
        <w:tblStyle w:val="13"/>
        <w:tblW w:w="909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731"/>
        <w:gridCol w:w="1267"/>
        <w:gridCol w:w="1350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00" w:hRule="atLeast"/>
        </w:trPr>
        <w:tc>
          <w:tcPr>
            <w:tcW w:w="9098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pBdr>
                <w:bottom w:val="single" w:color="FFFFFF" w:sz="4" w:space="29"/>
              </w:pBdr>
              <w:autoSpaceDE w:val="0"/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5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年政府性基金收入情况表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00" w:hRule="atLeast"/>
        </w:trPr>
        <w:tc>
          <w:tcPr>
            <w:tcW w:w="9098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占预算（%）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增长（%）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20" w:hRule="atLeast"/>
        </w:trPr>
        <w:tc>
          <w:tcPr>
            <w:tcW w:w="49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22831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103.8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-65.4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1030146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1、国有土地收益基金收入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1403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107.9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-56.4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1030147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2、农业土地开发资金收入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114.2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-34.7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3、国有土地使用权出让收入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17001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101.2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-71.4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4、彩票公益金收入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112.0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1030156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5、城市基础设施配套费收入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126.4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1030178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6、污水处理费收入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1242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112.9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1030199</w:t>
            </w:r>
          </w:p>
        </w:tc>
        <w:tc>
          <w:tcPr>
            <w:tcW w:w="3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7、其他政府性基金专项债务对应项目专项收入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13"/>
        <w:tblW w:w="896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955"/>
        <w:gridCol w:w="1605"/>
        <w:gridCol w:w="139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68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  <w:t>2025年政府性基金支出情况表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68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占预算（%）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一、文化体育与传媒支出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二、城乡社区支出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-61.4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三、农林水支出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四、资源勘探工业信息等支出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五、住房保障支出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六、灾害防治及应急管理支出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46232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 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七、其他支出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104003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 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八、债务付息支出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28238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九、债务发行费用支出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99.7 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-53.0</w:t>
            </w:r>
          </w:p>
        </w:tc>
      </w:tr>
    </w:tbl>
    <w:p>
      <w:pP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br w:type="page"/>
      </w:r>
    </w:p>
    <w:tbl>
      <w:tblPr>
        <w:tblStyle w:val="13"/>
        <w:tblW w:w="8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71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8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pBdr>
                <w:bottom w:val="single" w:color="FFFFFF" w:sz="4" w:space="31"/>
              </w:pBdr>
              <w:autoSpaceDE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5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年社会保险基金收入情况表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8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2"/>
                <w:szCs w:val="22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科目编码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科目名称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执行数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102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社保保险基金收入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10210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城乡居民基本养老保险基金收入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10211</w:t>
            </w:r>
          </w:p>
        </w:tc>
        <w:tc>
          <w:tcPr>
            <w:tcW w:w="47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机关事业单位基本养老保险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eastAsia="zh-CN"/>
              </w:rPr>
              <w:t>基金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收入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91235 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p>
      <w:pPr>
        <w:pBdr>
          <w:bottom w:val="single" w:color="FFFFFF" w:sz="4" w:space="31"/>
        </w:pBdr>
        <w:autoSpaceDE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宋体"/>
          <w:b/>
          <w:spacing w:val="-4"/>
          <w:kern w:val="0"/>
          <w:sz w:val="32"/>
          <w:szCs w:val="32"/>
          <w:highlight w:val="none"/>
        </w:rPr>
      </w:pPr>
    </w:p>
    <w:tbl>
      <w:tblPr>
        <w:tblStyle w:val="13"/>
        <w:tblW w:w="9190" w:type="dxa"/>
        <w:tblInd w:w="-6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4"/>
        <w:gridCol w:w="30"/>
        <w:gridCol w:w="4"/>
        <w:gridCol w:w="295"/>
        <w:gridCol w:w="1400"/>
        <w:gridCol w:w="360"/>
        <w:gridCol w:w="185"/>
        <w:gridCol w:w="2596"/>
        <w:gridCol w:w="145"/>
        <w:gridCol w:w="435"/>
        <w:gridCol w:w="220"/>
        <w:gridCol w:w="1094"/>
        <w:gridCol w:w="35"/>
        <w:gridCol w:w="270"/>
        <w:gridCol w:w="1431"/>
        <w:gridCol w:w="369"/>
        <w:gridCol w:w="40"/>
        <w:gridCol w:w="7"/>
        <w:gridCol w:w="14"/>
        <w:gridCol w:w="47"/>
        <w:gridCol w:w="47"/>
        <w:gridCol w:w="1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420" w:hRule="atLeast"/>
        </w:trPr>
        <w:tc>
          <w:tcPr>
            <w:tcW w:w="8171" w:type="dxa"/>
            <w:gridSpan w:val="11"/>
            <w:tcBorders>
              <w:tl2br w:val="nil"/>
              <w:tr2bl w:val="nil"/>
            </w:tcBorders>
            <w:noWrap/>
            <w:vAlign w:val="top"/>
          </w:tcPr>
          <w:p>
            <w:pPr>
              <w:pBdr>
                <w:bottom w:val="single" w:color="FFFFFF" w:sz="4" w:space="31"/>
              </w:pBdr>
              <w:autoSpaceDE w:val="0"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5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年社会保险基金支出情况表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420" w:hRule="atLeast"/>
        </w:trPr>
        <w:tc>
          <w:tcPr>
            <w:tcW w:w="8171" w:type="dxa"/>
            <w:gridSpan w:val="11"/>
            <w:tcBorders>
              <w:tl2br w:val="nil"/>
              <w:tr2bl w:val="nil"/>
            </w:tcBorders>
            <w:noWrap/>
            <w:vAlign w:val="top"/>
          </w:tcPr>
          <w:p>
            <w:pPr>
              <w:widowControl/>
              <w:jc w:val="right"/>
              <w:rPr>
                <w:rFonts w:ascii="仿宋" w:hAnsi="仿宋" w:eastAsia="仿宋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2"/>
                <w:szCs w:val="22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540" w:hRule="atLeast"/>
        </w:trPr>
        <w:tc>
          <w:tcPr>
            <w:tcW w:w="19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科目编码</w:t>
            </w:r>
          </w:p>
        </w:tc>
        <w:tc>
          <w:tcPr>
            <w:tcW w:w="449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科目名称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执行数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525" w:hRule="atLeast"/>
        </w:trPr>
        <w:tc>
          <w:tcPr>
            <w:tcW w:w="19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209</w:t>
            </w:r>
          </w:p>
        </w:tc>
        <w:tc>
          <w:tcPr>
            <w:tcW w:w="449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社会保险基金支出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525" w:hRule="atLeast"/>
        </w:trPr>
        <w:tc>
          <w:tcPr>
            <w:tcW w:w="19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20910</w:t>
            </w:r>
          </w:p>
        </w:tc>
        <w:tc>
          <w:tcPr>
            <w:tcW w:w="449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城乡居民基本养老保险基金支出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42459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525" w:hRule="atLeast"/>
        </w:trPr>
        <w:tc>
          <w:tcPr>
            <w:tcW w:w="19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20911</w:t>
            </w:r>
          </w:p>
        </w:tc>
        <w:tc>
          <w:tcPr>
            <w:tcW w:w="449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机关事业单位基本养老保险基金支出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33564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7"/>
          <w:wBefore w:w="380" w:type="dxa"/>
          <w:wAfter w:w="639" w:type="dxa"/>
          <w:trHeight w:val="525" w:hRule="atLeast"/>
        </w:trPr>
        <w:tc>
          <w:tcPr>
            <w:tcW w:w="6435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76023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735" w:hRule="atLeast"/>
          <w:jc w:val="center"/>
        </w:trPr>
        <w:tc>
          <w:tcPr>
            <w:tcW w:w="8900" w:type="dxa"/>
            <w:gridSpan w:val="1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/>
              <w:widowControl w:val="0"/>
              <w:pBdr>
                <w:bottom w:val="single" w:color="FFFFFF" w:sz="4" w:space="31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年一般公共预算收入情况表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49" w:hRule="atLeast"/>
          <w:jc w:val="center"/>
        </w:trPr>
        <w:tc>
          <w:tcPr>
            <w:tcW w:w="8900" w:type="dxa"/>
            <w:gridSpan w:val="1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30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1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一般公共预算收入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4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116572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8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1.增值税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38065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2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2.企业所得税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8383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3.个人所得税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  <w:t>3295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3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4.资源税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4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5.城市维护建设税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9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6.房产税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0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7.印花税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4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8.城镇土地使用税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9.土地增值税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10.车船税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04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11.耕地占用税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12.契税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1.专项收入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42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2.行政事业性收费收入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  <w:t>3901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3.罚没收入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4.国有资源（资产）有偿使用收入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3"/>
          <w:wBefore w:w="81" w:type="dxa"/>
          <w:wAfter w:w="209" w:type="dxa"/>
          <w:trHeight w:val="559" w:hRule="atLeast"/>
          <w:jc w:val="center"/>
        </w:trPr>
        <w:tc>
          <w:tcPr>
            <w:tcW w:w="54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5.政府住房基金收入</w:t>
            </w:r>
          </w:p>
        </w:tc>
        <w:tc>
          <w:tcPr>
            <w:tcW w:w="34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30" w:type="dxa"/>
          <w:trHeight w:val="571" w:hRule="atLeast"/>
          <w:jc w:val="center"/>
        </w:trPr>
        <w:tc>
          <w:tcPr>
            <w:tcW w:w="8960" w:type="dxa"/>
            <w:gridSpan w:val="1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年一般公共预算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30" w:type="dxa"/>
          <w:trHeight w:val="543" w:hRule="atLeast"/>
          <w:jc w:val="center"/>
        </w:trPr>
        <w:tc>
          <w:tcPr>
            <w:tcW w:w="8960" w:type="dxa"/>
            <w:gridSpan w:val="18"/>
            <w:tcBorders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1074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科目编码及名称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本级支出合计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125293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3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486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09" w:type="dxa"/>
          <w:trHeight w:val="501" w:hRule="atLeast"/>
          <w:jc w:val="center"/>
        </w:trPr>
        <w:tc>
          <w:tcPr>
            <w:tcW w:w="49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4060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51" w:type="dxa"/>
          <w:wAfter w:w="115" w:type="dxa"/>
          <w:trHeight w:val="799" w:hRule="atLeast"/>
        </w:trPr>
        <w:tc>
          <w:tcPr>
            <w:tcW w:w="9024" w:type="dxa"/>
            <w:gridSpan w:val="20"/>
            <w:tcBorders>
              <w:tl2br w:val="nil"/>
              <w:tr2bl w:val="nil"/>
            </w:tcBorders>
            <w:noWrap/>
            <w:vAlign w:val="center"/>
          </w:tcPr>
          <w:p>
            <w:pPr>
              <w:pBdr>
                <w:bottom w:val="single" w:color="FFFFFF" w:sz="4" w:space="31"/>
              </w:pBdr>
              <w:autoSpaceDE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年政府性基金收入情况表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499" w:hRule="atLeast"/>
        </w:trPr>
        <w:tc>
          <w:tcPr>
            <w:tcW w:w="8977" w:type="dxa"/>
            <w:gridSpan w:val="19"/>
            <w:tcBorders>
              <w:tl2br w:val="nil"/>
              <w:tr2bl w:val="nil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93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一、农业土地开发资金收入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二、国有土地使用权出让收入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127810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三、国有土地收益基金收入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6700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四、彩票公益金收入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五、城市基础设施配套费收入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六、污水处理费收入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900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七、其他政府性基金专项债券对应项目专项收入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24270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51" w:type="dxa"/>
          <w:wAfter w:w="162" w:type="dxa"/>
          <w:trHeight w:val="624" w:hRule="atLeast"/>
        </w:trPr>
        <w:tc>
          <w:tcPr>
            <w:tcW w:w="567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30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7" w:type="dxa"/>
          <w:wAfter w:w="223" w:type="dxa"/>
          <w:trHeight w:val="90" w:hRule="atLeast"/>
          <w:jc w:val="center"/>
        </w:trPr>
        <w:tc>
          <w:tcPr>
            <w:tcW w:w="8960" w:type="dxa"/>
            <w:gridSpan w:val="1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/>
              <w:widowControl w:val="0"/>
              <w:pBdr>
                <w:bottom w:val="single" w:color="FFFFFF" w:sz="4" w:space="31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年政府性基金支出情况表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7" w:type="dxa"/>
          <w:wAfter w:w="223" w:type="dxa"/>
          <w:trHeight w:val="500" w:hRule="atLeast"/>
          <w:jc w:val="center"/>
        </w:trPr>
        <w:tc>
          <w:tcPr>
            <w:tcW w:w="8960" w:type="dxa"/>
            <w:gridSpan w:val="1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716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602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620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61365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620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723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723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723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32235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723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7" w:type="dxa"/>
          <w:wAfter w:w="162" w:type="dxa"/>
          <w:trHeight w:val="599" w:hRule="atLeast"/>
          <w:jc w:val="center"/>
        </w:trPr>
        <w:tc>
          <w:tcPr>
            <w:tcW w:w="505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396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94429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95" w:hRule="atLeast"/>
        </w:trPr>
        <w:tc>
          <w:tcPr>
            <w:tcW w:w="8835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/>
              <w:pageBreakBefore/>
              <w:widowControl w:val="0"/>
              <w:pBdr>
                <w:bottom w:val="single" w:color="FFFFFF" w:sz="4" w:space="31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4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年社会保险基金收入情况表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540" w:hRule="atLeast"/>
        </w:trPr>
        <w:tc>
          <w:tcPr>
            <w:tcW w:w="8835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科目编码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科目名称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预算数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社会保险基金收入合计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84510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其中：保险费收入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32613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财政补贴收入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47446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利息收入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集体补助收入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转移收入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1516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委托投资收益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其他收入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一、城乡居民基本养老保险基金收入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41062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1021001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其中：保险费收入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6876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1021002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财政补贴收入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31291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1021003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利息收入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1101604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转移收入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1021005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集体补助收入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1021004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委托投资收益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1021099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其他收入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10211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二、机关事业单位基本养老保险基金收入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43448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1021101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其中：保险费收入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25737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1021102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财政补贴收入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16155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402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1021103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利息收入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380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1101605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转移收入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1491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6"/>
          <w:wBefore w:w="85" w:type="dxa"/>
          <w:wAfter w:w="270" w:type="dxa"/>
          <w:trHeight w:val="380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1021199</w:t>
            </w:r>
          </w:p>
        </w:tc>
        <w:tc>
          <w:tcPr>
            <w:tcW w:w="5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    其他收入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510" w:hRule="atLeast"/>
        </w:trPr>
        <w:tc>
          <w:tcPr>
            <w:tcW w:w="9105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/>
              <w:pageBreakBefore/>
              <w:widowControl w:val="0"/>
              <w:pBdr>
                <w:bottom w:val="single" w:color="FFFFFF" w:sz="4" w:space="31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4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宋体"/>
                <w:b/>
                <w:spacing w:val="-4"/>
                <w:kern w:val="0"/>
                <w:sz w:val="32"/>
                <w:szCs w:val="32"/>
                <w:highlight w:val="none"/>
              </w:rPr>
              <w:t>年社会保险基金支出情况表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80" w:hRule="atLeast"/>
        </w:trPr>
        <w:tc>
          <w:tcPr>
            <w:tcW w:w="9105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2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科目编码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科目名称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2"/>
                <w:szCs w:val="24"/>
              </w:rPr>
              <w:t>预算数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全区社会保险基金支出合计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81112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其中：社会保险待遇支出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80789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转移支出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一、城乡居民基本养老保险基金支出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37706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2091001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其中：居民基础养老金支出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30685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2091002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个人账户支出养老金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6973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2301704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转移支出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2091099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20911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二、机关事业单位基本养老保险基金支出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43406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2091101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其中：基本养老金支出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43131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2301705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转移支出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" w:type="dxa"/>
          <w:trHeight w:val="460" w:hRule="atLeast"/>
        </w:trPr>
        <w:tc>
          <w:tcPr>
            <w:tcW w:w="20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2091199</w:t>
            </w:r>
          </w:p>
        </w:tc>
        <w:tc>
          <w:tcPr>
            <w:tcW w:w="498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 xml:space="preserve">      其他支出</w:t>
            </w:r>
          </w:p>
        </w:tc>
        <w:tc>
          <w:tcPr>
            <w:tcW w:w="207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-86995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eastAsia="仿宋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eastAsia="仿宋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仿宋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仿宋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eastAsia="仿宋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6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4chZt1gAAAAgBAAAPAAAAAAAAAAEAIAAAACIA&#10;AABkcnMvZG93bnJldi54bWxQSwECFAAUAAAACACHTuJATJJX/tIBAACeAwAADgAAAAAAAAABACAA&#10;AAAl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="仿宋"/>
                        <w:sz w:val="28"/>
                        <w:szCs w:val="32"/>
                      </w:rPr>
                    </w:pPr>
                    <w:r>
                      <w:rPr>
                        <w:rFonts w:eastAsia="仿宋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eastAsia="仿宋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仿宋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eastAsia="仿宋"/>
                        <w:sz w:val="28"/>
                        <w:szCs w:val="32"/>
                      </w:rPr>
                      <w:t>1</w:t>
                    </w:r>
                    <w:r>
                      <w:rPr>
                        <w:rFonts w:eastAsia="仿宋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760ED"/>
    <w:rsid w:val="00957601"/>
    <w:rsid w:val="009872AD"/>
    <w:rsid w:val="00E52B16"/>
    <w:rsid w:val="00EE2558"/>
    <w:rsid w:val="00FE37AD"/>
    <w:rsid w:val="0102307E"/>
    <w:rsid w:val="01CA1BFC"/>
    <w:rsid w:val="020142D5"/>
    <w:rsid w:val="02A73B69"/>
    <w:rsid w:val="02F20765"/>
    <w:rsid w:val="03036481"/>
    <w:rsid w:val="033E4276"/>
    <w:rsid w:val="038E27E2"/>
    <w:rsid w:val="03F23354"/>
    <w:rsid w:val="04621F7B"/>
    <w:rsid w:val="04F62134"/>
    <w:rsid w:val="0504144A"/>
    <w:rsid w:val="057316FE"/>
    <w:rsid w:val="05883C21"/>
    <w:rsid w:val="05D53D21"/>
    <w:rsid w:val="065B5D43"/>
    <w:rsid w:val="069316C6"/>
    <w:rsid w:val="07C40FCD"/>
    <w:rsid w:val="07FD79D6"/>
    <w:rsid w:val="08647852"/>
    <w:rsid w:val="096025C1"/>
    <w:rsid w:val="096F7469"/>
    <w:rsid w:val="0989413D"/>
    <w:rsid w:val="09965645"/>
    <w:rsid w:val="09B60636"/>
    <w:rsid w:val="09CD6E24"/>
    <w:rsid w:val="09F856EA"/>
    <w:rsid w:val="0A4D7496"/>
    <w:rsid w:val="0A7C3745"/>
    <w:rsid w:val="0A8A2A5A"/>
    <w:rsid w:val="0B287FDA"/>
    <w:rsid w:val="0B5C7530"/>
    <w:rsid w:val="0B7C04C0"/>
    <w:rsid w:val="0BBA0BCE"/>
    <w:rsid w:val="0BFD70B9"/>
    <w:rsid w:val="0C4C0A41"/>
    <w:rsid w:val="0DD40279"/>
    <w:rsid w:val="0DD40914"/>
    <w:rsid w:val="0E627828"/>
    <w:rsid w:val="0E7664C8"/>
    <w:rsid w:val="0E8629AA"/>
    <w:rsid w:val="0EE26D46"/>
    <w:rsid w:val="0F5512C6"/>
    <w:rsid w:val="0FAD21F4"/>
    <w:rsid w:val="0FCA5AF5"/>
    <w:rsid w:val="10794994"/>
    <w:rsid w:val="108871AD"/>
    <w:rsid w:val="10A6675D"/>
    <w:rsid w:val="11485E14"/>
    <w:rsid w:val="116F3C27"/>
    <w:rsid w:val="117B476F"/>
    <w:rsid w:val="124037F5"/>
    <w:rsid w:val="12722C84"/>
    <w:rsid w:val="127E3DE4"/>
    <w:rsid w:val="128C0992"/>
    <w:rsid w:val="12DE2F04"/>
    <w:rsid w:val="13B12EDD"/>
    <w:rsid w:val="13F56E49"/>
    <w:rsid w:val="149B66DD"/>
    <w:rsid w:val="152817C5"/>
    <w:rsid w:val="176123A3"/>
    <w:rsid w:val="17641A68"/>
    <w:rsid w:val="183A58CF"/>
    <w:rsid w:val="19BE0107"/>
    <w:rsid w:val="19EB7814"/>
    <w:rsid w:val="1A266374"/>
    <w:rsid w:val="1AB56088"/>
    <w:rsid w:val="1B61067A"/>
    <w:rsid w:val="1B850DD7"/>
    <w:rsid w:val="1BD53902"/>
    <w:rsid w:val="1C0E0E46"/>
    <w:rsid w:val="1C4C3A51"/>
    <w:rsid w:val="1C5D399D"/>
    <w:rsid w:val="1C99502F"/>
    <w:rsid w:val="1CE252F3"/>
    <w:rsid w:val="1CFD0118"/>
    <w:rsid w:val="1D052F29"/>
    <w:rsid w:val="1E886887"/>
    <w:rsid w:val="1EB4180B"/>
    <w:rsid w:val="1F4849A4"/>
    <w:rsid w:val="1FC93A32"/>
    <w:rsid w:val="1FED10A7"/>
    <w:rsid w:val="204358FA"/>
    <w:rsid w:val="20986689"/>
    <w:rsid w:val="20E62F4A"/>
    <w:rsid w:val="214C7431"/>
    <w:rsid w:val="217F0729"/>
    <w:rsid w:val="21A57AC0"/>
    <w:rsid w:val="21BF60EB"/>
    <w:rsid w:val="223C6680"/>
    <w:rsid w:val="229C0C02"/>
    <w:rsid w:val="235C0C8C"/>
    <w:rsid w:val="23AA6F10"/>
    <w:rsid w:val="23C47ABA"/>
    <w:rsid w:val="23C51100"/>
    <w:rsid w:val="23C62FBD"/>
    <w:rsid w:val="246A734E"/>
    <w:rsid w:val="24CE7073"/>
    <w:rsid w:val="250D0D56"/>
    <w:rsid w:val="250E527E"/>
    <w:rsid w:val="2592326A"/>
    <w:rsid w:val="25C35001"/>
    <w:rsid w:val="25D3781A"/>
    <w:rsid w:val="26034184"/>
    <w:rsid w:val="2621054A"/>
    <w:rsid w:val="26877533"/>
    <w:rsid w:val="27447A7C"/>
    <w:rsid w:val="27A37A95"/>
    <w:rsid w:val="27AE752D"/>
    <w:rsid w:val="27E01BEF"/>
    <w:rsid w:val="28154685"/>
    <w:rsid w:val="2875729F"/>
    <w:rsid w:val="28A11F36"/>
    <w:rsid w:val="29882F22"/>
    <w:rsid w:val="29E45021"/>
    <w:rsid w:val="2A8E045D"/>
    <w:rsid w:val="2B9B2B99"/>
    <w:rsid w:val="2BA260F4"/>
    <w:rsid w:val="2C1B2E5F"/>
    <w:rsid w:val="2CD33F1A"/>
    <w:rsid w:val="2CEE2546"/>
    <w:rsid w:val="2CF73565"/>
    <w:rsid w:val="2D03111D"/>
    <w:rsid w:val="2D121481"/>
    <w:rsid w:val="2D3C00C6"/>
    <w:rsid w:val="2DBF4E1C"/>
    <w:rsid w:val="2DC412A4"/>
    <w:rsid w:val="2DC42F57"/>
    <w:rsid w:val="2DDC67C0"/>
    <w:rsid w:val="2E7C56A0"/>
    <w:rsid w:val="2ECD6C74"/>
    <w:rsid w:val="2EF85E1E"/>
    <w:rsid w:val="2F2E3B38"/>
    <w:rsid w:val="2F8819F4"/>
    <w:rsid w:val="2FAF42C8"/>
    <w:rsid w:val="30217B33"/>
    <w:rsid w:val="30E54344"/>
    <w:rsid w:val="31630496"/>
    <w:rsid w:val="32437B04"/>
    <w:rsid w:val="326F76CF"/>
    <w:rsid w:val="32D02BEB"/>
    <w:rsid w:val="32D260EE"/>
    <w:rsid w:val="32F24425"/>
    <w:rsid w:val="334F6C96"/>
    <w:rsid w:val="33556AE8"/>
    <w:rsid w:val="33B850E7"/>
    <w:rsid w:val="33EB1BC7"/>
    <w:rsid w:val="343467F9"/>
    <w:rsid w:val="349A7C58"/>
    <w:rsid w:val="34AC6C79"/>
    <w:rsid w:val="34F605A6"/>
    <w:rsid w:val="35301450"/>
    <w:rsid w:val="353C5263"/>
    <w:rsid w:val="362B296D"/>
    <w:rsid w:val="369C7917"/>
    <w:rsid w:val="374765BD"/>
    <w:rsid w:val="37506ECC"/>
    <w:rsid w:val="37705879"/>
    <w:rsid w:val="37720706"/>
    <w:rsid w:val="3779247C"/>
    <w:rsid w:val="37F244D7"/>
    <w:rsid w:val="384A3BC3"/>
    <w:rsid w:val="38677D19"/>
    <w:rsid w:val="391277F1"/>
    <w:rsid w:val="397754E2"/>
    <w:rsid w:val="3A684DA9"/>
    <w:rsid w:val="3A7257F0"/>
    <w:rsid w:val="3A7E13BF"/>
    <w:rsid w:val="3AD50F46"/>
    <w:rsid w:val="3AE02C12"/>
    <w:rsid w:val="3B083765"/>
    <w:rsid w:val="3B0C546D"/>
    <w:rsid w:val="3B4F1516"/>
    <w:rsid w:val="3B972707"/>
    <w:rsid w:val="3C8903DE"/>
    <w:rsid w:val="3CE93C7A"/>
    <w:rsid w:val="3D5B0E99"/>
    <w:rsid w:val="3D6B67D2"/>
    <w:rsid w:val="3D7E4E0A"/>
    <w:rsid w:val="3D900F90"/>
    <w:rsid w:val="3DAF55D9"/>
    <w:rsid w:val="3DBE0096"/>
    <w:rsid w:val="3DEB25A4"/>
    <w:rsid w:val="3E37139E"/>
    <w:rsid w:val="3E49293D"/>
    <w:rsid w:val="3E844D20"/>
    <w:rsid w:val="3F3A76DA"/>
    <w:rsid w:val="3F620E8B"/>
    <w:rsid w:val="3F814C8E"/>
    <w:rsid w:val="3FBE4299"/>
    <w:rsid w:val="40173DE4"/>
    <w:rsid w:val="40372168"/>
    <w:rsid w:val="41254664"/>
    <w:rsid w:val="413E1696"/>
    <w:rsid w:val="42A330D8"/>
    <w:rsid w:val="44062D80"/>
    <w:rsid w:val="441A37FB"/>
    <w:rsid w:val="45316114"/>
    <w:rsid w:val="4566289F"/>
    <w:rsid w:val="45950036"/>
    <w:rsid w:val="45DC07AB"/>
    <w:rsid w:val="461E2519"/>
    <w:rsid w:val="46265402"/>
    <w:rsid w:val="46300235"/>
    <w:rsid w:val="46C42E19"/>
    <w:rsid w:val="47CC3727"/>
    <w:rsid w:val="47FA2D23"/>
    <w:rsid w:val="482C0F74"/>
    <w:rsid w:val="485605E8"/>
    <w:rsid w:val="485A1E43"/>
    <w:rsid w:val="48D953A0"/>
    <w:rsid w:val="48E153E1"/>
    <w:rsid w:val="491601E1"/>
    <w:rsid w:val="4A1236C9"/>
    <w:rsid w:val="4A58464B"/>
    <w:rsid w:val="4A753438"/>
    <w:rsid w:val="4A9F77B2"/>
    <w:rsid w:val="4AA23F87"/>
    <w:rsid w:val="4AAF2318"/>
    <w:rsid w:val="4B9C5418"/>
    <w:rsid w:val="4C4C77BA"/>
    <w:rsid w:val="4D34553A"/>
    <w:rsid w:val="4D770A03"/>
    <w:rsid w:val="4E776E4B"/>
    <w:rsid w:val="4EFF0028"/>
    <w:rsid w:val="4F3471FE"/>
    <w:rsid w:val="5071678E"/>
    <w:rsid w:val="51000A73"/>
    <w:rsid w:val="51237D2E"/>
    <w:rsid w:val="517F4BC4"/>
    <w:rsid w:val="51894824"/>
    <w:rsid w:val="51A95A08"/>
    <w:rsid w:val="51ED2C7A"/>
    <w:rsid w:val="528C017C"/>
    <w:rsid w:val="52B65297"/>
    <w:rsid w:val="52C12C52"/>
    <w:rsid w:val="52ED4D9B"/>
    <w:rsid w:val="52F9774C"/>
    <w:rsid w:val="52FE62BF"/>
    <w:rsid w:val="53397E00"/>
    <w:rsid w:val="536611E1"/>
    <w:rsid w:val="537A37F2"/>
    <w:rsid w:val="537F430A"/>
    <w:rsid w:val="53990737"/>
    <w:rsid w:val="53B37216"/>
    <w:rsid w:val="53CF538E"/>
    <w:rsid w:val="53E3402E"/>
    <w:rsid w:val="54696247"/>
    <w:rsid w:val="547E642B"/>
    <w:rsid w:val="55C135BF"/>
    <w:rsid w:val="55F83DBD"/>
    <w:rsid w:val="56F810BD"/>
    <w:rsid w:val="57921557"/>
    <w:rsid w:val="57D04DAE"/>
    <w:rsid w:val="57F12BD5"/>
    <w:rsid w:val="57FE63ED"/>
    <w:rsid w:val="58350AC5"/>
    <w:rsid w:val="58D73032"/>
    <w:rsid w:val="590917C4"/>
    <w:rsid w:val="5A08462F"/>
    <w:rsid w:val="5A284778"/>
    <w:rsid w:val="5A7E1904"/>
    <w:rsid w:val="5AFC08CE"/>
    <w:rsid w:val="5BA92E87"/>
    <w:rsid w:val="5C767840"/>
    <w:rsid w:val="5CA11989"/>
    <w:rsid w:val="5CE927F2"/>
    <w:rsid w:val="5D083350"/>
    <w:rsid w:val="5D273DE0"/>
    <w:rsid w:val="5D276778"/>
    <w:rsid w:val="5D4C4020"/>
    <w:rsid w:val="5D9F6029"/>
    <w:rsid w:val="5DFD63C2"/>
    <w:rsid w:val="5E654AED"/>
    <w:rsid w:val="5FDA20D0"/>
    <w:rsid w:val="6036698B"/>
    <w:rsid w:val="605D4C28"/>
    <w:rsid w:val="607F4605"/>
    <w:rsid w:val="60D83AA0"/>
    <w:rsid w:val="614D4530"/>
    <w:rsid w:val="618D7518"/>
    <w:rsid w:val="623D18BA"/>
    <w:rsid w:val="624337C3"/>
    <w:rsid w:val="62487AF8"/>
    <w:rsid w:val="624B003E"/>
    <w:rsid w:val="626165F7"/>
    <w:rsid w:val="628C4819"/>
    <w:rsid w:val="62C32E18"/>
    <w:rsid w:val="6411770A"/>
    <w:rsid w:val="64176BC2"/>
    <w:rsid w:val="643A1B61"/>
    <w:rsid w:val="643D4E57"/>
    <w:rsid w:val="645B3E33"/>
    <w:rsid w:val="64991719"/>
    <w:rsid w:val="64BA54D1"/>
    <w:rsid w:val="650236C7"/>
    <w:rsid w:val="650D3CB3"/>
    <w:rsid w:val="65312B91"/>
    <w:rsid w:val="65326E96"/>
    <w:rsid w:val="65472E61"/>
    <w:rsid w:val="65744900"/>
    <w:rsid w:val="65B33312"/>
    <w:rsid w:val="65BF14FC"/>
    <w:rsid w:val="6606059D"/>
    <w:rsid w:val="6648015B"/>
    <w:rsid w:val="671D1438"/>
    <w:rsid w:val="67DB24FE"/>
    <w:rsid w:val="67EA78EA"/>
    <w:rsid w:val="67FA55A3"/>
    <w:rsid w:val="6873037C"/>
    <w:rsid w:val="687B4BF8"/>
    <w:rsid w:val="68D32169"/>
    <w:rsid w:val="68D60CF7"/>
    <w:rsid w:val="68DD1419"/>
    <w:rsid w:val="68FE73CF"/>
    <w:rsid w:val="69090FE4"/>
    <w:rsid w:val="694C1F68"/>
    <w:rsid w:val="69732558"/>
    <w:rsid w:val="697F11AD"/>
    <w:rsid w:val="69826F10"/>
    <w:rsid w:val="698B06A0"/>
    <w:rsid w:val="69F327EA"/>
    <w:rsid w:val="6A0C6288"/>
    <w:rsid w:val="6A177E9C"/>
    <w:rsid w:val="6A7C5642"/>
    <w:rsid w:val="6A976F05"/>
    <w:rsid w:val="6B0B3C2C"/>
    <w:rsid w:val="6B3A6CFA"/>
    <w:rsid w:val="6B5B240E"/>
    <w:rsid w:val="6C226C61"/>
    <w:rsid w:val="6C936D0E"/>
    <w:rsid w:val="6CB85B17"/>
    <w:rsid w:val="6CF87F54"/>
    <w:rsid w:val="6CFE4A2E"/>
    <w:rsid w:val="6D462252"/>
    <w:rsid w:val="6DFE1A00"/>
    <w:rsid w:val="6E255978"/>
    <w:rsid w:val="6EB3022A"/>
    <w:rsid w:val="6F0B19E0"/>
    <w:rsid w:val="6F4809E4"/>
    <w:rsid w:val="6F4C29A7"/>
    <w:rsid w:val="6F997566"/>
    <w:rsid w:val="6FA222C1"/>
    <w:rsid w:val="70726F06"/>
    <w:rsid w:val="70B566F6"/>
    <w:rsid w:val="70DC43B7"/>
    <w:rsid w:val="72206846"/>
    <w:rsid w:val="7254496D"/>
    <w:rsid w:val="72905ECC"/>
    <w:rsid w:val="72AA1F8D"/>
    <w:rsid w:val="72DA05FA"/>
    <w:rsid w:val="736672E4"/>
    <w:rsid w:val="74042666"/>
    <w:rsid w:val="7412197B"/>
    <w:rsid w:val="751E19DD"/>
    <w:rsid w:val="75444F5E"/>
    <w:rsid w:val="757B0F4D"/>
    <w:rsid w:val="75B14518"/>
    <w:rsid w:val="75BD15D1"/>
    <w:rsid w:val="75C322CE"/>
    <w:rsid w:val="75C622C6"/>
    <w:rsid w:val="75EB6C83"/>
    <w:rsid w:val="765D4FD0"/>
    <w:rsid w:val="76D449DC"/>
    <w:rsid w:val="76DF0815"/>
    <w:rsid w:val="77114867"/>
    <w:rsid w:val="77792DDF"/>
    <w:rsid w:val="77920FA7"/>
    <w:rsid w:val="77B83A96"/>
    <w:rsid w:val="78461060"/>
    <w:rsid w:val="784E46B5"/>
    <w:rsid w:val="78BD0596"/>
    <w:rsid w:val="791374B0"/>
    <w:rsid w:val="79C70258"/>
    <w:rsid w:val="7A020420"/>
    <w:rsid w:val="7A284BBE"/>
    <w:rsid w:val="7AC86DC0"/>
    <w:rsid w:val="7AEF353D"/>
    <w:rsid w:val="7B271F47"/>
    <w:rsid w:val="7B2E3A43"/>
    <w:rsid w:val="7B3B62E0"/>
    <w:rsid w:val="7B7D4202"/>
    <w:rsid w:val="7B826698"/>
    <w:rsid w:val="7B9F58E0"/>
    <w:rsid w:val="7BAF3072"/>
    <w:rsid w:val="7BCE4D77"/>
    <w:rsid w:val="7CAF12F4"/>
    <w:rsid w:val="7CD70E5F"/>
    <w:rsid w:val="7D394240"/>
    <w:rsid w:val="7D427AE5"/>
    <w:rsid w:val="7D972E2C"/>
    <w:rsid w:val="7DDB2D11"/>
    <w:rsid w:val="7E6B32A7"/>
    <w:rsid w:val="7E84439E"/>
    <w:rsid w:val="7E9D7862"/>
    <w:rsid w:val="7F610509"/>
    <w:rsid w:val="7FB0441E"/>
    <w:rsid w:val="7FC13DA6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Autospacing="0" w:afterAutospacing="0" w:line="58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7">
    <w:name w:val="heading 2"/>
    <w:basedOn w:val="1"/>
    <w:next w:val="8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方正楷体_GBK"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600" w:lineRule="exact"/>
      <w:ind w:left="420" w:leftChars="200" w:firstLine="420"/>
    </w:pPr>
    <w:rPr>
      <w:rFonts w:ascii="Times New Roman" w:eastAsia="仿宋_GB2312"/>
      <w:szCs w:val="20"/>
    </w:rPr>
  </w:style>
  <w:style w:type="paragraph" w:styleId="3">
    <w:name w:val="Body Text Indent"/>
    <w:basedOn w:val="1"/>
    <w:next w:val="4"/>
    <w:qFormat/>
    <w:uiPriority w:val="0"/>
    <w:pPr>
      <w:ind w:left="200" w:leftChars="200"/>
    </w:pPr>
    <w:rPr>
      <w:rFonts w:ascii="Times New Roman" w:hAnsi="Times New Roman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仿宋_GB2312" w:eastAsia="仿宋_GB2312"/>
    </w:rPr>
  </w:style>
  <w:style w:type="paragraph" w:styleId="5">
    <w:name w:val="toc 5"/>
    <w:basedOn w:val="1"/>
    <w:next w:val="1"/>
    <w:qFormat/>
    <w:uiPriority w:val="39"/>
    <w:pPr>
      <w:ind w:left="1680" w:leftChars="800"/>
    </w:pPr>
  </w:style>
  <w:style w:type="paragraph" w:styleId="8">
    <w:name w:val="Normal Indent"/>
    <w:basedOn w:val="1"/>
    <w:next w:val="1"/>
    <w:qFormat/>
    <w:uiPriority w:val="99"/>
    <w:pPr>
      <w:ind w:firstLine="20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paragraph" w:customStyle="1" w:styleId="18">
    <w:name w:val="Normal Indent1"/>
    <w:basedOn w:val="1"/>
    <w:qFormat/>
    <w:uiPriority w:val="0"/>
    <w:pPr>
      <w:widowControl w:val="0"/>
      <w:adjustRightInd/>
      <w:snapToGrid/>
      <w:spacing w:after="0"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</w:rPr>
  </w:style>
  <w:style w:type="paragraph" w:customStyle="1" w:styleId="19">
    <w:name w:val="NormalIndent"/>
    <w:basedOn w:val="1"/>
    <w:qFormat/>
    <w:uiPriority w:val="0"/>
    <w:pPr>
      <w:widowControl/>
      <w:ind w:firstLine="420"/>
      <w:textAlignment w:val="baseline"/>
    </w:pPr>
    <w:rPr>
      <w:szCs w:val="20"/>
    </w:rPr>
  </w:style>
  <w:style w:type="paragraph" w:customStyle="1" w:styleId="20">
    <w:name w:val="默认段落字体 Para Char Char Char Char Char Char Char"/>
    <w:basedOn w:val="1"/>
    <w:qFormat/>
    <w:uiPriority w:val="0"/>
    <w:rPr>
      <w:sz w:val="13"/>
      <w:szCs w:val="13"/>
    </w:rPr>
  </w:style>
  <w:style w:type="paragraph" w:customStyle="1" w:styleId="21">
    <w:name w:val="正文文本首行缩进 2"/>
    <w:basedOn w:val="3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6927</Words>
  <Characters>7613</Characters>
  <Paragraphs>86</Paragraphs>
  <TotalTime>0</TotalTime>
  <ScaleCrop>false</ScaleCrop>
  <LinksUpToDate>false</LinksUpToDate>
  <CharactersWithSpaces>7619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2022-12-26T02:13:00Z</dcterms:created>
  <dc:creator>Administrator</dc:creator>
  <cp:lastModifiedBy>user</cp:lastModifiedBy>
  <cp:lastPrinted>2026-01-15T03:43:00Z</cp:lastPrinted>
  <dcterms:modified xsi:type="dcterms:W3CDTF">2026-02-12T07:23:20Z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8D740918B0624882BCA571084DE004D6</vt:lpwstr>
  </property>
</Properties>
</file>