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30"/>
          <w:szCs w:val="30"/>
          <w:shd w:val="clear" w:fill="FFFFFF"/>
        </w:rPr>
        <w:t>关于出口业务增值税和消费税政策的公告</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为做好《中华人民共和国增值税法》及《中华人民共和国增值税法实施条例》施行后政策衔接工作，延续现行制度和做法，现对出口货物和跨境销售服务、无形资产（以下统称出口业务）适用增值税和消费税退（免）税、免税或者征税政策有关事项公告如下：</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一、适用增值税退（免）税政策的出口业务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纳税人下列出口业务，除适用本公告第六条和第七条规定的外，适用增值税退（免）税政策：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（一）出口货物。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1.适用增值税退（免）税政策的出口货物，除本项第2目所列情形外，应当同时符合下列条件：</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（1）销售给境外单位或者个人；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（2）向海关报关并实际离境；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（3）按照会计制度规定做销售；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（4）按照规定收汇。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2.下列情形属于视同出口货物，适用增值税退（免）税政策：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（1）向海关报关进入国家批准的保税港区、综合保税区、珠澳跨境工业区珠海园区、保税物流中心（B型）（以下统称特殊区域）并销售给特殊区域内单位或者境外单位、个人的货物。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具有免税品经营资质的企业、经国务院批准允许参与免税店经营的外商投资企业和具有离岛免税品经销资格的企业（以下统称有关免税品企业）销售的货物〔国家规定不允许经营和限制出口的货物（见附件1）、卷烟和超出免税店规定经营范围的货物除外〕。具体是指，有关免税品企业统一采购进入其所属口岸出境免税店、市内免税店、离岛免税店销售的符合规定的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销售给用于国际金融组织或者外国政府贷款国际招标建设项目的中标机电产品（以下简称中标机电产品）。上述中标机电产品，包括外国企业中标再分包给纳税人的机电产品。贷款机构和中标机电产品的具体范围见附件2。</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（4）向按实物征收增值税的中外合作油（气）田开采企业销售的自产海洋工程结构物。海洋工程结构物和中外合作油（气）田开采企业的具体范围见附件3。</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（5）销售给国际运输企业用于国际运输工具上的货物。具体是指：纳税人销售给国际运输企业用于国际运输船舶上的货物；国内航空供应公司生产销售给国内和国外航空公司国际航班的航空食品。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（6）销售给特殊区域内纳税人用于生产货物耗用、提供加工服务和修理修配服务耗用且不向海关报关而输入特殊区域的水（包括蒸汽）、电力、燃气（以下统称输入特殊区域的水电气）。</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输入特殊区域的水电气，由作为购买方的特殊区域内的纳税人申报增值税退（免）税。区内纳税人用于出租、出让厂房的，不得申报增值税退（免）税，进项税额应当转入成本。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（7）向海关报关、交付到境内指定堆场并销售给境外单位、个人的新造集装箱。</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（8）在轨交付的空间飞行器及相关货物。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在轨交付，是指将空间飞行器及相关货物发射到预定轨道后再交付给境内、境外单位或者个人使用的业务活动。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空间飞行器及相关货物，包括卫星、空间探测器等空间飞行器及其组件、元器件，卫星有效载荷，卫星测控系统设备、软件、设施等。</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（9）用于对外承包工程、境外投资以及对外援助资金类型为优惠贷款项目的货物。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除本公告及财政部和税务总局另有规定外，视同出口货物适用出口货物的各项规定。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3.本公告所称出口货物，分为自营出口货物和委托出口货物。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（二）跨境销售服务、无形资产。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1.向境外单位销售的完全在境外消费的下列服务、无形资产：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（1）研发服务。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（2）合同能源管理服务。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（3）设计服务。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（4）广播影视制作和发行服务。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（5）软件服务。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（6）电路设计及测试服务。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（7）信息系统服务。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（8）业务流程管理服务。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（9）离岸服务外包业务。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离岸服务外包业务，包括信息技术外包服务（ITO）、技术性业务流程外包服务（BPO）、技术性知识流程外包服务（KPO）。</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（10）转让技术。</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本目所涉及的具体业务活动，按照财政部、税务总局公布的销售服务、无形资产、不动产注释相对应的业务活动执行，其中离岸服务外包业务的具体范围见附件4。</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本公告所称完全在境外消费，是指：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（1）服务的实际接受方在境外，且与境内的货物、不动产、自然资源无关。</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（2）无形资产完全在境外使用，且与境内的货物、不动产、自然资源无关。</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（3）财政部和税务总局规定的其他情形。</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2.国际运输服务。具体是指：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（1）在境内载运旅客或者货物出境。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（2）在境外载运旅客或者货物入境。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（3）在境外载运旅客或者货物。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3.航天运输服务，是指利用火箭等载体将卫星、空间探测器等空间飞行器发射到空间轨道的业务活动。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4.对外修理修配服务，是指对进境复出口货物或者从事国际运输的运输工具进行的修理修配。</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二、增值税退（免）税办法</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纳税人适用增值税退（免）税政策的出口业务，按照下列规定实行免抵退税办法或者免退税办法。</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（一）免抵退税办法。</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出口业务，免征出口环节增值税，对应的进项税额抵减应纳增值税税额〔不包括适用增值税即征即退、先征后返（退）、简易计税方法计算的应纳增值税税额〕，未抵减完的部分予以退还。其适用范围包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1.生产企业出口自产货物和视同自产货物（视同自产货物的具体范围见附件5）。</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2.列名生产企业（具体范围见附件6）出口非自产货物。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3.生产企业跨境销售服务、无形资产。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4.外贸企业直接将服务或者自行研发的无形资产出口，视同生产企业连同其出口货物统一实行免抵退税办法。</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本公告所称生产企业，是指具有生产能力的纳税人；外贸企业，是指不具有生产能力的纳税人。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（二）免退税办法。</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外贸企业或者其他单位出口货物、跨境销售外购的服务或者无形资产，免征出口环节增值税，对应的进项税额予以退还。</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三、增值税出口退税率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（一）除财政部和税务总局根据国务院决定而明确的增值税出口退税率（以下简称退税率）外，出口业务的退税率为其适用税率。税务总局根据上述规定将退税率通过退税率文库予以发布。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除另有规定外，出口业务的退税率执行时间，按照以下规定执行：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1.报关出口的（保税区及经保税区出口除外），以海关出口货物报关单上注明的出口日期为准。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2.非报关出口的，以出口发票或者普通发票的开具日期为准。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3.保税区及经保税区出口的，以货物离境时海关出具的单证上注明的出境日期为准。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（二）退税率的其他规定。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外贸企业购进按简易计税方法征税的出口货物、服务、无形资产，从小规模纳税人购进的出口货物、服务、无形资产，其退税率分别为简易计税方法实际执行的征收率、小规模纳税人征收率。上述出口业务取得增值税专用发票的，其退税率按照增值税专用发票上的税率（征收率）和出口业务的退税率孰低原则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2.纳税人对外修理修配服务，其退税率为修理修配货物的退税率；纳税人委托加工收回后出口的货物、委托修理修配收回后出口的货物，加工修理修配费用的退税率，为出口货物的退税率。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中标机电产品、向海关报关进入特殊区域销售给特殊区域内纳税人生产耗用的列名原材料（以下简称列名原材料，其具体范围见附件7）、输入特殊区域的水电气、航天运输服务购进的航天运输器及相关货物以及发射运行保障服务、在轨交付的空间飞行器及相关货物，其退税率为适用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国家调整列名原材料退税率的，列名原材料应当自调整之日起按照调整后的退税率执行。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航天运输器及相关货物，包括火箭、航天飞机等航天运输器及其组件、元器件，推进剂等。</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发射运行保障服务，包括与发射业务及在轨交付相关的测控、研发、设计、试验、检测、监造、航天系统集成服务，技术转让、技术协调、技术咨询、空间飞行器全寿命周期服务，轨位（频率）申请、咨询、租赁服务，卫星有效载荷的合作、购销、租赁服务，航天产品运输、航天相关培训服务，航天产品设施和技术的展览展示及其他相关服务等。</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（三）适用不同退税率的出口业务，应分开报关、核算并申报退（免）税，未分开报关、核算或者划分不清的，从低适用退税率。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四、增值税退（免）税的计税依据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纳税人出口业务增值税退（免）税的计税依据，按照出口业务的出口发票、普通发票、取得收入的凭证或者购进出口业务的增值税专用发票、海关进口增值税专用缴款书、完税凭证确定。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（一）纳税人出口货物增值税退（免）税的计税依据。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1.生产企业（进料加工复出口货物除外）增值税退（免）税的计税依据，为出口货物实际离岸价（FOB）。实际离岸价以出口发票上的离岸价为准；出口发票不能反映实际离岸价的，主管税务机关有权予以核定。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2.生产企业进料加工复出口货物增值税退（免）税的计税依据，按照出口货物的离岸价扣除出口货物所含的海关保税进口料件的金额后确定。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公告所称海关保税进口料件，是指纳税人以海关进料加工贸易方式从境外和特殊区域等进口的料件。纳税人从境外购买并从海关保税仓库提取且办理海关进料加工手续的料件，以及保税区外的纳税人从保税区内的纳税人购进并办理海关进料加工手续的进口料件，属于海关保税进口料件。</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3.生产企业国内购进无进项税额且不计提进项税额的免税原材料加工后出口的货物，计算增值税退（免）税的计税依据，按照出口货物的离岸价扣除出口货物所含的国内购进免税原材料的金额后确定。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4.生产企业在轨交付空间飞行器及相关货物增值税退（免）税的计税依据，为销售空间飞行器及相关货物的普通发票或者出口发票上注明的金额。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5.生产企业销售中标机电产品增值税退（免）税的计税依据，为销售机电产品的普通发票注明的金额。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6.生产企业向按实物征收增值税的中外合作油（气）田开采企业销售的自产海洋工程结构物增值税退（免）税的计税依据，为销售海洋工程结构物的普通发票注明的金额。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7.适用免退税办法的外贸企业出口货物（委托加工、委托修理修配货物除外）增值税退（免）税的计税依据，为购进出口货物的增值税专用发票注明的金额或者海关进口增值税专用缴款书注明的计税价格。</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适用免退税办法的外贸企业委托加工收回后出口的货物、委托修理修配收回后出口的货物，增值税退（免）税的计税依据，为加工、修理修配费用增值税专用发票注明的金额。加工、修理修配使用的原材料（进料加工海关保税进口料件除外）由外贸企业提供的，外贸企业应当将该原材料作价销售给受托加工、受托修理修配的企业，受托加工、受托修理修配的企业应当将原材料成本并入加工、修理修配费用开具发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9.有关免税品企业销售的货物增值税退（免）税的计税依据，为购进货物的增值税专用发票注明的金额或者海关进口增值税专用缴款书注明的计税价格。</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10.输入特殊区域的水电气增值税退（免）税的计税依据，为作为购买方的特殊区域内生产企业购进水（包括蒸汽）、电力、燃气的增值税专用发票注明的金额。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11.纳税人出口进项税额未计算抵扣的已使用过的设备，实行免退税办法，其增值税退（免）税的计税依据，按照下列公式确定：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增值税退（免）税的计税依据=增值税专用发票上的金额或者海关进口增值税专用缴款书注明的计税价格×已使用过的设备固定资产净值÷已使用过的设备原值</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已使用过的设备固定资产净值=已使用过的设备原值-已使用过的设备已提累计折旧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本公告所称已使用过的设备，是指纳税人根据财务会计制度已经计提折旧的固定资产。</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（二）纳税人跨境销售服务、无形资产增值税退（免）税的计税依据。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生产企业、实行免抵退税办法的外贸企业跨境销售服务（对外修理修配服务除外）、无形资产的增值税退（免）税计税依据，为跨境销售服务、无形资产取得的收入。其中，铁路、航空运输服务取得的收入按照下列规定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（1）以铁路运输方式载运旅客的，为按照铁路合作组织清算规则、跨境运输双边清算协议清算后的实际运输收入。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以铁路运输方式载运货物的，为按照铁路运输进款清算办法，对“发站（公司）”或者“到站（公司）”名称包含“境”字、“水”字的货物运单上注明的运输费用以及直接相关的国际联运杂费清算后的实际运输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以航空运输方式载运货物或者旅客的，如果国际运输或者港澳台运输各航段由多个承运人承运的，为中国航空结算有限责任公司清算后的实际收入；如果国际运输或者港澳台运输各航段由一个承运人承运的，为提供航空运输服务取得的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实行免退税办法的外贸企业跨境销售服务（对外修理修配服务除外）、无形资产的增值税退（免）税计税依据，为购进服务、无形资产的增值税专用发票或者完税凭证上注明的金额。其中，实行免退税办法的外贸企业提供航天运输服务的增值税退（免）税计税依据，为购进航天运输器及相关货物的增值税专用发票注明的金额或者海关进口增值税专用缴款书注明的计税价格，以及接受发射运行保障服务的增值税专用发票注明的金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生产企业、实行免抵退税办法的外贸企业对外修理修配服务，增值税退（免）税的计税依据，为其实际离岸价。实际离岸价以出口发票上的离岸价为准；出口发票不能反映实际离岸价的，主管税务机关有权予以核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适用增值税退（免）税政策的跨境销售服务（对外修理修配服务除外）、无形资产，主管税务机关认定出口价格偏高的，有权按照核定的出口价格计算退（免）税，核定的出口价格低于外贸企业购进价格的，低于部分对应的进项税额不予退税，转入成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五、增值税免抵退税和免退税的计算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（一）增值税免抵退税按照下列公式计算。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1.当期应纳税额的计算。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当期应纳税额＝当期销项税额-（当期进项税额-当期不得免征和抵扣税额）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当期不得免征和抵扣税额＝当期出口货物离岸价或者出口货物销售额×外汇人民币折合率×（出口货物适用税率－出口货物退税率）-当期不得免征和抵扣税额抵减额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当期不得免征和抵扣税额抵减额=当期免税购进原材料价格×（出口货物适用税率-出口货物退税率）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若当期实际不得免征和抵扣税额抵减额大于当期出口货物离岸价或者出口货物销售额×外汇人民币折合率×（出口货物适用税率-出口货物退税率）的，则：</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当期不得免征和抵扣税额抵减额=当期出口货物离岸价或者出口货物销售额×外汇人民币折合率×（出口货物适用税率-出口货物退税率）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2.当期免抵退税额的计算。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当期免抵退税额＝当期出口货物离岸价或者出口货物销售额或者跨境销售服务、无形资产取得的收入×外汇人民币折合率×出口退税率-当期免抵退税额抵减额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当期免抵退税额抵减额=当期免税购进原材料价格×出口货物退税率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3.当期应退税额和免抵税额的计算。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（1）当期期末留抵税额≤当期免抵退税额，则</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当期应退税额＝当期期末留抵税额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当期免抵税额＝当期免抵退税额－当期应退税额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（2）当期期末留抵税额&gt;当期免抵退税额，则</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当期应退税额＝当期免抵退税额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当期免抵税额＝0</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当期期末留抵税额为当期增值税及附加税费申报表中“期末留抵税额”。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4.当期免税购进原材料价格，包括当期国内购进的无进项税额且不计提进项税额的免税原材料的价格和当期进料加工保税进口料件的价格；其中，当期进料加工保税进口料件的价格为组成计税价格。</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当期进料加工保税进口料件的组成计税价格采用“实耗法”计算，其计算公式为：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当期进料加工保税进口料件的组成计税价格=当期进料加工出口货物离岸价×外汇人民币折合率×计划分配率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（1）纳税人首次开展进料加工业务的，按照其首份进料加工手（账）册的计划分配率作为本年度进料加工业务计划分配率。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计划分配率=计划进口总值÷计划出口总值×100%</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（2）纳税人上年度已在税务机关办理过进料加工手（账）册核销的，按照上年度“已核销手（账）册综合实际分配率”作为本年度新的计划分配率。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（3）纳税人上年度无海关已核销手（账）册不能确定本年度进料加工业务计划分配率的，按照最近一次确定的“上年度已核销手（账）册综合实际分配率”作为本年度新的计划分配率。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纳税人应当按照规定向主管税务机关申请办理进料加工业务核销手续，并根据主管税务机关确认的实际分配率计算调整不得免征和抵扣税额、免抵退税额。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（二）增值税免退税按照下列公式计算。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增值税应退税额=增值税退（免）税计税依据×出口退税率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（三）退税率低于适用税率的，相应计算出的差额部分的税款计入出口业务成本。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纳税人既有适用增值税免抵退项目，也有增值税即征即退、先征后返（退）项目的，增值税即征即退、先征后返（退）项目不参与出口项目免抵退税计算。纳税人应当分别核算增值税免抵退项目和增值税即征即退、先征后返（退）项目，并分别申请适用增值税免抵退税和即征即退、先征后返（退）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用于增值税即征即退、先征后返（退）项目的进项税额无法划分的，按照下列公式计算：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无法划分进项税额中用于增值税即征即退、先征后返（退）项目的部分=当月无法划分的全部进项税额×当月增值税即征即退、先征后返（退）项目销售额÷当月全部销售额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六、适用增值税免税政策的出口业务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符合下列条件的出口业务，除适用本公告第七条规定的外，按照以下规定适用出口免征增值税（以下称增值税免税）政策：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（一）适用范围。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1.适用增值税免税政策的出口货物，是指：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（1）增值税小规模纳税人出口的货物。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（2）古旧图书。</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（3）软件产品。其具体范围包括：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①海关商品编码前四位为“9803”的货物。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②采取网上传输方式向境外出口，并取得商务主管部门出具的软件出口合同登记证书的软件产品。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（4）含黄金、铂金成分的货物，钻石及其饰品。其具体范围见附件8。</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国家计划内出口的卷烟。其具体范围是按照国家批准的免税出口卷烟计划，卷烟生产企业自营出口的自产卷烟、卷烟生产企业委托卷烟出口企业出口的自产卷烟、口岸国际隔离区免税店销售的卷烟和卷烟出口企业出口的外购卷烟。</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（6）已使用过的设备。其具体范围是指购进时未取得增值税专用发票、海关进口增值税专用缴款书但其他相关单证齐全的已使用过的设备。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（7）非列名生产企业出口的不符合视同自产条件的外购货物。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（8）农业生产者自产农产品。农产品的具体范围按照财政部、税务总局公布的农产品范围注释的有关规定执行。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（9）油画、花生果仁、黑大豆等财政部和税务总局根据国务院决定明确的出口免税的货物。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（10）外贸企业出口货物取得下列合法有效进货凭证之一的：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①普通发票。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②政府非税收入票据。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③从依法拍卖单位购买货物出口的，未取得增值税专用发票但取得与拍卖人签署的成交确认书及有关收据。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④通过合并、分立、重组改制等资产重组方式设立的纳税人，出口重组前的企业无偿划转的货物，未取得增值税专用发票但取得资产重组文件、无偿划转的证明材料。</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（11）来料加工复出口货物。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（12）特殊区域内的纳税人出口的特殊区域内的货物。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（13）以人民币现金作为结算方式的边境地区纳税人从所在省（自治区）的边境口岸出口到接壤国家的一般贸易和边境小额贸易出口货物。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（14）生产企业出口实行简易计税方法的货物。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（15）出口但未按照会计制度规定做销售的样品、展品。</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（16）纳税人出口确实无法收汇且不符合视同收汇规定的货物。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（17）纳税人未按规定进行单证备案的出口货物。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（18）国家批准设立的免税店销售的免税货物〔包括进口免税货物和已实现退（免）税的货物，下同〕。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（19）同一特殊区域、不同特殊区域内的纳税人之间销售特殊区域内的货物。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2.适用增值税免税政策的跨境销售服务、无形资产，是指：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（1）工程项目在境外的建筑服务。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（2）工程项目在境外的工程监理服务。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（3）工程、矿产资源在境外的工程勘察勘探服务。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（4）会议展览地点在境外的会议展览服务。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（5）存储地点在境外的仓储服务。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（6）标的物在境外使用的有形动产租赁服务。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（7）在境外提供的广播影视节目（作品）的播映服务。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（8）在境外提供的文化体育服务、教育医疗服务、旅游服务。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（9）为出口货物提供的邮政服务、收派服务、保险服务。为出口货物提供的保险服务，包括出口货物保险和出口信用保险，以及以出口货物为保险标的的产品责任保险和产品质量保证保险。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（10）境内保险公司为境外投资项目提供的海外投资保险。境内保险公司向境外保险公司提供的完全在境外消费的再保险服务。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11）向境外单位提供的完全在境外消费的电信服务、知识产权服务、物流辅助服务（仓储服务、收派服务除外）、鉴证咨询服务、专业技术服务、商务辅助服务、广告投放地在境外的广告服务、无形资产（技术除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（12）以无运输工具承运方式提供的国际运输服务。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（13）为境外单位之间的货币资金融通及其他金融业务提供的直接收费金融服务，且该服务与境内的货物、无形资产、不动产、自然资源无关。</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（14）跨境销售本公告第一条第二项所列服务、无形资产，并实行简易计税方法的。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（15）特殊区域内的纳税人为境外的单位或者个人提供加工服务、修理修配服务。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（16）纳税人对外修理修配服务确实无法收汇且不符合视同收汇规定的。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（17）纳税人对外修理修配服务未按规定进行单证备案的。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（18）外贸企业跨境销售服务、无形资产取得下列合法有效凭证之一的：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①普通发票。</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②政府非税收入票据。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③从依法拍卖单位购买后出口的，未取得增值税专用发票但取得与拍卖人签署的成交确认书及有关收据。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④通过合并、分立、重组改制等资产重组方式设立的纳税人，出口重组前的企业无偿划转的，未取得增值税专用发票但取得资产重组文件、无偿划转的证明材料。</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3.放弃退（免）税选择免征增值税的出口业务。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4.已申报增值税退（免）税，但未在规定的期限内向税务机关补齐增值税退（免）税凭证的出口业务。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（二）进项税额的处理计算。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1.适用增值税免税政策的出口业务，其进项税额不得抵扣和退税，应当转入成本。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2.出口卷烟，按照下列公式计算：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不得抵扣的进项税额=出口卷烟含消费税金额÷（出口卷烟含消费税金额+内销卷烟销售额）×当期全部进项税额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（1）当生产企业销售的出口卷烟在国内有同类产品销售价格时：</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出口卷烟含消费税金额=出口销售数量×销售价格</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销售价格”为同类产品生产企业国内实际调拨价格。如实际调拨价格低于税务机关核定的最低计税价格的，“销售价格”为税务机关核定的最低计税价格；高于核定的最低计税价格的，销售价格为实际调拨价格。</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（2）当生产企业销售的出口卷烟在国内没有同类产品销售价格时：</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出口卷烟含税金额=（出口销售额＋出口销售数量×消费税定额税率）÷（1-消费税比例税率）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“出口销售额”以出口发票上的离岸价为准。若出口发票不能如实反映离岸价，生产企业应当按照实际离岸价计算，否则，税务机关有权按照有关规定予以核定调整。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3.除出口卷烟外，适用增值税免税政策的其他出口业务不得抵扣进项税额的计算，按照增值税免税政策的统一规定执行。其中，涉及销售额的计算，按照下列规定确定：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（1）出口货物，除来料加工复出口货物的销售额为其加工费收入外，其他均为出口货物离岸价或者销售额。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（2）跨境销售服务、无形资产，销售额为其取得的收入。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七、适用增值税征税政策的出口业务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下列出口业务，不适用增值税退（免）税和免税政策，按照以下规定及视同向境内销售的其他规定〔不包括增值税内销免税、即征即退和先征后返（退）优惠政策规定〕缴纳增值税（以下称增值税征税）：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（一）适用范围。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适用增值税征税政策的出口业务，是指：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纳税人出口财政部和税务总局根据国务院决定明确的取消出口退（免）税的货物（不包括来料加工复出口货物、中标机电产品、列名原材料、特殊区域内的纳税人出口的特殊区域内的货物、同一特殊区域或者不同特殊区域内的纳税人之间销售特殊区域内的货物、输入特殊区域的水电气、海洋工程结构物、在轨交付的空间飞行器和相关货物、航天运输服务购进的航天运输器和相关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2.纳税人销售给特殊区域内的生活消费用品和交通运输工具。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3.纳税人或者其供货企业自产、购进业务为虚假的。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4.纳税人提供伪造、虚假的备案单证或者收汇材料的出口业务。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5.纳税人增值税退（免）税凭证有伪造或者内容不实的出口业务。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6.纳税人未在规定期限内申报免税核销以及经主管税务机关审核不予免税核销的下列出口业务：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（1）出口卷烟。</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（2）来料加工委托加工业务。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7.纳税人出口货物具有下列情形之一的：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（1）将出口货物报关单等退（免）税凭证交由除签有委托合同的货代公司、报关行，或者由境外进口方指定的货代公司（提供合同约定或者其他相关证明）以外的其他单位或者个人使用的。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（2）以自营名义出口，其业务实质上是由本企业及其投资的企业以外的单位或者个人借该出口企业名义操作完成的。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（3）以自营名义出口，其出口的同一批货物既签订购货合同，又签订代理出口合同（或者协议）的。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（4）出口货物在海关验放后，自己或者委托货代承运人对该笔货物的海运提单或者其他运输单据等上的品名、规格等进行修改，造成出口货物报关单与海运提单或者其他运输单据有关内容不符的。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以自营名义出口，但不承担出口货物的质量、收款或者退税风险之一的，即出口货物发生质量问题不承担购买方的索赔责任（合同中有约定质量责任承担者除外）；不承担未按期收款责任（合同中有约定收款责任承担者除外）；不承担因申报出口退（免）税的资料、单证等出现问题造成不退税责任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（6）未实质参与出口经营活动、接受并从事由中间人介绍的其他出口业务，但仍以自营名义出口的。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8.纳税人跨境销售本公告第六条第一项第2目、第3目所列服务（对外修理修配服务除外）、无形资产，但未按照规定签订书面合同或者取得收入的。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9.纳税人因骗取出口退税等被税务机关停止出口退税权期间发生的出口业务。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10.适用退（免）税政策的出口业务，纳税人放弃退（免）税，选择缴纳增值税的；适用免税政策的出口业务，纳税人放弃免税，选择缴纳增值税的。</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11.出口业务属于购进后直接出口，未取得增值税专用发票、海关进口增值税专用缴款书、普通发票、政府非税收入票据、拍卖人签署的成交确认书及有关收据、资产重组文件、无偿划转的证明材料、完税凭证等合法有效购进凭证之一的，符合国务院规定的除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（二）应纳增值税的计算。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适用增值税征税政策的出口业务，按照下列公式计算缴纳增值税：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1.一般纳税人出口业务。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（1）出口货物销项税额=（出口货物离岸价或者出口货物销售额-出口货物耗用的进料加工保税进口料件金额）÷（1+适用税率）×适用税率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出口货物若已按征退税率之差计算不得免征和抵扣税额并已经转入成本的，相应的税额应转回进项税额。</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出口货物离岸价和出口货物耗用的进料加工保税进口料件金额，按照本公告第四条第一项、第五条第一项的相关规定计算。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（2）跨境销售服务、无形资产销项税额=销售收入÷（1+适用税率）×适用税率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2.小规模纳税人出口业务。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（1）出口货物应纳税额=出口货物离岸价或者出口货物销售额÷（1+征收率）×征收率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（2）跨境销售服务、无形资产应纳税额=销售收入÷（1+征收率）×征收率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八、适用消费税退（免）税、免税或者征税政策的出口货物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适用本公告第一条、第六条或者第七条规定的出口货物，如果属于消费税应税消费品，实行下列消费税政策：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（一）适用范围。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1.纳税人出口适用增值税退（免）税政策的货物，免征消费税，如果属于购进或者委托加工收回出口的货物，退还前一环节对其已征的消费税。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2.纳税人出口适用增值税免税政策的货物，免征消费税，但不退还其以前环节已征的消费税，且不允许在内销应税消费品应纳消费税款中抵扣。</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3.除另有规定外，纳税人出口适用增值税征税政策的货物，应当按照规定缴纳消费税，不退还其以前环节已征的消费税，且不允许在内销应税消费品应纳消费税款中抵扣。</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（二）消费税退（免）税的计税依据。</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出口货物的消费税应退税额的计税依据，按照购进或者委托加工收回出口货物取得的出口货物消费税专用缴款书（以下称消费税专用缴款书）、消费税专用缴款书分割单、代扣代收税款凭证和海关进口消费税专用缴款书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实行从价定率计征消费税的，为已征且未在内销应税消费品应纳税额中抵扣的购进或者委托加工收回出口货物金额；实行从量定额计征消费税的，为已征且未在内销应税消费品应纳税额中抵扣的购进或者委托加工收回出口货物数量；实行复合计征消费税的，按照从价定率和从量定额的计税依据分别确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直接从生产应税消费品的企业购进或者委托加工收回货物用于出口的，由生产应税消费品的企业或者受托企业主管税务机关在征税时开具消费税专用缴款书或者代扣代收税款凭证；将购进或者委托加工收回的已征收消费税的货物销售给其他纳税人出口的，由其主管税务机关开具消费税专用缴款书分割单交其他纳税人据以申请退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（三）消费税退（免）税的计算。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消费税应退税额＝从价定率计征消费税的退税计税依据×消费税比例税率+从量定额计征消费税的退税计税依据×消费税定额税率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（四）应纳消费税的计算。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适用消费税征税政策的出口货物，按照下列公式计算缴纳消费税：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从价定率办法计算的应纳消费税额=出口应税消费品的销售额×消费税比例税率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从量定额办法计算的应纳消费税额=出口应税消费品的数量×消费税定额税率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复合计税办法计算的应纳消费税额=出口应税消费品的销售额×消费税比例税率+出口应税消费品的数量×消费税定额税率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出口应税消费品的销售额=含增值税的销售额÷（1+增值税税率或者征收率）</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含增值税的销售额为出口货物的离岸价。</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九、出口业务增值税和消费税政策的其他规定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（一）备案和申报。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1.适用本公告规定的增值税、消费税退（免）税政策的纳税人，应当办理退（免）税备案。</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2.纳税人在退（免）税备案之前发生的出口业务，办理退（免）税备案后，可按照规定适用增值税、消费税退（免）税政策。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3.经财政、税务主管部门批准汇总缴纳增值税的纳税人，跨境销售服务（对外修理修配服务除外）、无形资产适用退（免）税政策的，由总机构汇总向总机构所在地的主管税务机关申报退（免）税。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4.纳税人应当在规定的期限内向主管税务机关申报增值税退（免）税、免税和征税，消费税退（免）税、免税和征税。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纳税人报关出口的货物（保税区及经保税区出口的货物除外）适用出口退（免）税政策的，应当收齐有关凭证，在货物报关出口之日次月起至次年4月30日前的各增值税纳税申报期内，向主管税务机关申报增值税、消费税退（免）税，并按规定收汇；未在次年4月30日前收汇的，应当缴回已退（免）税款。纳税人未在上述期限内申报退（免）税的，可以在次年4月30日后至报关出口之日起36个月内的各增值税纳税申报期内，收齐有关凭证，同时提供收汇材料，按照规定向主管税务机关申报增值税、消费税退（免）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纳税人对外修理修配服务适用出口退（免）税政策的，按照前款规定执行。</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纳税人非报关出口的货物适用出口退（免）税政策的，应当收齐有关凭证，在出口发票或者普通发票开具之日次月起至次年4月30日前的各增值税纳税申报期内，向主管税务机关申报增值税、消费税退（免）税，并按规定收汇；未在次年4月30日前收汇的，应当缴回已退（免）税款。纳税人未在上述期限内申报退（免）税的，可以在次年4月30日后至出口发票或者普通发票开具日期之日起36个月内的各增值税纳税申报期内，收齐有关凭证，同时提供收汇材料，按照规定向主管税务机关申报增值税、消费税退（免）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保税区及经保税区出口的货物适用出口退（免）税政策的，纳税人应当收齐有关凭证，在货物离境时海关出具的单证上注明的出境日期之日次月起至次年4月30日前的各增值税纳税申报期内，向主管税务机关申报增值税、消费税退（免）税，并按规定收汇；未在次年4月30日前收汇的，应当缴回已退（免）税款。纳税人未在上述期限内申报退（免）税的，可以在次年4月30日后至货物离境时海关出具的单证上注明的出境日期之日起36个月内的各增值税纳税申报期内，收齐有关凭证，同时提供收汇材料，按照规定向主管税务机关申报增值税、消费税退（免）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输入特殊区域的水电气，纳税人应当收齐有关凭证，在取得的增值税专用发票开具日期之日次月起的各增值税纳税申报期内，向主管税务机关申报增值税退（免）税。自取得的增值税专用发票开具日期之日起36个月内，未申报增值税退（免）税的，进项税额应当转入成本。</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本目第（1）至（3）点所述出口货物未在上述规定的36个月期限内申报退（免）税的，视同向境内销售货物。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本目第（1）至（4）点所述货物报关出口之日、出口发票或者普通发票开具日期、货物离境时海关出具的单证上注明的出境日期、取得的增值税专用发票开具日期之日起的36个月，按自然天数计算。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纳税人跨境销售服务（对外修理修配服务除外）、无形资产适用退（免）税政策的，应当收齐有关凭证，同时提供收汇材料，在纳税义务发生之日次月起的各增值税纳税申报期内，向主管税务机关申报增值税退（免）税。自纳税义务发生之日起36个月内，未申报退（免）税的，视同向境内销售服务、无形资产。自纳税义务发生之日起的36个月，按自然天数计算。</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（6）适用免税政策的出口业务，纳税人未按照上述期限在36个月内申报免税的，视同向境内销售货物或者服务、无形资产。下列情形除外：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①特殊区域内的纳税人出口的特殊区域内的货物，为境外的单位、个人提供加工服务、修理修配服务。</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②同一特殊区域、不同特殊区域内的纳税人之间销售特殊区域内的货物。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③国家批准设立的免税店销售的免税货物。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（7）纳税人发生本项第4目第（1）至（6）点所述视同向境内销售情形的，应当于36个月期满次日按视同向境内销售的规定缴纳增值税、消费税。其中，属于内销免税的，仍可按照规定适用免税政策。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2025年12月31日（含当日）前发生的适用增值税退（免）税或者免税政策的出口业务，仍按原政策规定执行，不适用36个月期限未申报视同向境内销售征税的规定。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（8）适用免退税办法的纳税人，经主管税务机关同意的，可以在增值税纳税申报期以外的其他时间办理免退税申报。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5.纳税人骗取国家出口退税款的，经省级以上税务机关批准，可以停止其出口退税权。</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（二）其他退（免）税、免税、征税规定。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1.开展进料加工业务的纳税人未经海关批准将海关保税进口料件作价销售给其他企业加工的，应当按照规定缴纳增值税、消费税。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2.经主管税务机关核准，卷烟出口企业按国家批准的免税出口卷烟计划购进的卷烟，免征增值税、消费税。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3.纳税人发生增值税、消费税不应退（免）税或者免税但已实际退（免）税或者免税情形的，应当缴回已退（免）税款或者已免税款。</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纳税人出口的货物（不包含本公告附件8所列货物），其合计50%以上的原材料成本由附件9所列原材料构成的，应当按照附件9所列原材料中成本占比最高的增值税、消费税政策执行。原材料的增值税、消费税政策是指附件9所列该原材料对应的商品代码在退税率文库中适用的增值税、消费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本公告所称商品代码，以退税率文库中的商品代码为准。</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5.有关免税品企业销售给免税店的免税货物免征增值税。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6.国际运输服务和港澳台运输服务增值税退（免）税、免税政策其他适用规定：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（1）按照国家有关规定应取得相关资质的国际运输服务项目，纳税人取得相关资质的，适用增值税退（免）税政策，未取得的，适用增值税免税政策。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（2）纳税人提供程租服务，如果租赁的交通工具用于国际运输服务和港澳台运输服务，由出租方按照规定申请适用增值税退（免）税政策。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纳税人向境内单位或者个人提供期租、湿租服务，如果承租方利用租赁的交通工具向其他单位或者个人提供国际运输服务和港澳台运输服务，由承租方适用增值税退（免）税政策。境内的单位或者个人向境外单位或者个人提供期租、湿租服务，由出租方适用增值税退（免）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（4）纳税人以无运输工具承运方式提供的国际运输服务，由境内实际承运人适用增值税退（免）税政策；无运输工具承运业务的经营者适用增值税免税政策。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7.纳税人出口业务经查实属于偷骗税的，应按照偷骗税相应规定处理；符合增值税征税政策情形的，还应按照规定适用增值税征税政策。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从境内载运旅客或者货物至特殊区域、从特殊区域载运旅客或者货物至国内其他地区或者特殊区域，以及向特殊区域内纳税人提供的其他服务、无形资产，不属于跨境销售服务、无形资产，应当按照规定缴纳增值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9.适用退（免）税政策的出口业务，国内收购价格或者出口货物和跨境销售服务、无形资产的价格明显偏高且无正当理由的，该出口业务适用增值税免税政策。</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10.来料加工委托加工业务未在规定期限内申报免税核销以及经主管税务机关审核不予免税核销的，委托方应依据其支付的加工费补缴增值税，并按照规定补缴消费税。</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（三）综合保税区增值税一般纳税人资格试点政策另有规定的，从其规定。</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（四）外贸企业核算要求。</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外贸企业应当单独设账核算出口货物的购进金额和进项税额，若购进货物时不能确定是用于出口的，先记入出口库存账，用于其他用途时应当从出口库存账转出。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五）同时符合下列条件的生产企业已签订出口合同的交通运输工具和机器设备，在其退税凭证尚未收集齐全的情况下，可凭出口合同、销售明细账等，向主管税务机关申报退（免）税。在货物向海关报关出口后，应当按照规定申报退（免）税，并办理已退（免）税的核销手续。多退（免）的税款，应予缴回。</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1.增值税一般纳税人；</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2.已持续经营2年及2年以上；</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3.生产的交通运输工具和机器设备生产周期在1年及1年以上；</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4.上一年度净资产大于同期出口业务增值税、消费税退税额之和的3倍；</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5.持续经营以来未有税务部门认定逃税、骗取出口退税、虚开增值税专用发票或者农产品收购发票、接受虚开增值税专用发票（善意取得虚开增值税专用发票除外）行为的情形。</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（六）为加强出口业务税收服务与监管，从事物流、报关、货物运输代理、资金结算等业务的纳税人，应当按照税务部门规定的期限、方式、数据口径等，报送有关涉税信息。</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十、本公告自2026年1月1日起施行。《财政部 国家税务总局关于出口货物劳务增值税和消费税政策的通知》（财税〔2012〕39号）、《财政部 国家税务总局关于以贵金属和宝石为主要原材料的货物出口退税政策的通知》（财税〔2014〕98号）、《财政部 税务总局关于明确国有农用地出租等增值税政策的公告》（财政部 税务总局公告2020年第2号）第四条同时废止。</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特此公告。</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附件：1.国家规定不允许经营和限制出口的货物</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2.贷款机构和中标机电产品的具体范围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3.海洋工程结构物和中外合作油（气）田开采企业的具体范围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4.离岸服务外包业务的具体范围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5.视同自产货物的具体范围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6.列名生产企业的具体范围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7.列名原材料的具体范围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8.含黄金、铂金成分的货物和钻石及其饰品的具体范围</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9.原材料和商品代码表</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财政部 税务总局</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2026年1月30日</w:t>
      </w:r>
    </w:p>
    <w:p>
      <w:pPr>
        <w:pStyle w:val="2"/>
        <w:keepNext w:val="0"/>
        <w:keepLines w:val="0"/>
        <w:widowControl/>
        <w:suppressLineNumbers w:val="0"/>
        <w:shd w:val="clear" w:fill="FFFFFF"/>
        <w:spacing w:before="0" w:beforeAutospacing="0" w:after="15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（根据内容需要，本公告分条、项、目、点。条的序号用中文数字依次表述，项的序号用中文数字加括号依次表述，目的序号用阿拉伯数字依次表述，点的序号用阿拉伯数字加括号依次表述。）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2436BF"/>
    <w:rsid w:val="6E1C6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2026-01-14T01:38:00Z</dcterms:created>
  <dc:creator>Administrator</dc:creator>
  <cp:lastModifiedBy>Administrator</cp:lastModifiedBy>
  <dcterms:modified xsi:type="dcterms:W3CDTF">2026-02-11T09:18:18Z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