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B5FE1">
      <w:pPr>
        <w:spacing w:line="580" w:lineRule="exact"/>
        <w:jc w:val="center"/>
        <w:rPr>
          <w:rFonts w:eastAsia="黑体"/>
          <w:b/>
          <w:bCs/>
          <w:spacing w:val="1"/>
          <w:sz w:val="48"/>
          <w:szCs w:val="48"/>
        </w:rPr>
      </w:pPr>
    </w:p>
    <w:p w14:paraId="5FCD91E1">
      <w:pPr>
        <w:spacing w:line="580" w:lineRule="exact"/>
        <w:jc w:val="center"/>
        <w:rPr>
          <w:rFonts w:eastAsia="黑体"/>
          <w:b/>
          <w:bCs/>
          <w:spacing w:val="1"/>
          <w:sz w:val="48"/>
          <w:szCs w:val="48"/>
        </w:rPr>
      </w:pPr>
    </w:p>
    <w:p w14:paraId="1AB410F9">
      <w:pPr>
        <w:spacing w:line="580" w:lineRule="exact"/>
        <w:jc w:val="center"/>
        <w:rPr>
          <w:rFonts w:eastAsia="黑体"/>
          <w:b/>
          <w:bCs/>
          <w:spacing w:val="1"/>
          <w:sz w:val="48"/>
          <w:szCs w:val="48"/>
        </w:rPr>
      </w:pPr>
    </w:p>
    <w:p w14:paraId="11A8B176">
      <w:pPr>
        <w:spacing w:line="600" w:lineRule="auto"/>
        <w:jc w:val="center"/>
        <w:rPr>
          <w:rFonts w:hint="eastAsia" w:eastAsia="黑体"/>
          <w:spacing w:val="1"/>
          <w:sz w:val="48"/>
          <w:szCs w:val="48"/>
          <w:lang w:val="en-US" w:eastAsia="zh-CN"/>
        </w:rPr>
      </w:pPr>
      <w:r>
        <w:rPr>
          <w:rFonts w:hint="eastAsia" w:eastAsia="黑体"/>
          <w:spacing w:val="1"/>
          <w:sz w:val="48"/>
          <w:szCs w:val="48"/>
          <w:lang w:val="en-US" w:eastAsia="zh-CN"/>
        </w:rPr>
        <w:t>徐水区教育和体育局学生课桌椅购置</w:t>
      </w:r>
    </w:p>
    <w:p w14:paraId="11793BD1">
      <w:pPr>
        <w:spacing w:line="600" w:lineRule="auto"/>
        <w:jc w:val="center"/>
        <w:rPr>
          <w:rFonts w:eastAsia="黑体"/>
          <w:sz w:val="48"/>
          <w:szCs w:val="48"/>
        </w:rPr>
      </w:pPr>
      <w:r>
        <w:rPr>
          <w:rFonts w:hint="eastAsia" w:eastAsia="黑体"/>
          <w:spacing w:val="1"/>
          <w:sz w:val="48"/>
          <w:szCs w:val="48"/>
          <w:lang w:val="en-US" w:eastAsia="zh-CN"/>
        </w:rPr>
        <w:t>项目</w:t>
      </w:r>
      <w:r>
        <w:rPr>
          <w:rFonts w:eastAsia="黑体"/>
          <w:spacing w:val="1"/>
          <w:sz w:val="48"/>
          <w:szCs w:val="48"/>
        </w:rPr>
        <w:t>绩效评价报告</w:t>
      </w:r>
    </w:p>
    <w:p w14:paraId="4D75E7AC">
      <w:pPr>
        <w:spacing w:line="480" w:lineRule="exact"/>
        <w:rPr>
          <w:sz w:val="48"/>
          <w:szCs w:val="48"/>
        </w:rPr>
      </w:pPr>
    </w:p>
    <w:p w14:paraId="483FA1DF">
      <w:pPr>
        <w:spacing w:line="480" w:lineRule="exact"/>
        <w:rPr>
          <w:sz w:val="48"/>
          <w:szCs w:val="48"/>
        </w:rPr>
      </w:pPr>
    </w:p>
    <w:p w14:paraId="6AEF8E1E">
      <w:pPr>
        <w:spacing w:line="480" w:lineRule="exact"/>
        <w:rPr>
          <w:sz w:val="48"/>
          <w:szCs w:val="48"/>
        </w:rPr>
      </w:pPr>
    </w:p>
    <w:p w14:paraId="3E962618">
      <w:pPr>
        <w:spacing w:line="480" w:lineRule="exact"/>
        <w:rPr>
          <w:sz w:val="48"/>
          <w:szCs w:val="48"/>
        </w:rPr>
      </w:pPr>
    </w:p>
    <w:p w14:paraId="384DD78D">
      <w:pPr>
        <w:spacing w:line="480" w:lineRule="exact"/>
        <w:rPr>
          <w:sz w:val="48"/>
          <w:szCs w:val="48"/>
        </w:rPr>
      </w:pPr>
    </w:p>
    <w:p w14:paraId="34D380B2">
      <w:pPr>
        <w:spacing w:line="480" w:lineRule="exact"/>
        <w:rPr>
          <w:sz w:val="48"/>
          <w:szCs w:val="48"/>
        </w:rPr>
      </w:pPr>
    </w:p>
    <w:p w14:paraId="3B64D85C">
      <w:pPr>
        <w:spacing w:line="480" w:lineRule="exact"/>
        <w:rPr>
          <w:sz w:val="48"/>
          <w:szCs w:val="48"/>
        </w:rPr>
      </w:pPr>
    </w:p>
    <w:p w14:paraId="576C7381">
      <w:pPr>
        <w:spacing w:line="480" w:lineRule="exact"/>
        <w:rPr>
          <w:sz w:val="48"/>
          <w:szCs w:val="48"/>
        </w:rPr>
      </w:pPr>
    </w:p>
    <w:p w14:paraId="7782B7E3">
      <w:pPr>
        <w:pStyle w:val="2"/>
        <w:rPr>
          <w:rFonts w:ascii="Times New Roman" w:hAnsi="Times New Roman"/>
          <w:sz w:val="48"/>
          <w:szCs w:val="48"/>
        </w:rPr>
      </w:pPr>
    </w:p>
    <w:p w14:paraId="6D176449">
      <w:pPr>
        <w:pStyle w:val="2"/>
        <w:rPr>
          <w:rFonts w:ascii="Times New Roman" w:hAnsi="Times New Roman"/>
          <w:sz w:val="48"/>
          <w:szCs w:val="48"/>
        </w:rPr>
      </w:pPr>
    </w:p>
    <w:p w14:paraId="5438A5B1">
      <w:pPr>
        <w:spacing w:line="360" w:lineRule="auto"/>
        <w:ind w:firstLine="640" w:firstLineChars="200"/>
        <w:jc w:val="left"/>
        <w:rPr>
          <w:rFonts w:hint="eastAsia" w:ascii="仿宋" w:hAnsi="仿宋" w:eastAsia="仿宋" w:cs="仿宋"/>
          <w:sz w:val="48"/>
          <w:szCs w:val="48"/>
        </w:rPr>
      </w:pPr>
      <w:r>
        <w:rPr>
          <w:rFonts w:hint="eastAsia" w:ascii="仿宋" w:hAnsi="仿宋" w:eastAsia="仿宋" w:cs="仿宋"/>
          <w:sz w:val="32"/>
          <w:szCs w:val="32"/>
        </w:rPr>
        <w:t>评价机构：河北德永会计师事务所有限公司</w:t>
      </w:r>
    </w:p>
    <w:p w14:paraId="38B4E3E3">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委托单位：保定市徐水区财政局</w:t>
      </w:r>
    </w:p>
    <w:p w14:paraId="4EF83E87">
      <w:pPr>
        <w:pStyle w:val="2"/>
        <w:spacing w:line="360" w:lineRule="auto"/>
        <w:ind w:firstLine="640"/>
        <w:rPr>
          <w:rFonts w:hint="eastAsia" w:ascii="仿宋" w:hAnsi="仿宋" w:eastAsia="仿宋" w:cs="仿宋"/>
          <w:kern w:val="2"/>
          <w:sz w:val="32"/>
          <w:szCs w:val="32"/>
        </w:rPr>
      </w:pPr>
      <w:r>
        <w:rPr>
          <w:rFonts w:hint="eastAsia" w:ascii="仿宋" w:hAnsi="仿宋" w:eastAsia="仿宋" w:cs="仿宋"/>
          <w:kern w:val="2"/>
          <w:sz w:val="32"/>
          <w:szCs w:val="32"/>
        </w:rPr>
        <w:t>被评价单位：保定市徐水区教育和体育局</w:t>
      </w:r>
    </w:p>
    <w:p w14:paraId="755C4378">
      <w:pPr>
        <w:pStyle w:val="2"/>
        <w:spacing w:line="360" w:lineRule="auto"/>
        <w:ind w:left="1803" w:leftChars="310" w:hanging="1152" w:hangingChars="360"/>
        <w:rPr>
          <w:rFonts w:hint="eastAsia" w:ascii="仿宋" w:hAnsi="仿宋" w:eastAsia="仿宋" w:cs="仿宋"/>
          <w:kern w:val="2"/>
          <w:sz w:val="32"/>
          <w:szCs w:val="32"/>
          <w:lang w:eastAsia="zh-CN"/>
        </w:rPr>
      </w:pPr>
      <w:r>
        <w:rPr>
          <w:rFonts w:hint="eastAsia" w:ascii="仿宋" w:hAnsi="仿宋" w:eastAsia="仿宋" w:cs="仿宋"/>
          <w:kern w:val="2"/>
          <w:sz w:val="32"/>
          <w:szCs w:val="32"/>
        </w:rPr>
        <w:t>项目名称：</w:t>
      </w:r>
      <w:r>
        <w:rPr>
          <w:rFonts w:hint="eastAsia" w:ascii="仿宋" w:hAnsi="仿宋" w:eastAsia="仿宋" w:cs="仿宋"/>
          <w:kern w:val="2"/>
          <w:sz w:val="32"/>
          <w:szCs w:val="32"/>
          <w:lang w:eastAsia="zh-CN"/>
        </w:rPr>
        <w:t>学生课桌椅购置项目</w:t>
      </w:r>
    </w:p>
    <w:p w14:paraId="1BB7F9B8">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报告日期：202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9</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w:t>
      </w:r>
    </w:p>
    <w:p w14:paraId="44B4E4DB">
      <w:pPr>
        <w:spacing w:line="360" w:lineRule="auto"/>
        <w:ind w:firstLine="640" w:firstLineChars="200"/>
        <w:jc w:val="left"/>
        <w:rPr>
          <w:sz w:val="32"/>
          <w:szCs w:val="32"/>
        </w:rPr>
      </w:pPr>
    </w:p>
    <w:p w14:paraId="658EE9ED">
      <w:pPr>
        <w:pStyle w:val="2"/>
        <w:rPr>
          <w:rFonts w:eastAsiaTheme="minorEastAsia"/>
        </w:rPr>
      </w:pPr>
    </w:p>
    <w:p w14:paraId="190AF5C0">
      <w:pPr>
        <w:widowControl/>
        <w:jc w:val="left"/>
      </w:pPr>
    </w:p>
    <w:sdt>
      <w:sdtPr>
        <w:rPr>
          <w:rFonts w:ascii="Times New Roman" w:hAnsi="Times New Roman" w:eastAsia="宋体" w:cs="Times New Roman"/>
          <w:color w:val="auto"/>
          <w:kern w:val="2"/>
          <w:sz w:val="21"/>
          <w:szCs w:val="22"/>
          <w:lang w:val="zh-CN"/>
        </w:rPr>
        <w:id w:val="1184867880"/>
        <w:docPartObj>
          <w:docPartGallery w:val="Table of Contents"/>
          <w:docPartUnique/>
        </w:docPartObj>
      </w:sdtPr>
      <w:sdtEndPr>
        <w:rPr>
          <w:rFonts w:ascii="Times New Roman" w:hAnsi="Times New Roman" w:eastAsia="宋体" w:cs="Times New Roman"/>
          <w:b/>
          <w:bCs/>
          <w:color w:val="auto"/>
          <w:kern w:val="2"/>
          <w:sz w:val="28"/>
          <w:szCs w:val="28"/>
          <w:lang w:val="zh-CN"/>
        </w:rPr>
      </w:sdtEndPr>
      <w:sdtContent>
        <w:p w14:paraId="50100B2A">
          <w:pPr>
            <w:pStyle w:val="34"/>
            <w:jc w:val="center"/>
            <w:rPr>
              <w:rFonts w:ascii="方正小标宋_GBK" w:hAnsi="宋体" w:eastAsia="方正小标宋_GBK" w:cs="Times New Roman"/>
              <w:color w:val="auto"/>
              <w:kern w:val="2"/>
              <w:sz w:val="44"/>
              <w:szCs w:val="44"/>
              <w:u w:color="000000"/>
              <w:lang w:val="zh-CN"/>
            </w:rPr>
          </w:pPr>
          <w:r>
            <w:rPr>
              <w:rFonts w:hint="eastAsia" w:ascii="方正小标宋_GBK" w:hAnsi="宋体" w:eastAsia="方正小标宋_GBK" w:cs="Times New Roman"/>
              <w:color w:val="auto"/>
              <w:kern w:val="2"/>
              <w:sz w:val="44"/>
              <w:szCs w:val="44"/>
              <w:u w:color="000000"/>
              <w:lang w:val="zh-CN"/>
            </w:rPr>
            <w:t>目  录</w:t>
          </w:r>
        </w:p>
        <w:p w14:paraId="2A07F1FB">
          <w:pPr>
            <w:pStyle w:val="13"/>
            <w:tabs>
              <w:tab w:val="right" w:leader="dot" w:pos="9061"/>
            </w:tabs>
            <w:spacing w:line="440" w:lineRule="exact"/>
            <w:rPr>
              <w:rFonts w:hAnsiTheme="minorHAnsi" w:eastAsiaTheme="minorEastAsia" w:cstheme="minorBidi"/>
              <w:b w:val="0"/>
              <w:bCs w:val="0"/>
              <w:caps w:val="0"/>
              <w:sz w:val="28"/>
              <w:szCs w:val="28"/>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"_Toc89419987" </w:instrText>
          </w:r>
          <w:r>
            <w:fldChar w:fldCharType="separate"/>
          </w:r>
          <w:r>
            <w:rPr>
              <w:rStyle w:val="21"/>
              <w:rFonts w:eastAsia="黑体"/>
              <w:sz w:val="28"/>
              <w:szCs w:val="28"/>
            </w:rPr>
            <w:t>一、基本概况</w:t>
          </w:r>
          <w:r>
            <w:rPr>
              <w:sz w:val="28"/>
              <w:szCs w:val="28"/>
            </w:rPr>
            <w:tab/>
          </w:r>
          <w:r>
            <w:rPr>
              <w:sz w:val="28"/>
              <w:szCs w:val="28"/>
            </w:rPr>
            <w:fldChar w:fldCharType="begin"/>
          </w:r>
          <w:r>
            <w:rPr>
              <w:sz w:val="28"/>
              <w:szCs w:val="28"/>
            </w:rPr>
            <w:instrText xml:space="preserve"> PAGEREF _Toc89419987 \h </w:instrText>
          </w:r>
          <w:r>
            <w:rPr>
              <w:sz w:val="28"/>
              <w:szCs w:val="28"/>
            </w:rPr>
            <w:fldChar w:fldCharType="separate"/>
          </w:r>
          <w:r>
            <w:rPr>
              <w:sz w:val="28"/>
              <w:szCs w:val="28"/>
            </w:rPr>
            <w:t>5</w:t>
          </w:r>
          <w:r>
            <w:rPr>
              <w:sz w:val="28"/>
              <w:szCs w:val="28"/>
            </w:rPr>
            <w:fldChar w:fldCharType="end"/>
          </w:r>
          <w:r>
            <w:rPr>
              <w:sz w:val="28"/>
              <w:szCs w:val="28"/>
            </w:rPr>
            <w:fldChar w:fldCharType="end"/>
          </w:r>
        </w:p>
        <w:p w14:paraId="0627A550">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"_Toc89419988" </w:instrText>
          </w:r>
          <w:r>
            <w:fldChar w:fldCharType="separate"/>
          </w:r>
          <w:r>
            <w:rPr>
              <w:rStyle w:val="21"/>
              <w:rFonts w:ascii="楷体" w:hAnsi="楷体" w:eastAsia="楷体"/>
              <w:sz w:val="28"/>
              <w:szCs w:val="28"/>
            </w:rPr>
            <w:t>（一）项目概况</w:t>
          </w:r>
          <w:r>
            <w:rPr>
              <w:sz w:val="28"/>
              <w:szCs w:val="28"/>
            </w:rPr>
            <w:tab/>
          </w:r>
          <w:r>
            <w:rPr>
              <w:sz w:val="28"/>
              <w:szCs w:val="28"/>
            </w:rPr>
            <w:fldChar w:fldCharType="begin"/>
          </w:r>
          <w:r>
            <w:rPr>
              <w:sz w:val="28"/>
              <w:szCs w:val="28"/>
            </w:rPr>
            <w:instrText xml:space="preserve"> PAGEREF _Toc89419988 \h </w:instrText>
          </w:r>
          <w:r>
            <w:rPr>
              <w:sz w:val="28"/>
              <w:szCs w:val="28"/>
            </w:rPr>
            <w:fldChar w:fldCharType="separate"/>
          </w:r>
          <w:r>
            <w:rPr>
              <w:sz w:val="28"/>
              <w:szCs w:val="28"/>
            </w:rPr>
            <w:t>5</w:t>
          </w:r>
          <w:r>
            <w:rPr>
              <w:sz w:val="28"/>
              <w:szCs w:val="28"/>
            </w:rPr>
            <w:fldChar w:fldCharType="end"/>
          </w:r>
          <w:r>
            <w:rPr>
              <w:sz w:val="28"/>
              <w:szCs w:val="28"/>
            </w:rPr>
            <w:fldChar w:fldCharType="end"/>
          </w:r>
        </w:p>
        <w:p w14:paraId="1567CC36">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"_Toc89419989" </w:instrText>
          </w:r>
          <w:r>
            <w:fldChar w:fldCharType="separate"/>
          </w:r>
          <w:r>
            <w:rPr>
              <w:rStyle w:val="21"/>
              <w:rFonts w:ascii="楷体" w:hAnsi="楷体" w:eastAsia="楷体"/>
              <w:sz w:val="28"/>
              <w:szCs w:val="28"/>
            </w:rPr>
            <w:t>（二）绩效目标</w:t>
          </w:r>
          <w:r>
            <w:rPr>
              <w:sz w:val="28"/>
              <w:szCs w:val="28"/>
            </w:rPr>
            <w:tab/>
          </w:r>
          <w:r>
            <w:rPr>
              <w:sz w:val="28"/>
              <w:szCs w:val="28"/>
            </w:rPr>
            <w:fldChar w:fldCharType="begin"/>
          </w:r>
          <w:r>
            <w:rPr>
              <w:sz w:val="28"/>
              <w:szCs w:val="28"/>
            </w:rPr>
            <w:instrText xml:space="preserve"> PAGEREF _Toc89419989 \h </w:instrText>
          </w:r>
          <w:r>
            <w:rPr>
              <w:sz w:val="28"/>
              <w:szCs w:val="28"/>
            </w:rPr>
            <w:fldChar w:fldCharType="separate"/>
          </w:r>
          <w:r>
            <w:rPr>
              <w:sz w:val="28"/>
              <w:szCs w:val="28"/>
            </w:rPr>
            <w:t>7</w:t>
          </w:r>
          <w:r>
            <w:rPr>
              <w:sz w:val="28"/>
              <w:szCs w:val="28"/>
            </w:rPr>
            <w:fldChar w:fldCharType="end"/>
          </w:r>
          <w:r>
            <w:rPr>
              <w:sz w:val="28"/>
              <w:szCs w:val="28"/>
            </w:rPr>
            <w:fldChar w:fldCharType="end"/>
          </w:r>
        </w:p>
        <w:p w14:paraId="5A98CFB3">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"_Toc89419990" </w:instrText>
          </w:r>
          <w:r>
            <w:fldChar w:fldCharType="separate"/>
          </w:r>
          <w:r>
            <w:rPr>
              <w:rStyle w:val="21"/>
              <w:rFonts w:eastAsia="黑体"/>
              <w:sz w:val="28"/>
              <w:szCs w:val="28"/>
            </w:rPr>
            <w:t>二、绩效评价工作开展情况</w:t>
          </w:r>
          <w:r>
            <w:rPr>
              <w:sz w:val="28"/>
              <w:szCs w:val="28"/>
            </w:rPr>
            <w:tab/>
          </w:r>
          <w:r>
            <w:rPr>
              <w:sz w:val="28"/>
              <w:szCs w:val="28"/>
            </w:rPr>
            <w:fldChar w:fldCharType="begin"/>
          </w:r>
          <w:r>
            <w:rPr>
              <w:sz w:val="28"/>
              <w:szCs w:val="28"/>
            </w:rPr>
            <w:instrText xml:space="preserve"> PAGEREF _Toc89419990 \h </w:instrText>
          </w:r>
          <w:r>
            <w:rPr>
              <w:sz w:val="28"/>
              <w:szCs w:val="28"/>
            </w:rPr>
            <w:fldChar w:fldCharType="separate"/>
          </w:r>
          <w:r>
            <w:rPr>
              <w:sz w:val="28"/>
              <w:szCs w:val="28"/>
            </w:rPr>
            <w:t>7</w:t>
          </w:r>
          <w:r>
            <w:rPr>
              <w:sz w:val="28"/>
              <w:szCs w:val="28"/>
            </w:rPr>
            <w:fldChar w:fldCharType="end"/>
          </w:r>
          <w:r>
            <w:rPr>
              <w:sz w:val="28"/>
              <w:szCs w:val="28"/>
            </w:rPr>
            <w:fldChar w:fldCharType="end"/>
          </w:r>
        </w:p>
        <w:p w14:paraId="3F2AE84F">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"_Toc89419991" </w:instrText>
          </w:r>
          <w:r>
            <w:fldChar w:fldCharType="separate"/>
          </w:r>
          <w:r>
            <w:rPr>
              <w:rStyle w:val="21"/>
              <w:rFonts w:ascii="楷体" w:hAnsi="楷体" w:eastAsia="楷体"/>
              <w:sz w:val="28"/>
              <w:szCs w:val="28"/>
            </w:rPr>
            <w:t>（一）绩效评价目的、对象和范围</w:t>
          </w:r>
          <w:r>
            <w:rPr>
              <w:sz w:val="28"/>
              <w:szCs w:val="28"/>
            </w:rPr>
            <w:tab/>
          </w:r>
          <w:r>
            <w:rPr>
              <w:sz w:val="28"/>
              <w:szCs w:val="28"/>
            </w:rPr>
            <w:fldChar w:fldCharType="begin"/>
          </w:r>
          <w:r>
            <w:rPr>
              <w:sz w:val="28"/>
              <w:szCs w:val="28"/>
            </w:rPr>
            <w:instrText xml:space="preserve"> PAGEREF _Toc89419991 \h </w:instrText>
          </w:r>
          <w:r>
            <w:rPr>
              <w:sz w:val="28"/>
              <w:szCs w:val="28"/>
            </w:rPr>
            <w:fldChar w:fldCharType="separate"/>
          </w:r>
          <w:r>
            <w:rPr>
              <w:sz w:val="28"/>
              <w:szCs w:val="28"/>
            </w:rPr>
            <w:t>7</w:t>
          </w:r>
          <w:r>
            <w:rPr>
              <w:sz w:val="28"/>
              <w:szCs w:val="28"/>
            </w:rPr>
            <w:fldChar w:fldCharType="end"/>
          </w:r>
          <w:r>
            <w:rPr>
              <w:sz w:val="28"/>
              <w:szCs w:val="28"/>
            </w:rPr>
            <w:fldChar w:fldCharType="end"/>
          </w:r>
        </w:p>
        <w:p w14:paraId="311A875A">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"_Toc89419992" </w:instrText>
          </w:r>
          <w:r>
            <w:fldChar w:fldCharType="separate"/>
          </w:r>
          <w:r>
            <w:rPr>
              <w:rStyle w:val="21"/>
              <w:rFonts w:ascii="楷体" w:hAnsi="楷体" w:eastAsia="楷体"/>
              <w:sz w:val="28"/>
              <w:szCs w:val="28"/>
            </w:rPr>
            <w:t>（二）绩效评价原则、指标体系、依据、方法及标准</w:t>
          </w:r>
          <w:r>
            <w:rPr>
              <w:sz w:val="28"/>
              <w:szCs w:val="28"/>
            </w:rPr>
            <w:tab/>
          </w:r>
          <w:r>
            <w:rPr>
              <w:sz w:val="28"/>
              <w:szCs w:val="28"/>
            </w:rPr>
            <w:fldChar w:fldCharType="begin"/>
          </w:r>
          <w:r>
            <w:rPr>
              <w:sz w:val="28"/>
              <w:szCs w:val="28"/>
            </w:rPr>
            <w:instrText xml:space="preserve"> PAGEREF _Toc89419992 \h </w:instrText>
          </w:r>
          <w:r>
            <w:rPr>
              <w:sz w:val="28"/>
              <w:szCs w:val="28"/>
            </w:rPr>
            <w:fldChar w:fldCharType="separate"/>
          </w:r>
          <w:r>
            <w:rPr>
              <w:sz w:val="28"/>
              <w:szCs w:val="28"/>
            </w:rPr>
            <w:t>8</w:t>
          </w:r>
          <w:r>
            <w:rPr>
              <w:sz w:val="28"/>
              <w:szCs w:val="28"/>
            </w:rPr>
            <w:fldChar w:fldCharType="end"/>
          </w:r>
          <w:r>
            <w:rPr>
              <w:sz w:val="28"/>
              <w:szCs w:val="28"/>
            </w:rPr>
            <w:fldChar w:fldCharType="end"/>
          </w:r>
        </w:p>
        <w:p w14:paraId="04629B50">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"_Toc89419993" </w:instrText>
          </w:r>
          <w:r>
            <w:fldChar w:fldCharType="separate"/>
          </w:r>
          <w:r>
            <w:rPr>
              <w:rStyle w:val="21"/>
              <w:rFonts w:ascii="楷体" w:hAnsi="楷体" w:eastAsia="楷体"/>
              <w:sz w:val="28"/>
              <w:szCs w:val="28"/>
            </w:rPr>
            <w:t>（三）绩效评价工作过程</w:t>
          </w:r>
          <w:r>
            <w:rPr>
              <w:sz w:val="28"/>
              <w:szCs w:val="28"/>
            </w:rPr>
            <w:tab/>
          </w:r>
          <w:r>
            <w:rPr>
              <w:sz w:val="28"/>
              <w:szCs w:val="28"/>
            </w:rPr>
            <w:fldChar w:fldCharType="begin"/>
          </w:r>
          <w:r>
            <w:rPr>
              <w:sz w:val="28"/>
              <w:szCs w:val="28"/>
            </w:rPr>
            <w:instrText xml:space="preserve"> PAGEREF _Toc89419993 \h </w:instrText>
          </w:r>
          <w:r>
            <w:rPr>
              <w:sz w:val="28"/>
              <w:szCs w:val="28"/>
            </w:rPr>
            <w:fldChar w:fldCharType="separate"/>
          </w:r>
          <w:r>
            <w:rPr>
              <w:sz w:val="28"/>
              <w:szCs w:val="28"/>
            </w:rPr>
            <w:t>10</w:t>
          </w:r>
          <w:r>
            <w:rPr>
              <w:sz w:val="28"/>
              <w:szCs w:val="28"/>
            </w:rPr>
            <w:fldChar w:fldCharType="end"/>
          </w:r>
          <w:r>
            <w:rPr>
              <w:sz w:val="28"/>
              <w:szCs w:val="28"/>
            </w:rPr>
            <w:fldChar w:fldCharType="end"/>
          </w:r>
        </w:p>
        <w:p w14:paraId="3AE3F1D6">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"_Toc89419994" </w:instrText>
          </w:r>
          <w:r>
            <w:fldChar w:fldCharType="separate"/>
          </w:r>
          <w:r>
            <w:rPr>
              <w:rStyle w:val="21"/>
              <w:rFonts w:eastAsia="黑体"/>
              <w:sz w:val="28"/>
              <w:szCs w:val="28"/>
            </w:rPr>
            <w:t>三、综合评价情况及评价结论</w:t>
          </w:r>
          <w:r>
            <w:rPr>
              <w:sz w:val="28"/>
              <w:szCs w:val="28"/>
            </w:rPr>
            <w:tab/>
          </w:r>
          <w:r>
            <w:rPr>
              <w:sz w:val="28"/>
              <w:szCs w:val="28"/>
            </w:rPr>
            <w:fldChar w:fldCharType="begin"/>
          </w:r>
          <w:r>
            <w:rPr>
              <w:sz w:val="28"/>
              <w:szCs w:val="28"/>
            </w:rPr>
            <w:instrText xml:space="preserve"> PAGEREF _Toc89419994 \h </w:instrText>
          </w:r>
          <w:r>
            <w:rPr>
              <w:sz w:val="28"/>
              <w:szCs w:val="28"/>
            </w:rPr>
            <w:fldChar w:fldCharType="separate"/>
          </w:r>
          <w:r>
            <w:rPr>
              <w:sz w:val="28"/>
              <w:szCs w:val="28"/>
            </w:rPr>
            <w:t>11</w:t>
          </w:r>
          <w:r>
            <w:rPr>
              <w:sz w:val="28"/>
              <w:szCs w:val="28"/>
            </w:rPr>
            <w:fldChar w:fldCharType="end"/>
          </w:r>
          <w:r>
            <w:rPr>
              <w:sz w:val="28"/>
              <w:szCs w:val="28"/>
            </w:rPr>
            <w:fldChar w:fldCharType="end"/>
          </w:r>
        </w:p>
        <w:p w14:paraId="58F4B2EA">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"_Toc89419995" </w:instrText>
          </w:r>
          <w:r>
            <w:fldChar w:fldCharType="separate"/>
          </w:r>
          <w:r>
            <w:rPr>
              <w:rStyle w:val="21"/>
              <w:rFonts w:eastAsia="黑体"/>
              <w:sz w:val="28"/>
              <w:szCs w:val="28"/>
            </w:rPr>
            <w:t>四、绩效评价指标分析</w:t>
          </w:r>
          <w:r>
            <w:rPr>
              <w:sz w:val="28"/>
              <w:szCs w:val="28"/>
            </w:rPr>
            <w:tab/>
          </w:r>
          <w:r>
            <w:rPr>
              <w:sz w:val="28"/>
              <w:szCs w:val="28"/>
            </w:rPr>
            <w:fldChar w:fldCharType="begin"/>
          </w:r>
          <w:r>
            <w:rPr>
              <w:sz w:val="28"/>
              <w:szCs w:val="28"/>
            </w:rPr>
            <w:instrText xml:space="preserve"> PAGEREF _Toc89419995 \h </w:instrText>
          </w:r>
          <w:r>
            <w:rPr>
              <w:sz w:val="28"/>
              <w:szCs w:val="28"/>
            </w:rPr>
            <w:fldChar w:fldCharType="separate"/>
          </w:r>
          <w:r>
            <w:rPr>
              <w:sz w:val="28"/>
              <w:szCs w:val="28"/>
            </w:rPr>
            <w:t>13</w:t>
          </w:r>
          <w:r>
            <w:rPr>
              <w:sz w:val="28"/>
              <w:szCs w:val="28"/>
            </w:rPr>
            <w:fldChar w:fldCharType="end"/>
          </w:r>
          <w:r>
            <w:rPr>
              <w:sz w:val="28"/>
              <w:szCs w:val="28"/>
            </w:rPr>
            <w:fldChar w:fldCharType="end"/>
          </w:r>
        </w:p>
        <w:p w14:paraId="7028A690">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"_Toc89419996" </w:instrText>
          </w:r>
          <w:r>
            <w:fldChar w:fldCharType="separate"/>
          </w:r>
          <w:r>
            <w:rPr>
              <w:rStyle w:val="21"/>
              <w:rFonts w:ascii="楷体_GB2312" w:eastAsia="楷体_GB2312"/>
              <w:sz w:val="28"/>
              <w:szCs w:val="28"/>
            </w:rPr>
            <w:t>（一）决策</w:t>
          </w:r>
          <w:r>
            <w:rPr>
              <w:sz w:val="28"/>
              <w:szCs w:val="28"/>
            </w:rPr>
            <w:tab/>
          </w:r>
          <w:r>
            <w:rPr>
              <w:sz w:val="28"/>
              <w:szCs w:val="28"/>
            </w:rPr>
            <w:fldChar w:fldCharType="begin"/>
          </w:r>
          <w:r>
            <w:rPr>
              <w:sz w:val="28"/>
              <w:szCs w:val="28"/>
            </w:rPr>
            <w:instrText xml:space="preserve"> PAGEREF _Toc89419996 \h </w:instrText>
          </w:r>
          <w:r>
            <w:rPr>
              <w:sz w:val="28"/>
              <w:szCs w:val="28"/>
            </w:rPr>
            <w:fldChar w:fldCharType="separate"/>
          </w:r>
          <w:r>
            <w:rPr>
              <w:sz w:val="28"/>
              <w:szCs w:val="28"/>
            </w:rPr>
            <w:t>13</w:t>
          </w:r>
          <w:r>
            <w:rPr>
              <w:sz w:val="28"/>
              <w:szCs w:val="28"/>
            </w:rPr>
            <w:fldChar w:fldCharType="end"/>
          </w:r>
          <w:r>
            <w:rPr>
              <w:sz w:val="28"/>
              <w:szCs w:val="28"/>
            </w:rPr>
            <w:fldChar w:fldCharType="end"/>
          </w:r>
        </w:p>
        <w:p w14:paraId="6811DFBF">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"_Toc89419997" </w:instrText>
          </w:r>
          <w:r>
            <w:fldChar w:fldCharType="separate"/>
          </w:r>
          <w:r>
            <w:rPr>
              <w:rStyle w:val="21"/>
              <w:rFonts w:ascii="楷体_GB2312" w:eastAsia="楷体_GB2312"/>
              <w:sz w:val="28"/>
              <w:szCs w:val="28"/>
            </w:rPr>
            <w:t>（二）过程</w:t>
          </w:r>
          <w:r>
            <w:rPr>
              <w:sz w:val="28"/>
              <w:szCs w:val="28"/>
            </w:rPr>
            <w:tab/>
          </w:r>
          <w:r>
            <w:rPr>
              <w:sz w:val="28"/>
              <w:szCs w:val="28"/>
            </w:rPr>
            <w:fldChar w:fldCharType="begin"/>
          </w:r>
          <w:r>
            <w:rPr>
              <w:sz w:val="28"/>
              <w:szCs w:val="28"/>
            </w:rPr>
            <w:instrText xml:space="preserve"> PAGEREF _Toc89419997 \h </w:instrText>
          </w:r>
          <w:r>
            <w:rPr>
              <w:sz w:val="28"/>
              <w:szCs w:val="28"/>
            </w:rPr>
            <w:fldChar w:fldCharType="separate"/>
          </w:r>
          <w:r>
            <w:rPr>
              <w:sz w:val="28"/>
              <w:szCs w:val="28"/>
            </w:rPr>
            <w:t>15</w:t>
          </w:r>
          <w:r>
            <w:rPr>
              <w:sz w:val="28"/>
              <w:szCs w:val="28"/>
            </w:rPr>
            <w:fldChar w:fldCharType="end"/>
          </w:r>
          <w:r>
            <w:rPr>
              <w:sz w:val="28"/>
              <w:szCs w:val="28"/>
            </w:rPr>
            <w:fldChar w:fldCharType="end"/>
          </w:r>
        </w:p>
        <w:p w14:paraId="008665BE">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"_Toc89419998" </w:instrText>
          </w:r>
          <w:r>
            <w:fldChar w:fldCharType="separate"/>
          </w:r>
          <w:r>
            <w:rPr>
              <w:rStyle w:val="21"/>
              <w:rFonts w:ascii="楷体_GB2312" w:eastAsia="楷体_GB2312"/>
              <w:sz w:val="28"/>
              <w:szCs w:val="28"/>
            </w:rPr>
            <w:t>（三）产出</w:t>
          </w:r>
          <w:r>
            <w:rPr>
              <w:sz w:val="28"/>
              <w:szCs w:val="28"/>
            </w:rPr>
            <w:tab/>
          </w:r>
          <w:r>
            <w:rPr>
              <w:sz w:val="28"/>
              <w:szCs w:val="28"/>
            </w:rPr>
            <w:fldChar w:fldCharType="begin"/>
          </w:r>
          <w:r>
            <w:rPr>
              <w:sz w:val="28"/>
              <w:szCs w:val="28"/>
            </w:rPr>
            <w:instrText xml:space="preserve"> PAGEREF _Toc89419998 \h </w:instrText>
          </w:r>
          <w:r>
            <w:rPr>
              <w:sz w:val="28"/>
              <w:szCs w:val="28"/>
            </w:rPr>
            <w:fldChar w:fldCharType="separate"/>
          </w:r>
          <w:r>
            <w:rPr>
              <w:sz w:val="28"/>
              <w:szCs w:val="28"/>
            </w:rPr>
            <w:t>16</w:t>
          </w:r>
          <w:r>
            <w:rPr>
              <w:sz w:val="28"/>
              <w:szCs w:val="28"/>
            </w:rPr>
            <w:fldChar w:fldCharType="end"/>
          </w:r>
          <w:r>
            <w:rPr>
              <w:sz w:val="28"/>
              <w:szCs w:val="28"/>
            </w:rPr>
            <w:fldChar w:fldCharType="end"/>
          </w:r>
        </w:p>
        <w:p w14:paraId="62EFA7DB">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"_Toc89419999" </w:instrText>
          </w:r>
          <w:r>
            <w:fldChar w:fldCharType="separate"/>
          </w:r>
          <w:r>
            <w:rPr>
              <w:rStyle w:val="21"/>
              <w:rFonts w:ascii="楷体" w:hAnsi="楷体" w:eastAsia="楷体"/>
              <w:sz w:val="28"/>
              <w:szCs w:val="28"/>
            </w:rPr>
            <w:t>（四）效益</w:t>
          </w:r>
          <w:r>
            <w:rPr>
              <w:sz w:val="28"/>
              <w:szCs w:val="28"/>
            </w:rPr>
            <w:tab/>
          </w:r>
          <w:r>
            <w:rPr>
              <w:sz w:val="28"/>
              <w:szCs w:val="28"/>
            </w:rPr>
            <w:fldChar w:fldCharType="begin"/>
          </w:r>
          <w:r>
            <w:rPr>
              <w:sz w:val="28"/>
              <w:szCs w:val="28"/>
            </w:rPr>
            <w:instrText xml:space="preserve"> PAGEREF _Toc89419999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4FF13D2C">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"_Toc89420000" </w:instrText>
          </w:r>
          <w:r>
            <w:fldChar w:fldCharType="separate"/>
          </w:r>
          <w:r>
            <w:rPr>
              <w:rStyle w:val="21"/>
              <w:rFonts w:eastAsia="黑体"/>
              <w:sz w:val="28"/>
              <w:szCs w:val="28"/>
            </w:rPr>
            <w:t>五、存在问题</w:t>
          </w:r>
          <w:r>
            <w:rPr>
              <w:sz w:val="28"/>
              <w:szCs w:val="28"/>
            </w:rPr>
            <w:tab/>
          </w:r>
          <w:r>
            <w:rPr>
              <w:sz w:val="28"/>
              <w:szCs w:val="28"/>
            </w:rPr>
            <w:fldChar w:fldCharType="begin"/>
          </w:r>
          <w:r>
            <w:rPr>
              <w:sz w:val="28"/>
              <w:szCs w:val="28"/>
            </w:rPr>
            <w:instrText xml:space="preserve"> PAGEREF _Toc89420000 \h </w:instrText>
          </w:r>
          <w:r>
            <w:rPr>
              <w:sz w:val="28"/>
              <w:szCs w:val="28"/>
            </w:rPr>
            <w:fldChar w:fldCharType="separate"/>
          </w:r>
          <w:r>
            <w:rPr>
              <w:sz w:val="28"/>
              <w:szCs w:val="28"/>
            </w:rPr>
            <w:t>17</w:t>
          </w:r>
          <w:r>
            <w:rPr>
              <w:sz w:val="28"/>
              <w:szCs w:val="28"/>
            </w:rPr>
            <w:fldChar w:fldCharType="end"/>
          </w:r>
          <w:r>
            <w:rPr>
              <w:sz w:val="28"/>
              <w:szCs w:val="28"/>
            </w:rPr>
            <w:fldChar w:fldCharType="end"/>
          </w:r>
        </w:p>
        <w:p w14:paraId="2753B45A">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"_Toc89420001" </w:instrText>
          </w:r>
          <w:r>
            <w:fldChar w:fldCharType="separate"/>
          </w:r>
          <w:r>
            <w:rPr>
              <w:rStyle w:val="21"/>
              <w:rFonts w:ascii="楷体" w:hAnsi="楷体" w:eastAsia="楷体"/>
              <w:sz w:val="28"/>
              <w:szCs w:val="28"/>
            </w:rPr>
            <w:t>（一）决策方面</w:t>
          </w:r>
          <w:r>
            <w:rPr>
              <w:sz w:val="28"/>
              <w:szCs w:val="28"/>
            </w:rPr>
            <w:tab/>
          </w:r>
          <w:r>
            <w:rPr>
              <w:sz w:val="28"/>
              <w:szCs w:val="28"/>
            </w:rPr>
            <w:fldChar w:fldCharType="begin"/>
          </w:r>
          <w:r>
            <w:rPr>
              <w:sz w:val="28"/>
              <w:szCs w:val="28"/>
            </w:rPr>
            <w:instrText xml:space="preserve"> PAGEREF _Toc89420001 \h </w:instrText>
          </w:r>
          <w:r>
            <w:rPr>
              <w:sz w:val="28"/>
              <w:szCs w:val="28"/>
            </w:rPr>
            <w:fldChar w:fldCharType="separate"/>
          </w:r>
          <w:r>
            <w:rPr>
              <w:sz w:val="28"/>
              <w:szCs w:val="28"/>
            </w:rPr>
            <w:t>17</w:t>
          </w:r>
          <w:r>
            <w:rPr>
              <w:sz w:val="28"/>
              <w:szCs w:val="28"/>
            </w:rPr>
            <w:fldChar w:fldCharType="end"/>
          </w:r>
          <w:r>
            <w:rPr>
              <w:sz w:val="28"/>
              <w:szCs w:val="28"/>
            </w:rPr>
            <w:fldChar w:fldCharType="end"/>
          </w:r>
        </w:p>
        <w:p w14:paraId="10B244AC">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"_Toc89420002" </w:instrText>
          </w:r>
          <w:r>
            <w:fldChar w:fldCharType="separate"/>
          </w:r>
          <w:r>
            <w:rPr>
              <w:rStyle w:val="21"/>
              <w:rFonts w:ascii="楷体" w:hAnsi="楷体" w:eastAsia="楷体"/>
              <w:sz w:val="28"/>
              <w:szCs w:val="28"/>
            </w:rPr>
            <w:t>（二）过程方面</w:t>
          </w:r>
          <w:r>
            <w:rPr>
              <w:sz w:val="28"/>
              <w:szCs w:val="28"/>
            </w:rPr>
            <w:tab/>
          </w:r>
          <w:r>
            <w:rPr>
              <w:sz w:val="28"/>
              <w:szCs w:val="28"/>
            </w:rPr>
            <w:fldChar w:fldCharType="begin"/>
          </w:r>
          <w:r>
            <w:rPr>
              <w:sz w:val="28"/>
              <w:szCs w:val="28"/>
            </w:rPr>
            <w:instrText xml:space="preserve"> PAGEREF _Toc89420002 \h </w:instrText>
          </w:r>
          <w:r>
            <w:rPr>
              <w:sz w:val="28"/>
              <w:szCs w:val="28"/>
            </w:rPr>
            <w:fldChar w:fldCharType="separate"/>
          </w:r>
          <w:r>
            <w:rPr>
              <w:sz w:val="28"/>
              <w:szCs w:val="28"/>
            </w:rPr>
            <w:t>18</w:t>
          </w:r>
          <w:r>
            <w:rPr>
              <w:sz w:val="28"/>
              <w:szCs w:val="28"/>
            </w:rPr>
            <w:fldChar w:fldCharType="end"/>
          </w:r>
          <w:r>
            <w:rPr>
              <w:sz w:val="28"/>
              <w:szCs w:val="28"/>
            </w:rPr>
            <w:fldChar w:fldCharType="end"/>
          </w:r>
        </w:p>
        <w:p w14:paraId="10789A5F">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"_Toc89420004" </w:instrText>
          </w:r>
          <w:r>
            <w:fldChar w:fldCharType="separate"/>
          </w:r>
          <w:r>
            <w:rPr>
              <w:rStyle w:val="21"/>
              <w:rFonts w:eastAsia="黑体"/>
              <w:sz w:val="28"/>
              <w:szCs w:val="28"/>
            </w:rPr>
            <w:t>六、有关建议</w:t>
          </w:r>
          <w:r>
            <w:rPr>
              <w:sz w:val="28"/>
              <w:szCs w:val="28"/>
            </w:rPr>
            <w:tab/>
          </w:r>
          <w:r>
            <w:rPr>
              <w:sz w:val="28"/>
              <w:szCs w:val="28"/>
            </w:rPr>
            <w:fldChar w:fldCharType="begin"/>
          </w:r>
          <w:r>
            <w:rPr>
              <w:sz w:val="28"/>
              <w:szCs w:val="28"/>
            </w:rPr>
            <w:instrText xml:space="preserve"> PAGEREF _Toc89420004 \h </w:instrText>
          </w:r>
          <w:r>
            <w:rPr>
              <w:sz w:val="28"/>
              <w:szCs w:val="28"/>
            </w:rPr>
            <w:fldChar w:fldCharType="separate"/>
          </w:r>
          <w:r>
            <w:rPr>
              <w:sz w:val="28"/>
              <w:szCs w:val="28"/>
            </w:rPr>
            <w:t>19</w:t>
          </w:r>
          <w:r>
            <w:rPr>
              <w:sz w:val="28"/>
              <w:szCs w:val="28"/>
            </w:rPr>
            <w:fldChar w:fldCharType="end"/>
          </w:r>
          <w:r>
            <w:rPr>
              <w:sz w:val="28"/>
              <w:szCs w:val="28"/>
            </w:rPr>
            <w:fldChar w:fldCharType="end"/>
          </w:r>
        </w:p>
        <w:p w14:paraId="32A3F955">
          <w:pPr>
            <w:pStyle w:val="13"/>
            <w:tabs>
              <w:tab w:val="right" w:leader="dot" w:pos="9061"/>
            </w:tabs>
            <w:spacing w:line="440" w:lineRule="exact"/>
            <w:rPr>
              <w:rFonts w:hint="eastAsia" w:hAnsiTheme="minorHAnsi" w:eastAsiaTheme="minorHAnsi" w:cstheme="minorBidi"/>
              <w:b w:val="0"/>
              <w:bCs w:val="0"/>
              <w:caps w:val="0"/>
              <w:sz w:val="28"/>
              <w:szCs w:val="28"/>
              <w:lang w:val="en-US" w:eastAsia="zh-CN"/>
            </w:rPr>
          </w:pPr>
          <w:r>
            <w:fldChar w:fldCharType="begin"/>
          </w:r>
          <w:r>
            <w:instrText xml:space="preserve"> HYPERLINK \l "_Toc89420005" </w:instrText>
          </w:r>
          <w:r>
            <w:fldChar w:fldCharType="separate"/>
          </w:r>
          <w:r>
            <w:rPr>
              <w:rStyle w:val="21"/>
              <w:rFonts w:eastAsia="黑体"/>
              <w:sz w:val="28"/>
              <w:szCs w:val="28"/>
            </w:rPr>
            <w:t>七、绩效评价结果应用</w:t>
          </w:r>
          <w:r>
            <w:rPr>
              <w:sz w:val="28"/>
              <w:szCs w:val="28"/>
            </w:rPr>
            <w:tab/>
          </w:r>
          <w:r>
            <w:rPr>
              <w:rFonts w:hint="eastAsia"/>
              <w:sz w:val="28"/>
              <w:szCs w:val="28"/>
              <w:lang w:val="en-US" w:eastAsia="zh-CN"/>
            </w:rPr>
            <w:t>2</w:t>
          </w:r>
          <w:r>
            <w:rPr>
              <w:sz w:val="28"/>
              <w:szCs w:val="28"/>
            </w:rPr>
            <w:fldChar w:fldCharType="end"/>
          </w:r>
          <w:r>
            <w:rPr>
              <w:rFonts w:hint="eastAsia"/>
              <w:sz w:val="28"/>
              <w:szCs w:val="28"/>
              <w:lang w:val="en-US" w:eastAsia="zh-CN"/>
            </w:rPr>
            <w:t>0</w:t>
          </w:r>
        </w:p>
        <w:p w14:paraId="08FC336B">
          <w:pPr>
            <w:spacing w:line="440" w:lineRule="exact"/>
            <w:rPr>
              <w:sz w:val="28"/>
              <w:szCs w:val="28"/>
            </w:rPr>
          </w:pPr>
          <w:r>
            <w:rPr>
              <w:b/>
              <w:bCs/>
              <w:sz w:val="28"/>
              <w:szCs w:val="28"/>
              <w:lang w:val="zh-CN"/>
            </w:rPr>
            <w:fldChar w:fldCharType="end"/>
          </w:r>
        </w:p>
      </w:sdtContent>
    </w:sdt>
    <w:p w14:paraId="14DF7111">
      <w:pPr>
        <w:sectPr>
          <w:footerReference r:id="rId3" w:type="default"/>
          <w:pgSz w:w="11906" w:h="16838"/>
          <w:pgMar w:top="2098" w:right="1304" w:bottom="1871" w:left="1531" w:header="851" w:footer="992" w:gutter="0"/>
          <w:pgNumType w:start="1"/>
          <w:cols w:space="425" w:num="1"/>
          <w:docGrid w:type="lines" w:linePitch="312" w:charSpace="0"/>
        </w:sectPr>
      </w:pPr>
    </w:p>
    <w:p w14:paraId="46FDFAF9">
      <w:pPr>
        <w:rPr>
          <w:rFonts w:eastAsia="新宋体"/>
          <w:b/>
          <w:bCs/>
          <w:sz w:val="32"/>
          <w:szCs w:val="32"/>
          <w:lang w:val="zh-CN"/>
        </w:rPr>
      </w:pPr>
      <w:bookmarkStart w:id="0" w:name="_Hlk85718711"/>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14:paraId="7FD52D94">
      <w:pPr>
        <w:pStyle w:val="27"/>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14:paraId="01A99058">
      <w:pPr>
        <w:rPr>
          <w:rFonts w:eastAsia="幼圆"/>
          <w:b/>
          <w:sz w:val="18"/>
          <w:szCs w:val="18"/>
        </w:rPr>
      </w:pPr>
      <w:r>
        <w:rPr>
          <w:rFonts w:eastAsia="幼圆"/>
          <w:b/>
          <w:sz w:val="18"/>
          <w:szCs w:val="18"/>
        </w:rPr>
        <w:t xml:space="preserve">Tel：（0311）69053103   69053105         Fax：（0311）69053103 </w:t>
      </w:r>
    </w:p>
    <w:p w14:paraId="42D1C38D">
      <w:pPr>
        <w:rPr>
          <w:rFonts w:eastAsia="幼圆"/>
          <w:b/>
          <w:sz w:val="18"/>
          <w:szCs w:val="18"/>
        </w:rPr>
      </w:pPr>
      <w:bookmarkStart w:id="1" w:name="_Toc485046562"/>
      <w:bookmarkStart w:id="2" w:name="_Toc485046887"/>
      <w:bookmarkStart w:id="3" w:name="_Toc485138499"/>
      <w:bookmarkStart w:id="4" w:name="_Toc485051456"/>
      <w:bookmarkStart w:id="5" w:name="_Toc485138278"/>
      <w:r>
        <w:rPr>
          <w:rFonts w:eastAsia="幼圆"/>
          <w:b/>
          <w:sz w:val="18"/>
          <w:szCs w:val="18"/>
        </w:rPr>
        <w:t>E-Mail: hebeidey@126.com</w:t>
      </w:r>
      <w:bookmarkEnd w:id="1"/>
      <w:bookmarkEnd w:id="2"/>
      <w:bookmarkEnd w:id="3"/>
      <w:bookmarkEnd w:id="4"/>
      <w:bookmarkEnd w:id="5"/>
    </w:p>
    <w:p w14:paraId="57DE482E">
      <w:pPr>
        <w:spacing w:after="156" w:afterLines="50" w:line="360" w:lineRule="auto"/>
        <w:ind w:firstLine="5742" w:firstLineChars="1300"/>
        <w:rPr>
          <w:rFonts w:eastAsia="幼圆"/>
          <w:b/>
          <w:sz w:val="44"/>
          <w:szCs w:val="44"/>
          <w:highlight w:val="yellow"/>
          <w:lang w:val="zh-CN"/>
        </w:rPr>
      </w:pPr>
      <w:r>
        <w:rPr>
          <w:rFonts w:eastAsia="幼圆"/>
          <w:b/>
          <w:sz w:val="44"/>
          <w:szCs w:val="44"/>
          <w:highlight w:val="none"/>
          <w:lang w:val="zh-CN"/>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highlight w:val="none"/>
        </w:rPr>
        <w:t>冀德永评价字（2021）第60</w:t>
      </w:r>
      <w:r>
        <w:rPr>
          <w:rFonts w:hint="eastAsia"/>
          <w:b/>
          <w:highlight w:val="none"/>
          <w:lang w:val="en-US" w:eastAsia="zh-CN"/>
        </w:rPr>
        <w:t>10</w:t>
      </w:r>
      <w:r>
        <w:rPr>
          <w:b/>
          <w:highlight w:val="none"/>
        </w:rPr>
        <w:t>号</w:t>
      </w:r>
    </w:p>
    <w:p w14:paraId="61477A05">
      <w:pPr>
        <w:spacing w:before="156" w:beforeLines="50" w:after="156" w:afterLines="50" w:line="580" w:lineRule="exact"/>
        <w:jc w:val="center"/>
        <w:rPr>
          <w:rFonts w:hint="eastAsia" w:ascii="黑体" w:hAnsi="黑体" w:eastAsia="黑体"/>
          <w:sz w:val="36"/>
          <w:szCs w:val="36"/>
          <w:lang w:eastAsia="zh-CN"/>
        </w:rPr>
      </w:pPr>
      <w:bookmarkStart w:id="6" w:name="_Toc20354"/>
      <w:bookmarkStart w:id="7" w:name="_Toc19233"/>
      <w:bookmarkStart w:id="8" w:name="_Toc10264"/>
      <w:bookmarkStart w:id="9" w:name="_Toc72845856"/>
      <w:bookmarkStart w:id="10" w:name="_Toc3380"/>
      <w:bookmarkStart w:id="11" w:name="_Toc18464"/>
      <w:bookmarkStart w:id="12" w:name="_Toc72846124"/>
      <w:bookmarkStart w:id="13" w:name="_Toc17072"/>
      <w:bookmarkStart w:id="14" w:name="_Toc23205"/>
      <w:bookmarkStart w:id="15" w:name="_Toc15067"/>
      <w:bookmarkStart w:id="16" w:name="_Toc27044"/>
      <w:r>
        <w:rPr>
          <w:rFonts w:hint="eastAsia" w:ascii="黑体" w:hAnsi="黑体" w:eastAsia="黑体"/>
          <w:sz w:val="36"/>
          <w:szCs w:val="36"/>
          <w:lang w:eastAsia="zh-CN"/>
        </w:rPr>
        <w:t>徐水区教育和体育局学生课桌椅购置</w:t>
      </w:r>
    </w:p>
    <w:p w14:paraId="4D90F0BE">
      <w:pPr>
        <w:spacing w:before="156" w:beforeLines="50" w:after="156" w:afterLines="50" w:line="580" w:lineRule="exact"/>
        <w:jc w:val="center"/>
        <w:rPr>
          <w:rFonts w:ascii="黑体" w:hAnsi="黑体" w:eastAsia="黑体"/>
          <w:sz w:val="36"/>
          <w:szCs w:val="36"/>
        </w:rPr>
      </w:pPr>
      <w:r>
        <w:rPr>
          <w:rFonts w:hint="eastAsia" w:ascii="黑体" w:hAnsi="黑体" w:eastAsia="黑体"/>
          <w:sz w:val="36"/>
          <w:szCs w:val="36"/>
          <w:lang w:eastAsia="zh-CN"/>
        </w:rPr>
        <w:t>项目</w:t>
      </w:r>
      <w:r>
        <w:rPr>
          <w:rFonts w:ascii="黑体" w:hAnsi="黑体" w:eastAsia="黑体"/>
          <w:sz w:val="36"/>
          <w:szCs w:val="36"/>
        </w:rPr>
        <w:t>绩效评价报告</w:t>
      </w:r>
      <w:bookmarkEnd w:id="6"/>
      <w:bookmarkEnd w:id="7"/>
      <w:bookmarkEnd w:id="8"/>
      <w:bookmarkEnd w:id="9"/>
      <w:bookmarkEnd w:id="10"/>
      <w:bookmarkEnd w:id="11"/>
      <w:bookmarkEnd w:id="12"/>
      <w:bookmarkEnd w:id="13"/>
      <w:bookmarkEnd w:id="14"/>
      <w:bookmarkEnd w:id="15"/>
      <w:bookmarkEnd w:id="16"/>
    </w:p>
    <w:p w14:paraId="7794EFFB">
      <w:pPr>
        <w:spacing w:line="580" w:lineRule="exact"/>
        <w:rPr>
          <w:rFonts w:hint="eastAsia" w:ascii="仿宋" w:hAnsi="仿宋" w:eastAsia="仿宋" w:cs="仿宋"/>
          <w:sz w:val="32"/>
          <w:szCs w:val="32"/>
        </w:rPr>
      </w:pPr>
      <w:r>
        <w:rPr>
          <w:rFonts w:hint="eastAsia" w:ascii="仿宋" w:hAnsi="仿宋" w:eastAsia="仿宋" w:cs="仿宋"/>
          <w:sz w:val="32"/>
          <w:szCs w:val="32"/>
        </w:rPr>
        <w:t>保定市徐水区财政局：</w:t>
      </w:r>
    </w:p>
    <w:p w14:paraId="1B6387A9">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我们接受贵单位的委托，于202</w:t>
      </w:r>
      <w:r>
        <w:rPr>
          <w:rFonts w:hint="eastAsia" w:ascii="仿宋" w:hAnsi="仿宋" w:eastAsia="仿宋" w:cs="仿宋"/>
          <w:sz w:val="32"/>
          <w:szCs w:val="32"/>
          <w:lang w:val="en-US" w:eastAsia="zh-CN"/>
        </w:rPr>
        <w:t>2</w:t>
      </w:r>
      <w:r>
        <w:rPr>
          <w:rFonts w:hint="eastAsia" w:ascii="仿宋" w:hAnsi="仿宋" w:eastAsia="仿宋" w:cs="仿宋"/>
          <w:sz w:val="32"/>
          <w:szCs w:val="32"/>
        </w:rPr>
        <w:t>年9月</w:t>
      </w:r>
      <w:r>
        <w:rPr>
          <w:rFonts w:hint="eastAsia" w:ascii="仿宋" w:hAnsi="仿宋" w:eastAsia="仿宋" w:cs="仿宋"/>
          <w:sz w:val="32"/>
          <w:szCs w:val="32"/>
          <w:lang w:val="en-US" w:eastAsia="zh-CN"/>
        </w:rPr>
        <w:t>5</w:t>
      </w:r>
      <w:r>
        <w:rPr>
          <w:rFonts w:hint="eastAsia" w:ascii="仿宋" w:hAnsi="仿宋" w:eastAsia="仿宋" w:cs="仿宋"/>
          <w:sz w:val="32"/>
          <w:szCs w:val="32"/>
        </w:rPr>
        <w:t>日至202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9</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日对保定市徐水区教育和体育局（以下简称“教体局”）承担的</w:t>
      </w:r>
      <w:r>
        <w:rPr>
          <w:rFonts w:hint="eastAsia" w:ascii="仿宋" w:hAnsi="仿宋" w:eastAsia="仿宋" w:cs="仿宋"/>
          <w:sz w:val="32"/>
          <w:szCs w:val="32"/>
          <w:lang w:eastAsia="zh-CN"/>
        </w:rPr>
        <w:t>学生</w:t>
      </w:r>
      <w:r>
        <w:rPr>
          <w:rFonts w:hint="eastAsia" w:ascii="仿宋" w:hAnsi="仿宋" w:eastAsia="仿宋" w:cs="仿宋"/>
          <w:sz w:val="32"/>
          <w:szCs w:val="32"/>
          <w:lang w:val="en-US" w:eastAsia="zh-CN"/>
        </w:rPr>
        <w:t>课桌椅购置</w:t>
      </w:r>
      <w:r>
        <w:rPr>
          <w:rFonts w:hint="eastAsia" w:ascii="仿宋" w:hAnsi="仿宋" w:eastAsia="仿宋" w:cs="仿宋"/>
          <w:sz w:val="32"/>
          <w:szCs w:val="32"/>
          <w:lang w:eastAsia="zh-CN"/>
        </w:rPr>
        <w:t>项目</w:t>
      </w:r>
      <w:r>
        <w:rPr>
          <w:rFonts w:hint="eastAsia" w:ascii="仿宋" w:hAnsi="仿宋" w:eastAsia="仿宋" w:cs="仿宋"/>
          <w:sz w:val="32"/>
          <w:szCs w:val="32"/>
        </w:rPr>
        <w:t>（以下简称“该项目”）的具体实施情况进行了绩效评价。与绩效评价有关的项目资料由教体局提供，并对其真实性、完整性、合法性负责，我们的责任是根据项目相关资料，对项目决策、过程、产出、效益和执行国家法律、法规情况发表评价意见。</w:t>
      </w:r>
    </w:p>
    <w:p w14:paraId="35E3F4D3">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我们的绩效评价工作是依据财政部门的相关规定进行的。在评价工作中，我们结合该项目的实际情况制定了绩效评价工作方案和绩效评价指标体系，实施了包括询问、</w:t>
      </w:r>
      <w:r>
        <w:rPr>
          <w:rFonts w:hint="eastAsia" w:ascii="仿宋" w:hAnsi="仿宋" w:eastAsia="仿宋" w:cs="仿宋"/>
          <w:sz w:val="32"/>
          <w:szCs w:val="32"/>
          <w:lang w:val="en-US" w:eastAsia="zh-CN"/>
        </w:rPr>
        <w:t>查阅</w:t>
      </w:r>
      <w:r>
        <w:rPr>
          <w:rFonts w:hint="eastAsia" w:ascii="仿宋" w:hAnsi="仿宋" w:eastAsia="仿宋" w:cs="仿宋"/>
          <w:sz w:val="32"/>
          <w:szCs w:val="32"/>
        </w:rPr>
        <w:t>、</w:t>
      </w:r>
      <w:r>
        <w:rPr>
          <w:rFonts w:hint="eastAsia" w:ascii="仿宋" w:hAnsi="仿宋" w:eastAsia="仿宋" w:cs="仿宋"/>
          <w:sz w:val="32"/>
          <w:szCs w:val="32"/>
          <w:lang w:val="en-US" w:eastAsia="zh-CN"/>
        </w:rPr>
        <w:t>重新</w:t>
      </w:r>
      <w:r>
        <w:rPr>
          <w:rFonts w:hint="eastAsia" w:ascii="仿宋" w:hAnsi="仿宋" w:eastAsia="仿宋" w:cs="仿宋"/>
          <w:sz w:val="32"/>
          <w:szCs w:val="32"/>
        </w:rPr>
        <w:t>计算</w:t>
      </w:r>
      <w:r>
        <w:rPr>
          <w:rFonts w:hint="eastAsia" w:ascii="仿宋" w:hAnsi="仿宋" w:eastAsia="仿宋" w:cs="仿宋"/>
          <w:sz w:val="32"/>
          <w:szCs w:val="32"/>
          <w:lang w:eastAsia="zh-CN"/>
        </w:rPr>
        <w:t>、</w:t>
      </w:r>
      <w:r>
        <w:rPr>
          <w:rFonts w:hint="eastAsia" w:ascii="仿宋" w:hAnsi="仿宋" w:eastAsia="仿宋" w:cs="仿宋"/>
          <w:sz w:val="32"/>
          <w:szCs w:val="32"/>
        </w:rPr>
        <w:t>分析、现场踏勘等我们认为必要的评价手段。绩效评价工作现已完成，具体评价情况汇总如下：</w:t>
      </w:r>
    </w:p>
    <w:bookmarkEnd w:id="0"/>
    <w:p w14:paraId="26AEC28A">
      <w:pPr>
        <w:spacing w:line="580" w:lineRule="exact"/>
        <w:ind w:firstLine="420" w:firstLineChars="200"/>
      </w:pPr>
    </w:p>
    <w:p w14:paraId="73F849CD">
      <w:pPr>
        <w:spacing w:line="580" w:lineRule="exact"/>
        <w:ind w:firstLine="420" w:firstLineChars="200"/>
      </w:pPr>
    </w:p>
    <w:p w14:paraId="3268F492">
      <w:pPr>
        <w:spacing w:before="156" w:beforeLines="50" w:after="156" w:afterLines="50"/>
        <w:jc w:val="center"/>
        <w:rPr>
          <w:rFonts w:ascii="黑体" w:hAnsi="黑体" w:eastAsia="黑体"/>
          <w:b/>
          <w:bCs/>
          <w:sz w:val="36"/>
          <w:szCs w:val="36"/>
        </w:rPr>
      </w:pPr>
      <w:bookmarkStart w:id="17" w:name="_Toc15725"/>
      <w:bookmarkStart w:id="18" w:name="_Toc31792"/>
      <w:bookmarkStart w:id="19" w:name="_Toc72846125"/>
      <w:bookmarkStart w:id="20" w:name="_Toc5533"/>
      <w:bookmarkStart w:id="21" w:name="_Toc13920"/>
      <w:r>
        <w:rPr>
          <w:rFonts w:hint="eastAsia" w:ascii="黑体" w:hAnsi="黑体" w:eastAsia="黑体"/>
          <w:b/>
          <w:bCs/>
          <w:sz w:val="36"/>
          <w:szCs w:val="36"/>
        </w:rPr>
        <w:t>第一部分</w:t>
      </w:r>
      <w:r>
        <w:rPr>
          <w:rFonts w:ascii="黑体" w:hAnsi="黑体" w:eastAsia="黑体"/>
          <w:b/>
          <w:bCs/>
          <w:sz w:val="36"/>
          <w:szCs w:val="36"/>
        </w:rPr>
        <w:t xml:space="preserve">  </w:t>
      </w:r>
      <w:r>
        <w:rPr>
          <w:rFonts w:hint="eastAsia" w:ascii="黑体" w:hAnsi="黑体" w:eastAsia="黑体"/>
          <w:b/>
          <w:bCs/>
          <w:sz w:val="36"/>
          <w:szCs w:val="36"/>
        </w:rPr>
        <w:t>摘要</w:t>
      </w:r>
      <w:bookmarkEnd w:id="17"/>
      <w:bookmarkEnd w:id="18"/>
      <w:bookmarkEnd w:id="19"/>
      <w:bookmarkEnd w:id="20"/>
      <w:bookmarkEnd w:id="21"/>
    </w:p>
    <w:p w14:paraId="52C97219">
      <w:pPr>
        <w:spacing w:line="580" w:lineRule="exact"/>
        <w:ind w:firstLine="640" w:firstLineChars="200"/>
        <w:rPr>
          <w:rFonts w:hint="eastAsia" w:ascii="仿宋" w:hAnsi="仿宋" w:eastAsia="仿宋" w:cs="仿宋"/>
          <w:color w:val="FF0000"/>
          <w:sz w:val="32"/>
          <w:szCs w:val="32"/>
          <w:highlight w:val="yellow"/>
        </w:rPr>
      </w:pPr>
      <w:r>
        <w:rPr>
          <w:rFonts w:hint="eastAsia" w:ascii="仿宋" w:hAnsi="仿宋" w:eastAsia="仿宋" w:cs="仿宋"/>
          <w:sz w:val="32"/>
          <w:szCs w:val="32"/>
          <w:lang w:val="en-US" w:eastAsia="zh-CN"/>
        </w:rPr>
        <w:t>百年大计，教育为本。习近平同志所作的党的十九大报告围绕“优先发展教育事业”作出新的全面部署，明确提出“建设教育强国是中华民族伟大复兴的基础工程，必须把教育事业放在优先位置，深化教育改革，加快教育现代化，办好人民满意的教育”。为促进革命老区教育事业和谐发展，确保将党中央、国务院对革命老区人民的关怀落到实处，</w:t>
      </w:r>
      <w:r>
        <w:rPr>
          <w:rFonts w:hint="eastAsia" w:ascii="仿宋" w:hAnsi="仿宋" w:eastAsia="仿宋" w:cs="仿宋"/>
          <w:sz w:val="32"/>
          <w:szCs w:val="32"/>
        </w:rPr>
        <w:t>实现</w:t>
      </w:r>
      <w:r>
        <w:rPr>
          <w:rFonts w:hint="eastAsia" w:ascii="仿宋" w:hAnsi="仿宋" w:eastAsia="仿宋" w:cs="仿宋"/>
          <w:sz w:val="32"/>
          <w:szCs w:val="32"/>
          <w:lang w:val="en-US" w:eastAsia="zh-CN"/>
        </w:rPr>
        <w:t>徐水区</w:t>
      </w:r>
      <w:r>
        <w:rPr>
          <w:rFonts w:hint="eastAsia" w:ascii="仿宋" w:hAnsi="仿宋" w:eastAsia="仿宋" w:cs="仿宋"/>
          <w:sz w:val="32"/>
          <w:szCs w:val="32"/>
        </w:rPr>
        <w:t>义务教育优质均衡发展，解决徐水区学生</w:t>
      </w:r>
      <w:r>
        <w:rPr>
          <w:rFonts w:hint="eastAsia" w:ascii="仿宋" w:hAnsi="仿宋" w:eastAsia="仿宋" w:cs="仿宋"/>
          <w:sz w:val="32"/>
          <w:szCs w:val="32"/>
          <w:lang w:val="en-US" w:eastAsia="zh-CN"/>
        </w:rPr>
        <w:t>对学习硬件的迫切</w:t>
      </w:r>
      <w:r>
        <w:rPr>
          <w:rFonts w:hint="eastAsia" w:ascii="仿宋" w:hAnsi="仿宋" w:eastAsia="仿宋" w:cs="仿宋"/>
          <w:sz w:val="32"/>
          <w:szCs w:val="32"/>
        </w:rPr>
        <w:t>需求，消除</w:t>
      </w:r>
      <w:r>
        <w:rPr>
          <w:rFonts w:hint="eastAsia" w:ascii="仿宋" w:hAnsi="仿宋" w:eastAsia="仿宋" w:cs="仿宋"/>
          <w:sz w:val="32"/>
          <w:szCs w:val="32"/>
          <w:lang w:val="en-US" w:eastAsia="zh-CN"/>
        </w:rPr>
        <w:t>破旧的课桌椅</w:t>
      </w:r>
      <w:r>
        <w:rPr>
          <w:rFonts w:hint="eastAsia" w:ascii="仿宋" w:hAnsi="仿宋" w:eastAsia="仿宋" w:cs="仿宋"/>
          <w:sz w:val="32"/>
          <w:szCs w:val="32"/>
        </w:rPr>
        <w:t>带来的</w:t>
      </w:r>
      <w:r>
        <w:rPr>
          <w:rFonts w:hint="eastAsia" w:ascii="仿宋" w:hAnsi="仿宋" w:eastAsia="仿宋" w:cs="仿宋"/>
          <w:sz w:val="32"/>
          <w:szCs w:val="32"/>
          <w:lang w:val="en-US" w:eastAsia="zh-CN"/>
        </w:rPr>
        <w:t>隐患</w:t>
      </w:r>
      <w:r>
        <w:rPr>
          <w:rFonts w:hint="eastAsia" w:ascii="仿宋" w:hAnsi="仿宋" w:eastAsia="仿宋" w:cs="仿宋"/>
          <w:sz w:val="32"/>
          <w:szCs w:val="32"/>
        </w:rPr>
        <w:t>，改善徐水区现有办学条件</w:t>
      </w:r>
      <w:r>
        <w:rPr>
          <w:rFonts w:hint="eastAsia" w:ascii="仿宋" w:hAnsi="仿宋" w:eastAsia="仿宋" w:cs="仿宋"/>
          <w:sz w:val="32"/>
          <w:szCs w:val="32"/>
          <w:lang w:val="en-US" w:eastAsia="zh-CN"/>
        </w:rPr>
        <w:t>和学习环境</w:t>
      </w:r>
      <w:r>
        <w:rPr>
          <w:rFonts w:hint="eastAsia" w:ascii="仿宋" w:hAnsi="仿宋" w:eastAsia="仿宋" w:cs="仿宋"/>
          <w:sz w:val="32"/>
          <w:szCs w:val="32"/>
        </w:rPr>
        <w:t>，徐水区教育和体育局实施了</w:t>
      </w:r>
      <w:r>
        <w:rPr>
          <w:rFonts w:hint="eastAsia" w:ascii="仿宋" w:hAnsi="仿宋" w:eastAsia="仿宋" w:cs="仿宋"/>
          <w:sz w:val="32"/>
          <w:szCs w:val="32"/>
          <w:lang w:val="en-US" w:eastAsia="zh-CN"/>
        </w:rPr>
        <w:t>学生课桌椅购置项目</w:t>
      </w:r>
      <w:r>
        <w:rPr>
          <w:rFonts w:hint="eastAsia" w:ascii="仿宋" w:hAnsi="仿宋" w:eastAsia="仿宋" w:cs="仿宋"/>
          <w:sz w:val="32"/>
          <w:szCs w:val="32"/>
        </w:rPr>
        <w:t>。</w:t>
      </w:r>
    </w:p>
    <w:p w14:paraId="2F9BDBA3">
      <w:pPr>
        <w:spacing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该项目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地点</w:t>
      </w:r>
      <w:r>
        <w:rPr>
          <w:rFonts w:hint="eastAsia" w:ascii="仿宋" w:hAnsi="仿宋" w:eastAsia="仿宋" w:cs="仿宋"/>
          <w:sz w:val="32"/>
          <w:szCs w:val="32"/>
          <w:lang w:val="en-US" w:eastAsia="zh-CN"/>
        </w:rPr>
        <w:t>为徐水区55所学校，实施内容为购置升降课桌椅9769套，</w:t>
      </w:r>
      <w:r>
        <w:rPr>
          <w:rFonts w:hint="eastAsia" w:ascii="仿宋" w:hAnsi="仿宋" w:eastAsia="仿宋" w:cs="仿宋"/>
          <w:sz w:val="32"/>
          <w:szCs w:val="32"/>
        </w:rPr>
        <w:t>资金来源为</w:t>
      </w:r>
      <w:r>
        <w:rPr>
          <w:rFonts w:hint="eastAsia" w:ascii="仿宋" w:hAnsi="仿宋" w:eastAsia="仿宋" w:cs="仿宋"/>
          <w:sz w:val="32"/>
          <w:szCs w:val="32"/>
          <w:lang w:val="en-US" w:eastAsia="zh-CN"/>
        </w:rPr>
        <w:t>革命老区转移支付资金和</w:t>
      </w:r>
      <w:r>
        <w:rPr>
          <w:rFonts w:hint="eastAsia" w:ascii="仿宋" w:hAnsi="仿宋" w:eastAsia="仿宋" w:cs="仿宋"/>
          <w:color w:val="auto"/>
          <w:sz w:val="32"/>
          <w:szCs w:val="32"/>
          <w:lang w:val="en-US" w:eastAsia="zh-CN"/>
        </w:rPr>
        <w:t>县级配套资金</w:t>
      </w:r>
      <w:r>
        <w:rPr>
          <w:rFonts w:hint="eastAsia" w:ascii="仿宋" w:hAnsi="仿宋" w:eastAsia="仿宋" w:cs="仿宋"/>
          <w:sz w:val="32"/>
          <w:szCs w:val="32"/>
        </w:rPr>
        <w:t>。</w:t>
      </w:r>
      <w:r>
        <w:rPr>
          <w:rFonts w:hint="eastAsia" w:ascii="仿宋" w:hAnsi="仿宋" w:eastAsia="仿宋" w:cs="仿宋"/>
          <w:sz w:val="32"/>
          <w:szCs w:val="32"/>
          <w:lang w:val="en-US" w:eastAsia="zh-CN"/>
        </w:rPr>
        <w:t>该项目于2020年9月份完成可研报告，2021年3月9日由区财政完成投资评审后，同时批复项目预算，并在本级政府门户网站予以公开。2021年6月</w:t>
      </w:r>
      <w:r>
        <w:rPr>
          <w:rFonts w:hint="eastAsia" w:ascii="仿宋" w:hAnsi="仿宋" w:eastAsia="仿宋" w:cs="仿宋"/>
          <w:sz w:val="32"/>
          <w:szCs w:val="32"/>
        </w:rPr>
        <w:t>通过公开招标确定</w:t>
      </w:r>
      <w:r>
        <w:rPr>
          <w:rFonts w:hint="eastAsia" w:ascii="仿宋" w:hAnsi="仿宋" w:eastAsia="仿宋" w:cs="仿宋"/>
          <w:sz w:val="32"/>
          <w:szCs w:val="32"/>
          <w:lang w:val="en-US" w:eastAsia="zh-CN"/>
        </w:rPr>
        <w:t>供应商</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2021年7月25日完成全部课桌椅的交付工作。</w:t>
      </w:r>
    </w:p>
    <w:p w14:paraId="25DA129F">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徐水区财政局于2021年拨付革命老区转移支付资金281万元</w:t>
      </w:r>
      <w:r>
        <w:rPr>
          <w:rFonts w:hint="eastAsia" w:ascii="仿宋" w:hAnsi="仿宋" w:eastAsia="仿宋" w:cs="仿宋"/>
          <w:sz w:val="32"/>
          <w:szCs w:val="32"/>
          <w:lang w:eastAsia="zh-CN"/>
        </w:rPr>
        <w:t>。</w:t>
      </w:r>
      <w:r>
        <w:rPr>
          <w:rFonts w:hint="eastAsia" w:ascii="仿宋" w:hAnsi="仿宋" w:eastAsia="仿宋" w:cs="仿宋"/>
          <w:sz w:val="32"/>
          <w:szCs w:val="32"/>
        </w:rPr>
        <w:t>截至2021年</w:t>
      </w:r>
      <w:r>
        <w:rPr>
          <w:rFonts w:hint="eastAsia" w:ascii="仿宋" w:hAnsi="仿宋" w:eastAsia="仿宋" w:cs="仿宋"/>
          <w:sz w:val="32"/>
          <w:szCs w:val="32"/>
          <w:lang w:val="en-US" w:eastAsia="zh-CN"/>
        </w:rPr>
        <w:t>10</w:t>
      </w:r>
      <w:r>
        <w:rPr>
          <w:rFonts w:hint="eastAsia" w:ascii="仿宋" w:hAnsi="仿宋" w:eastAsia="仿宋" w:cs="仿宋"/>
          <w:sz w:val="32"/>
          <w:szCs w:val="32"/>
        </w:rPr>
        <w:t>月底，教体局收到</w:t>
      </w:r>
      <w:r>
        <w:rPr>
          <w:rFonts w:hint="eastAsia" w:ascii="仿宋" w:hAnsi="仿宋" w:eastAsia="仿宋" w:cs="仿宋"/>
          <w:sz w:val="32"/>
          <w:szCs w:val="32"/>
          <w:lang w:val="en-US" w:eastAsia="zh-CN"/>
        </w:rPr>
        <w:t>并支付革命老区转移支付资金281万元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预算执行率为100%</w:t>
      </w:r>
      <w:r>
        <w:rPr>
          <w:rFonts w:hint="eastAsia" w:ascii="仿宋" w:hAnsi="仿宋" w:eastAsia="仿宋" w:cs="仿宋"/>
          <w:sz w:val="32"/>
          <w:szCs w:val="32"/>
        </w:rPr>
        <w:t>。</w:t>
      </w:r>
    </w:p>
    <w:p w14:paraId="2170D736">
      <w:pPr>
        <w:spacing w:line="580" w:lineRule="exact"/>
        <w:ind w:firstLine="640" w:firstLineChars="200"/>
        <w:rPr>
          <w:rFonts w:hint="eastAsia" w:ascii="仿宋" w:hAnsi="仿宋" w:eastAsia="仿宋" w:cs="仿宋"/>
          <w:sz w:val="32"/>
          <w:szCs w:val="32"/>
        </w:rPr>
      </w:pPr>
      <w:bookmarkStart w:id="22" w:name="_Toc85203147"/>
      <w:r>
        <w:rPr>
          <w:rFonts w:hint="eastAsia" w:ascii="仿宋" w:hAnsi="仿宋" w:eastAsia="仿宋" w:cs="仿宋"/>
          <w:sz w:val="32"/>
          <w:szCs w:val="32"/>
        </w:rPr>
        <w:t>经综合评价，</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绩效评价得分</w:t>
      </w:r>
      <w:r>
        <w:rPr>
          <w:rFonts w:hint="eastAsia" w:ascii="仿宋" w:hAnsi="仿宋" w:eastAsia="仿宋" w:cs="仿宋"/>
          <w:sz w:val="32"/>
          <w:szCs w:val="32"/>
          <w:lang w:val="en-US" w:eastAsia="zh-CN"/>
        </w:rPr>
        <w:t>90</w:t>
      </w:r>
      <w:r>
        <w:rPr>
          <w:rFonts w:hint="eastAsia" w:ascii="仿宋" w:hAnsi="仿宋" w:eastAsia="仿宋" w:cs="仿宋"/>
          <w:sz w:val="32"/>
          <w:szCs w:val="32"/>
        </w:rPr>
        <w:t>分，评价等级为“</w:t>
      </w:r>
      <w:r>
        <w:rPr>
          <w:rFonts w:hint="eastAsia" w:ascii="仿宋" w:hAnsi="仿宋" w:eastAsia="仿宋" w:cs="仿宋"/>
          <w:sz w:val="32"/>
          <w:szCs w:val="32"/>
          <w:lang w:val="en-US" w:eastAsia="zh-CN"/>
        </w:rPr>
        <w:t>优</w:t>
      </w:r>
      <w:r>
        <w:rPr>
          <w:rFonts w:hint="eastAsia" w:ascii="仿宋" w:hAnsi="仿宋" w:eastAsia="仿宋" w:cs="仿宋"/>
          <w:sz w:val="32"/>
          <w:szCs w:val="32"/>
        </w:rPr>
        <w:t>”。</w:t>
      </w:r>
      <w:bookmarkEnd w:id="22"/>
    </w:p>
    <w:p w14:paraId="39DACCBF">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从资金支持方向看</w:t>
      </w:r>
      <w:r>
        <w:rPr>
          <w:rFonts w:hint="eastAsia" w:ascii="仿宋" w:hAnsi="仿宋" w:eastAsia="仿宋" w:cs="仿宋"/>
          <w:sz w:val="32"/>
          <w:szCs w:val="32"/>
          <w:lang w:val="en-US" w:eastAsia="zh-CN"/>
        </w:rPr>
        <w:t>，该项目是教育事业发展项目，属于民生事务的一部分，符合革命老区转移支付资金的支持范围。</w:t>
      </w:r>
    </w:p>
    <w:p w14:paraId="4A5EC29D">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从项目产出看</w:t>
      </w:r>
      <w:r>
        <w:rPr>
          <w:rFonts w:hint="eastAsia" w:ascii="仿宋" w:hAnsi="仿宋" w:eastAsia="仿宋" w:cs="仿宋"/>
          <w:sz w:val="32"/>
          <w:szCs w:val="32"/>
          <w:lang w:val="en-US" w:eastAsia="zh-CN"/>
        </w:rPr>
        <w:t>，</w:t>
      </w:r>
      <w:r>
        <w:rPr>
          <w:rFonts w:hint="eastAsia" w:ascii="仿宋" w:hAnsi="仿宋" w:eastAsia="仿宋" w:cs="仿宋"/>
          <w:sz w:val="32"/>
          <w:szCs w:val="32"/>
        </w:rPr>
        <w:t>该项目立项后，教体局积极开展工作，委托招标代理公司选定</w:t>
      </w:r>
      <w:r>
        <w:rPr>
          <w:rFonts w:hint="eastAsia" w:ascii="仿宋" w:hAnsi="仿宋" w:eastAsia="仿宋" w:cs="仿宋"/>
          <w:sz w:val="32"/>
          <w:szCs w:val="32"/>
          <w:lang w:val="en-US" w:eastAsia="zh-CN"/>
        </w:rPr>
        <w:t>供应商</w:t>
      </w:r>
      <w:r>
        <w:rPr>
          <w:rFonts w:hint="eastAsia" w:ascii="仿宋" w:hAnsi="仿宋" w:eastAsia="仿宋" w:cs="仿宋"/>
          <w:sz w:val="32"/>
          <w:szCs w:val="32"/>
        </w:rPr>
        <w:t>，项目完工后安排验收工作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按时完成了55所学校、购置升降课桌椅9769套的目标。</w:t>
      </w:r>
    </w:p>
    <w:p w14:paraId="78147983">
      <w:pPr>
        <w:spacing w:line="58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从项目的效果看，</w:t>
      </w:r>
      <w:r>
        <w:rPr>
          <w:rFonts w:hint="eastAsia" w:ascii="仿宋" w:hAnsi="仿宋" w:eastAsia="仿宋" w:cs="仿宋"/>
          <w:sz w:val="32"/>
          <w:szCs w:val="32"/>
          <w:lang w:val="en-US" w:eastAsia="zh-CN"/>
        </w:rPr>
        <w:t>学生课桌椅购置项目</w:t>
      </w:r>
      <w:r>
        <w:rPr>
          <w:rFonts w:hint="eastAsia" w:ascii="仿宋" w:hAnsi="仿宋" w:eastAsia="仿宋" w:cs="仿宋"/>
          <w:sz w:val="32"/>
          <w:szCs w:val="32"/>
        </w:rPr>
        <w:t>有效缓解</w:t>
      </w:r>
      <w:r>
        <w:rPr>
          <w:rFonts w:hint="eastAsia" w:ascii="仿宋" w:hAnsi="仿宋" w:eastAsia="仿宋" w:cs="仿宋"/>
          <w:sz w:val="32"/>
          <w:szCs w:val="32"/>
          <w:lang w:val="en-US" w:eastAsia="zh-CN"/>
        </w:rPr>
        <w:t>了徐水区学生课桌椅破旧的问题</w:t>
      </w:r>
      <w:r>
        <w:rPr>
          <w:rFonts w:hint="eastAsia" w:ascii="仿宋" w:hAnsi="仿宋" w:eastAsia="仿宋" w:cs="仿宋"/>
          <w:sz w:val="32"/>
          <w:szCs w:val="32"/>
        </w:rPr>
        <w:t>，满足</w:t>
      </w:r>
      <w:r>
        <w:rPr>
          <w:rFonts w:hint="eastAsia" w:ascii="仿宋" w:hAnsi="仿宋" w:eastAsia="仿宋" w:cs="仿宋"/>
          <w:sz w:val="32"/>
          <w:szCs w:val="32"/>
          <w:lang w:val="en-US" w:eastAsia="zh-CN"/>
        </w:rPr>
        <w:t>了学生对优质学习环境的需求，</w:t>
      </w:r>
      <w:r>
        <w:rPr>
          <w:rFonts w:hint="eastAsia" w:ascii="仿宋" w:hAnsi="仿宋" w:eastAsia="仿宋" w:cs="仿宋"/>
          <w:sz w:val="32"/>
          <w:szCs w:val="32"/>
        </w:rPr>
        <w:t>提升了</w:t>
      </w:r>
      <w:r>
        <w:rPr>
          <w:rFonts w:hint="eastAsia" w:ascii="仿宋" w:hAnsi="仿宋" w:eastAsia="仿宋" w:cs="仿宋"/>
          <w:sz w:val="32"/>
          <w:szCs w:val="32"/>
          <w:lang w:val="en-US" w:eastAsia="zh-CN"/>
        </w:rPr>
        <w:t>徐水区现有办学条件</w:t>
      </w:r>
      <w:r>
        <w:rPr>
          <w:rFonts w:hint="eastAsia" w:ascii="仿宋" w:hAnsi="仿宋" w:eastAsia="仿宋" w:cs="仿宋"/>
          <w:sz w:val="32"/>
          <w:szCs w:val="32"/>
        </w:rPr>
        <w:t>。该项目的社会公众或服务对象满意度较高。</w:t>
      </w:r>
    </w:p>
    <w:p w14:paraId="1062DD38">
      <w:pPr>
        <w:spacing w:line="580" w:lineRule="exact"/>
        <w:ind w:firstLine="640" w:firstLineChars="200"/>
        <w:rPr>
          <w:rFonts w:hint="eastAsia" w:ascii="仿宋" w:hAnsi="仿宋" w:eastAsia="仿宋" w:cs="仿宋"/>
          <w:sz w:val="32"/>
          <w:szCs w:val="32"/>
        </w:rPr>
      </w:pPr>
      <w:bookmarkStart w:id="23" w:name="_Hlk85718826"/>
      <w:r>
        <w:rPr>
          <w:rFonts w:hint="eastAsia" w:ascii="仿宋" w:hAnsi="仿宋" w:eastAsia="仿宋" w:cs="仿宋"/>
          <w:sz w:val="32"/>
          <w:szCs w:val="32"/>
        </w:rPr>
        <w:t>通过本次绩效评价工作，我们也发现该项目在决策</w:t>
      </w:r>
      <w:r>
        <w:rPr>
          <w:rFonts w:hint="eastAsia" w:ascii="仿宋" w:hAnsi="仿宋" w:eastAsia="仿宋" w:cs="仿宋"/>
          <w:sz w:val="32"/>
          <w:szCs w:val="32"/>
          <w:lang w:val="en-US" w:eastAsia="zh-CN"/>
        </w:rPr>
        <w:t>和</w:t>
      </w:r>
      <w:r>
        <w:rPr>
          <w:rFonts w:hint="eastAsia" w:ascii="仿宋" w:hAnsi="仿宋" w:eastAsia="仿宋" w:cs="仿宋"/>
          <w:sz w:val="32"/>
          <w:szCs w:val="32"/>
        </w:rPr>
        <w:t>过程方面存在一些不足之处：</w:t>
      </w:r>
      <w:bookmarkEnd w:id="23"/>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绩效目标和部分</w:t>
      </w:r>
      <w:r>
        <w:rPr>
          <w:rFonts w:hint="eastAsia" w:ascii="仿宋" w:hAnsi="仿宋" w:eastAsia="仿宋" w:cs="仿宋"/>
          <w:color w:val="auto"/>
          <w:sz w:val="32"/>
          <w:szCs w:val="32"/>
        </w:rPr>
        <w:t>绩效指标设定不</w:t>
      </w:r>
      <w:r>
        <w:rPr>
          <w:rFonts w:hint="eastAsia" w:ascii="仿宋" w:hAnsi="仿宋" w:eastAsia="仿宋" w:cs="仿宋"/>
          <w:color w:val="auto"/>
          <w:sz w:val="32"/>
          <w:szCs w:val="32"/>
          <w:lang w:val="en-US" w:eastAsia="zh-CN"/>
        </w:rPr>
        <w:t>够</w:t>
      </w:r>
      <w:r>
        <w:rPr>
          <w:rFonts w:hint="eastAsia" w:ascii="仿宋" w:hAnsi="仿宋" w:eastAsia="仿宋" w:cs="仿宋"/>
          <w:color w:val="auto"/>
          <w:sz w:val="32"/>
          <w:szCs w:val="32"/>
        </w:rPr>
        <w:t>科学；（</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u w:color="000000"/>
          <w:lang w:val="en-US" w:eastAsia="zh-CN"/>
        </w:rPr>
        <w:t>购置数量发生变化，实际规模</w:t>
      </w:r>
      <w:r>
        <w:rPr>
          <w:rFonts w:hint="eastAsia" w:ascii="仿宋" w:hAnsi="仿宋" w:eastAsia="仿宋" w:cs="仿宋"/>
          <w:sz w:val="32"/>
          <w:szCs w:val="32"/>
          <w:u w:color="000000"/>
        </w:rPr>
        <w:t>与项目</w:t>
      </w:r>
      <w:r>
        <w:rPr>
          <w:rFonts w:hint="eastAsia" w:ascii="仿宋" w:hAnsi="仿宋" w:eastAsia="仿宋" w:cs="仿宋"/>
          <w:sz w:val="32"/>
          <w:szCs w:val="32"/>
          <w:u w:color="000000"/>
          <w:lang w:val="en-US" w:eastAsia="zh-CN"/>
        </w:rPr>
        <w:t>可研时不一致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管理制度不够完善，在合同管理、资金管理、公告公示、配套资金等方面的工作有待加强</w:t>
      </w:r>
      <w:r>
        <w:rPr>
          <w:rFonts w:hint="eastAsia" w:ascii="仿宋" w:hAnsi="仿宋" w:eastAsia="仿宋" w:cs="仿宋"/>
          <w:color w:val="auto"/>
          <w:sz w:val="32"/>
          <w:szCs w:val="32"/>
        </w:rPr>
        <w:t>。</w:t>
      </w:r>
    </w:p>
    <w:p w14:paraId="20C133F1">
      <w:pPr>
        <w:spacing w:line="580" w:lineRule="exact"/>
        <w:ind w:firstLine="640" w:firstLineChars="200"/>
        <w:rPr>
          <w:rFonts w:hint="eastAsia" w:ascii="仿宋" w:hAnsi="仿宋" w:eastAsia="仿宋" w:cs="仿宋"/>
          <w:sz w:val="32"/>
          <w:szCs w:val="32"/>
        </w:rPr>
      </w:pPr>
      <w:bookmarkStart w:id="24" w:name="_Hlk85718898"/>
      <w:r>
        <w:rPr>
          <w:rFonts w:hint="eastAsia" w:ascii="仿宋" w:hAnsi="仿宋" w:eastAsia="仿宋" w:cs="仿宋"/>
          <w:sz w:val="32"/>
          <w:szCs w:val="32"/>
        </w:rPr>
        <w:t>针对上述发现的问题，为进一步提升项目单位预算绩效管理水平，提出以下建议：</w:t>
      </w:r>
    </w:p>
    <w:bookmarkEnd w:id="24"/>
    <w:p w14:paraId="1058A024">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1.针对绩效目标和部分绩效指标设定不科学的问题，建议项目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单位</w:t>
      </w:r>
      <w:r>
        <w:rPr>
          <w:rFonts w:hint="eastAsia" w:ascii="仿宋" w:hAnsi="仿宋" w:eastAsia="仿宋" w:cs="仿宋"/>
          <w:sz w:val="32"/>
          <w:szCs w:val="32"/>
          <w:lang w:val="en-US" w:eastAsia="zh-CN"/>
        </w:rPr>
        <w:t>根据项目的总体情况合理设定绩效目标</w:t>
      </w:r>
      <w:r>
        <w:rPr>
          <w:rFonts w:hint="eastAsia" w:ascii="仿宋" w:hAnsi="仿宋" w:eastAsia="仿宋" w:cs="仿宋"/>
          <w:sz w:val="32"/>
          <w:szCs w:val="32"/>
        </w:rPr>
        <w:t>，</w:t>
      </w:r>
      <w:r>
        <w:rPr>
          <w:rFonts w:hint="eastAsia" w:ascii="仿宋" w:hAnsi="仿宋" w:eastAsia="仿宋" w:cs="仿宋"/>
          <w:sz w:val="32"/>
          <w:szCs w:val="32"/>
          <w:lang w:val="en-US" w:eastAsia="zh-CN"/>
        </w:rPr>
        <w:t>保证“一项目一目标”。同时，</w:t>
      </w:r>
      <w:r>
        <w:rPr>
          <w:rFonts w:hint="eastAsia" w:ascii="仿宋" w:hAnsi="仿宋" w:eastAsia="仿宋" w:cs="仿宋"/>
          <w:sz w:val="32"/>
          <w:szCs w:val="32"/>
        </w:rPr>
        <w:t>科学设定绩效指标，注重绩效指标的设定与项目实施内容的</w:t>
      </w:r>
      <w:r>
        <w:rPr>
          <w:rFonts w:hint="eastAsia" w:ascii="仿宋" w:hAnsi="仿宋" w:eastAsia="仿宋" w:cs="仿宋"/>
          <w:sz w:val="32"/>
          <w:szCs w:val="32"/>
          <w:lang w:val="en-US" w:eastAsia="zh-CN"/>
        </w:rPr>
        <w:t>相关</w:t>
      </w:r>
      <w:r>
        <w:rPr>
          <w:rFonts w:hint="eastAsia" w:ascii="仿宋" w:hAnsi="仿宋" w:eastAsia="仿宋" w:cs="仿宋"/>
          <w:sz w:val="32"/>
          <w:szCs w:val="32"/>
        </w:rPr>
        <w:t>性和契合度，增加绩效指标的</w:t>
      </w:r>
      <w:r>
        <w:rPr>
          <w:rFonts w:hint="eastAsia" w:ascii="仿宋" w:hAnsi="仿宋" w:eastAsia="仿宋" w:cs="仿宋"/>
          <w:sz w:val="32"/>
          <w:szCs w:val="32"/>
          <w:lang w:val="en-US" w:eastAsia="zh-CN"/>
        </w:rPr>
        <w:t>可衡量</w:t>
      </w:r>
      <w:r>
        <w:rPr>
          <w:rFonts w:hint="eastAsia" w:ascii="仿宋" w:hAnsi="仿宋" w:eastAsia="仿宋" w:cs="仿宋"/>
          <w:sz w:val="32"/>
          <w:szCs w:val="32"/>
        </w:rPr>
        <w:t>性</w:t>
      </w:r>
      <w:r>
        <w:rPr>
          <w:rFonts w:hint="eastAsia" w:ascii="仿宋" w:hAnsi="仿宋" w:eastAsia="仿宋" w:cs="仿宋"/>
          <w:sz w:val="32"/>
          <w:szCs w:val="32"/>
          <w:lang w:eastAsia="zh-CN"/>
        </w:rPr>
        <w:t>，</w:t>
      </w:r>
      <w:r>
        <w:rPr>
          <w:rFonts w:hint="eastAsia" w:ascii="仿宋" w:hAnsi="仿宋" w:eastAsia="仿宋" w:cs="仿宋"/>
          <w:sz w:val="32"/>
          <w:szCs w:val="32"/>
        </w:rPr>
        <w:t>避免绩效指标的设定流于形式，</w:t>
      </w:r>
      <w:r>
        <w:rPr>
          <w:rFonts w:hint="eastAsia" w:ascii="仿宋" w:hAnsi="仿宋" w:eastAsia="仿宋" w:cs="仿宋"/>
          <w:sz w:val="32"/>
          <w:szCs w:val="32"/>
          <w:lang w:val="en-US" w:eastAsia="zh-CN"/>
        </w:rPr>
        <w:t>充分发挥绩效目标和指标对项目实施的指导、激励作用</w:t>
      </w:r>
      <w:r>
        <w:rPr>
          <w:rFonts w:hint="eastAsia" w:ascii="仿宋" w:hAnsi="仿宋" w:eastAsia="仿宋" w:cs="仿宋"/>
          <w:sz w:val="32"/>
          <w:szCs w:val="32"/>
        </w:rPr>
        <w:t>。</w:t>
      </w:r>
    </w:p>
    <w:p w14:paraId="5DB7CE87">
      <w:pPr>
        <w:spacing w:line="580" w:lineRule="exact"/>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针对</w:t>
      </w:r>
      <w:r>
        <w:rPr>
          <w:rFonts w:hint="eastAsia" w:ascii="仿宋" w:hAnsi="仿宋" w:eastAsia="仿宋" w:cs="仿宋"/>
          <w:color w:val="auto"/>
          <w:sz w:val="32"/>
          <w:szCs w:val="32"/>
        </w:rPr>
        <w:t>项目管理制度</w:t>
      </w:r>
      <w:r>
        <w:rPr>
          <w:rFonts w:hint="eastAsia" w:ascii="仿宋" w:hAnsi="仿宋" w:eastAsia="仿宋" w:cs="仿宋"/>
          <w:color w:val="auto"/>
          <w:sz w:val="32"/>
          <w:szCs w:val="32"/>
          <w:lang w:val="en-US" w:eastAsia="zh-CN"/>
        </w:rPr>
        <w:t>不完善的问题，项目实施单位应加强制度建设，牢固树立绩效理念，建立绩效运行监控机制，规范过程管控，确保项目规范运行，充分发挥革命老区转移支付资金效益。</w:t>
      </w:r>
    </w:p>
    <w:p w14:paraId="20E97E9E">
      <w:pPr>
        <w:spacing w:line="580" w:lineRule="exact"/>
        <w:ind w:firstLine="640" w:firstLineChars="200"/>
        <w:rPr>
          <w:rFonts w:hint="eastAsia" w:ascii="黑体" w:hAnsi="黑体" w:eastAsia="黑体"/>
          <w:b/>
          <w:bCs/>
          <w:color w:val="auto"/>
          <w:sz w:val="36"/>
          <w:szCs w:val="36"/>
        </w:rPr>
      </w:pPr>
      <w:r>
        <w:rPr>
          <w:rFonts w:hint="eastAsia" w:ascii="仿宋" w:hAnsi="仿宋" w:eastAsia="仿宋" w:cs="仿宋"/>
          <w:color w:val="auto"/>
          <w:sz w:val="32"/>
          <w:szCs w:val="32"/>
          <w:lang w:val="en-US" w:eastAsia="zh-CN"/>
        </w:rPr>
        <w:t>3.针对</w:t>
      </w:r>
      <w:r>
        <w:rPr>
          <w:rFonts w:hint="eastAsia" w:ascii="仿宋" w:hAnsi="仿宋" w:eastAsia="仿宋" w:cs="仿宋"/>
          <w:color w:val="auto"/>
          <w:sz w:val="32"/>
          <w:szCs w:val="32"/>
        </w:rPr>
        <w:t>项目合同管理、资金和资产管理、公告公示</w:t>
      </w:r>
      <w:r>
        <w:rPr>
          <w:rFonts w:hint="eastAsia" w:ascii="仿宋" w:hAnsi="仿宋" w:eastAsia="仿宋" w:cs="仿宋"/>
          <w:color w:val="auto"/>
          <w:sz w:val="32"/>
          <w:szCs w:val="32"/>
          <w:lang w:val="en-US" w:eastAsia="zh-CN"/>
        </w:rPr>
        <w:t>不规范的问题，项目实施单位在项目实施过程中，</w:t>
      </w:r>
      <w:r>
        <w:rPr>
          <w:rFonts w:hint="eastAsia" w:ascii="仿宋" w:hAnsi="仿宋" w:eastAsia="仿宋" w:cs="仿宋"/>
          <w:color w:val="auto"/>
          <w:sz w:val="32"/>
          <w:szCs w:val="32"/>
        </w:rPr>
        <w:t>严格按照</w:t>
      </w:r>
      <w:r>
        <w:rPr>
          <w:rFonts w:hint="eastAsia" w:ascii="仿宋" w:hAnsi="仿宋" w:eastAsia="仿宋" w:cs="仿宋"/>
          <w:color w:val="auto"/>
          <w:sz w:val="32"/>
          <w:szCs w:val="32"/>
          <w:lang w:val="en-US" w:eastAsia="zh-CN"/>
        </w:rPr>
        <w:t>招标文件的要求签订合同，完善财务核算，加强公告公示管理，</w:t>
      </w:r>
      <w:r>
        <w:rPr>
          <w:rFonts w:hint="eastAsia" w:ascii="仿宋" w:hAnsi="仿宋" w:eastAsia="仿宋" w:cs="仿宋"/>
          <w:color w:val="auto"/>
          <w:sz w:val="32"/>
          <w:szCs w:val="32"/>
        </w:rPr>
        <w:t>落实项目组织领导责任和部门、人员责任分工</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做好过程管控</w:t>
      </w:r>
      <w:r>
        <w:rPr>
          <w:rFonts w:hint="eastAsia" w:ascii="仿宋" w:hAnsi="仿宋" w:eastAsia="仿宋" w:cs="仿宋"/>
          <w:color w:val="auto"/>
          <w:sz w:val="32"/>
          <w:szCs w:val="32"/>
        </w:rPr>
        <w:t>，保障项目高效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高质量完成。</w:t>
      </w:r>
    </w:p>
    <w:p w14:paraId="221A47AE">
      <w:pPr>
        <w:pStyle w:val="3"/>
        <w:spacing w:line="580" w:lineRule="exact"/>
        <w:rPr>
          <w:rFonts w:hint="eastAsia" w:eastAsia="黑体"/>
          <w:b w:val="0"/>
          <w:bCs/>
          <w:lang w:eastAsia="zh-CN"/>
        </w:rPr>
      </w:pPr>
      <w:r>
        <w:rPr>
          <w:rFonts w:hint="eastAsia" w:eastAsia="黑体"/>
          <w:b w:val="0"/>
          <w:bCs/>
        </w:rPr>
        <w:t>绩效评价结果应用</w:t>
      </w:r>
      <w:r>
        <w:rPr>
          <w:rFonts w:hint="eastAsia" w:eastAsia="黑体"/>
          <w:b w:val="0"/>
          <w:bCs/>
          <w:lang w:eastAsia="zh-CN"/>
        </w:rPr>
        <w:t>：</w:t>
      </w:r>
    </w:p>
    <w:p w14:paraId="2700FC2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1.提前谋划项目，保证入库项目的质量。该项目出现数量和投资变化，究其原因，还是前期工作没有谋划好。近年来，革命老区转移支付资金都是提前下达，项目的申报时间相应也要提前，申报时间比较紧张，因此，项目单位要早下手，提前谋划项目，准确测算项目产出和投入，保证项目的有效实施。</w:t>
      </w:r>
    </w:p>
    <w:p w14:paraId="1868E9B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2.</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i w:val="0"/>
          <w:caps w:val="0"/>
          <w:color w:val="000000"/>
          <w:spacing w:val="0"/>
          <w:sz w:val="32"/>
          <w:szCs w:val="32"/>
          <w:shd w:val="clear" w:color="auto" w:fill="FFFFFF"/>
          <w:lang w:val="en-US" w:eastAsia="zh-CN"/>
        </w:rPr>
        <w:t>的要求，革命老区转移支付项目不要求县级财政资金配套，建议在以后的项目中，科学</w:t>
      </w:r>
      <w:r>
        <w:rPr>
          <w:rFonts w:hint="eastAsia" w:ascii="仿宋" w:hAnsi="仿宋" w:eastAsia="仿宋" w:cs="仿宋"/>
          <w:kern w:val="2"/>
          <w:sz w:val="32"/>
          <w:szCs w:val="32"/>
          <w:lang w:val="en-US" w:eastAsia="zh-CN"/>
        </w:rPr>
        <w:t>安排项目，避免出现资金缺口。</w:t>
      </w:r>
    </w:p>
    <w:p w14:paraId="75C48947">
      <w:pPr>
        <w:pStyle w:val="2"/>
        <w:rPr>
          <w:rFonts w:hint="eastAsia"/>
          <w:lang w:val="en-US" w:eastAsia="zh-CN"/>
        </w:rPr>
      </w:pPr>
      <w:r>
        <w:rPr>
          <w:rFonts w:hint="eastAsia" w:ascii="仿宋" w:hAnsi="仿宋" w:eastAsia="仿宋" w:cs="仿宋"/>
          <w:kern w:val="2"/>
          <w:sz w:val="32"/>
          <w:szCs w:val="32"/>
          <w:lang w:val="en-US" w:eastAsia="zh-CN"/>
        </w:rPr>
        <w:t xml:space="preserve">    3.该项目整体效果较好，项目的实施达到了既定绩效目标，建议在今后安排预算时，继续加大对教育的投入力度，全面提升徐水区的教育发展水平。</w:t>
      </w:r>
    </w:p>
    <w:p w14:paraId="2143B04F">
      <w:pPr>
        <w:pStyle w:val="2"/>
        <w:ind w:firstLine="480" w:firstLineChars="200"/>
        <w:rPr>
          <w:rFonts w:hint="eastAsia"/>
        </w:rPr>
      </w:pPr>
    </w:p>
    <w:p w14:paraId="0E95B277">
      <w:pPr>
        <w:spacing w:line="580" w:lineRule="exact"/>
        <w:ind w:firstLine="640" w:firstLineChars="200"/>
        <w:rPr>
          <w:rFonts w:hint="eastAsia" w:ascii="仿宋" w:hAnsi="仿宋" w:eastAsia="仿宋" w:cs="仿宋"/>
          <w:sz w:val="32"/>
          <w:szCs w:val="32"/>
          <w:lang w:val="en-US" w:eastAsia="zh-CN"/>
        </w:rPr>
      </w:pPr>
    </w:p>
    <w:p w14:paraId="06D2716A">
      <w:pPr>
        <w:jc w:val="center"/>
        <w:rPr>
          <w:rFonts w:ascii="黑体" w:hAnsi="黑体" w:eastAsia="黑体"/>
          <w:b/>
          <w:bCs/>
          <w:sz w:val="36"/>
          <w:szCs w:val="36"/>
        </w:rPr>
      </w:pPr>
      <w:bookmarkStart w:id="25" w:name="_Toc20662"/>
      <w:bookmarkStart w:id="26" w:name="_Toc72846127"/>
      <w:r>
        <w:rPr>
          <w:rFonts w:hint="eastAsia" w:ascii="黑体" w:hAnsi="黑体" w:eastAsia="黑体"/>
          <w:b/>
          <w:bCs/>
          <w:sz w:val="36"/>
          <w:szCs w:val="36"/>
        </w:rPr>
        <w:t>第二部分</w:t>
      </w:r>
      <w:r>
        <w:rPr>
          <w:rFonts w:ascii="黑体" w:hAnsi="黑体" w:eastAsia="黑体"/>
          <w:b/>
          <w:bCs/>
          <w:sz w:val="36"/>
          <w:szCs w:val="36"/>
        </w:rPr>
        <w:t xml:space="preserve">  </w:t>
      </w:r>
      <w:r>
        <w:rPr>
          <w:rFonts w:hint="eastAsia" w:ascii="黑体" w:hAnsi="黑体" w:eastAsia="黑体"/>
          <w:b/>
          <w:bCs/>
          <w:sz w:val="36"/>
          <w:szCs w:val="36"/>
        </w:rPr>
        <w:t>绩效评价报告</w:t>
      </w:r>
      <w:bookmarkEnd w:id="25"/>
      <w:bookmarkEnd w:id="26"/>
    </w:p>
    <w:p w14:paraId="24FDE731">
      <w:pPr>
        <w:pStyle w:val="3"/>
        <w:spacing w:line="580" w:lineRule="exact"/>
        <w:rPr>
          <w:rFonts w:ascii="Times New Roman" w:hAnsi="Times New Roman" w:eastAsia="黑体"/>
        </w:rPr>
      </w:pPr>
      <w:bookmarkStart w:id="27" w:name="_Toc85203148"/>
      <w:bookmarkStart w:id="28" w:name="_Toc41137181"/>
      <w:bookmarkStart w:id="29" w:name="_Toc3903"/>
      <w:bookmarkStart w:id="30" w:name="_Toc72846128"/>
      <w:bookmarkStart w:id="31" w:name="_Toc5093"/>
      <w:bookmarkStart w:id="32" w:name="_Toc89419987"/>
      <w:bookmarkStart w:id="33" w:name="_Toc32754"/>
      <w:bookmarkStart w:id="34" w:name="_Toc85202944"/>
      <w:bookmarkStart w:id="35" w:name="_Toc85202854"/>
      <w:r>
        <w:rPr>
          <w:rFonts w:hint="eastAsia" w:eastAsia="黑体"/>
          <w:bCs/>
        </w:rPr>
        <w:t>一、基本概况</w:t>
      </w:r>
      <w:bookmarkEnd w:id="27"/>
      <w:bookmarkEnd w:id="28"/>
      <w:bookmarkEnd w:id="29"/>
      <w:bookmarkEnd w:id="30"/>
      <w:bookmarkEnd w:id="31"/>
      <w:bookmarkEnd w:id="32"/>
      <w:bookmarkEnd w:id="33"/>
      <w:bookmarkEnd w:id="34"/>
      <w:bookmarkEnd w:id="35"/>
    </w:p>
    <w:p w14:paraId="7C408E79">
      <w:pPr>
        <w:pStyle w:val="4"/>
        <w:spacing w:before="0" w:after="0" w:line="580" w:lineRule="exact"/>
        <w:ind w:firstLine="643" w:firstLineChars="200"/>
        <w:rPr>
          <w:rFonts w:ascii="楷体" w:hAnsi="楷体" w:eastAsia="楷体"/>
        </w:rPr>
      </w:pPr>
      <w:bookmarkStart w:id="36" w:name="_Toc85203149"/>
      <w:bookmarkStart w:id="37" w:name="_Toc72846129"/>
      <w:bookmarkStart w:id="38" w:name="_Toc5711"/>
      <w:bookmarkStart w:id="39" w:name="_Toc41137182"/>
      <w:bookmarkStart w:id="40" w:name="_Toc28534"/>
      <w:bookmarkStart w:id="41" w:name="_Toc38452629"/>
      <w:bookmarkStart w:id="42" w:name="_Toc4540"/>
      <w:bookmarkStart w:id="43" w:name="_Toc89419988"/>
      <w:bookmarkStart w:id="44" w:name="_Toc38447885"/>
      <w:r>
        <w:rPr>
          <w:rFonts w:hint="eastAsia" w:ascii="楷体" w:hAnsi="楷体" w:eastAsia="楷体"/>
        </w:rPr>
        <w:t>（一）项目概况</w:t>
      </w:r>
      <w:bookmarkEnd w:id="36"/>
      <w:bookmarkEnd w:id="37"/>
      <w:bookmarkEnd w:id="38"/>
      <w:bookmarkEnd w:id="39"/>
      <w:bookmarkEnd w:id="40"/>
      <w:bookmarkEnd w:id="41"/>
      <w:bookmarkEnd w:id="42"/>
      <w:bookmarkEnd w:id="43"/>
      <w:bookmarkEnd w:id="44"/>
    </w:p>
    <w:p w14:paraId="1674A88D">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1.项目背景</w:t>
      </w:r>
    </w:p>
    <w:p w14:paraId="250B32EB">
      <w:pPr>
        <w:spacing w:line="580"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为贯彻落实</w:t>
      </w:r>
      <w:r>
        <w:rPr>
          <w:rFonts w:hint="eastAsia" w:ascii="仿宋" w:hAnsi="仿宋" w:eastAsia="仿宋" w:cs="仿宋"/>
          <w:sz w:val="32"/>
          <w:szCs w:val="32"/>
          <w:lang w:val="en-US" w:eastAsia="zh-CN"/>
        </w:rPr>
        <w:t>党的十九大报告“优先发展教育事业”的部署</w:t>
      </w:r>
      <w:r>
        <w:rPr>
          <w:rFonts w:hint="eastAsia" w:ascii="仿宋" w:hAnsi="仿宋" w:eastAsia="仿宋" w:cs="仿宋"/>
          <w:sz w:val="32"/>
          <w:szCs w:val="32"/>
        </w:rPr>
        <w:t>，为促进革命老区教育事业和谐发展，确保将党中央、国务院对革命老区人民的关怀落到实处，实现徐水区义务教育优质均衡发展，解决徐水区学生对学习硬件的迫切需求，消除破旧的课桌椅带来的隐患，改善徐水区现有办学条件和学习环境，徐水区教育和体育局实施了学生课桌椅购置项目。该项目是徐水区政府的重要教育民生工程，旨在通过该项目的实施有效提升城区教育公共服务水平。</w:t>
      </w:r>
    </w:p>
    <w:p w14:paraId="36CBF205">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2.项目主要</w:t>
      </w:r>
      <w:r>
        <w:rPr>
          <w:rFonts w:hint="eastAsia" w:ascii="仿宋_GB2312" w:hAnsi="楷体" w:eastAsia="仿宋_GB2312" w:cs="仿宋_GB2312"/>
          <w:b/>
          <w:bCs/>
          <w:sz w:val="32"/>
          <w:szCs w:val="32"/>
          <w:lang w:val="en-US" w:eastAsia="zh-CN"/>
        </w:rPr>
        <w:t>实施</w:t>
      </w:r>
      <w:r>
        <w:rPr>
          <w:rFonts w:hint="eastAsia" w:ascii="仿宋_GB2312" w:hAnsi="楷体" w:eastAsia="仿宋_GB2312" w:cs="仿宋_GB2312"/>
          <w:b/>
          <w:bCs/>
          <w:sz w:val="32"/>
          <w:szCs w:val="32"/>
        </w:rPr>
        <w:t>内容</w:t>
      </w:r>
    </w:p>
    <w:p w14:paraId="546D7662">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地点</w:t>
      </w:r>
      <w:r>
        <w:rPr>
          <w:rFonts w:hint="eastAsia" w:ascii="仿宋" w:hAnsi="仿宋" w:eastAsia="仿宋" w:cs="仿宋"/>
          <w:sz w:val="32"/>
          <w:szCs w:val="32"/>
          <w:lang w:val="en-US" w:eastAsia="zh-CN"/>
        </w:rPr>
        <w:t>涉及徐水区55所学校，具体为</w:t>
      </w:r>
      <w:r>
        <w:rPr>
          <w:rFonts w:hint="eastAsia" w:ascii="仿宋" w:hAnsi="仿宋" w:eastAsia="仿宋" w:cs="仿宋"/>
          <w:sz w:val="32"/>
          <w:szCs w:val="32"/>
        </w:rPr>
        <w:t>安肃镇北下关小学</w:t>
      </w:r>
      <w:r>
        <w:rPr>
          <w:rFonts w:hint="eastAsia" w:ascii="仿宋" w:hAnsi="仿宋" w:eastAsia="仿宋" w:cs="仿宋"/>
          <w:sz w:val="32"/>
          <w:szCs w:val="32"/>
          <w:lang w:eastAsia="zh-CN"/>
        </w:rPr>
        <w:t>、</w:t>
      </w:r>
      <w:r>
        <w:rPr>
          <w:rFonts w:hint="eastAsia" w:ascii="仿宋" w:hAnsi="仿宋" w:eastAsia="仿宋" w:cs="仿宋"/>
          <w:sz w:val="32"/>
          <w:szCs w:val="32"/>
        </w:rPr>
        <w:t>安肃镇坟台小学</w:t>
      </w:r>
      <w:r>
        <w:rPr>
          <w:rFonts w:hint="eastAsia" w:ascii="仿宋" w:hAnsi="仿宋" w:eastAsia="仿宋" w:cs="仿宋"/>
          <w:sz w:val="32"/>
          <w:szCs w:val="32"/>
          <w:lang w:eastAsia="zh-CN"/>
        </w:rPr>
        <w:t>、</w:t>
      </w:r>
      <w:r>
        <w:rPr>
          <w:rFonts w:hint="eastAsia" w:ascii="仿宋" w:hAnsi="仿宋" w:eastAsia="仿宋" w:cs="仿宋"/>
          <w:sz w:val="32"/>
          <w:szCs w:val="32"/>
        </w:rPr>
        <w:t>安肃镇南孤庄营小学</w:t>
      </w:r>
      <w:r>
        <w:rPr>
          <w:rFonts w:hint="eastAsia" w:ascii="仿宋" w:hAnsi="仿宋" w:eastAsia="仿宋" w:cs="仿宋"/>
          <w:sz w:val="32"/>
          <w:szCs w:val="32"/>
          <w:lang w:eastAsia="zh-CN"/>
        </w:rPr>
        <w:t>、</w:t>
      </w:r>
      <w:r>
        <w:rPr>
          <w:rFonts w:hint="eastAsia" w:ascii="仿宋" w:hAnsi="仿宋" w:eastAsia="仿宋" w:cs="仿宋"/>
          <w:sz w:val="32"/>
          <w:szCs w:val="32"/>
        </w:rPr>
        <w:t>安肃镇迁民庄小学</w:t>
      </w:r>
      <w:r>
        <w:rPr>
          <w:rFonts w:hint="eastAsia" w:ascii="仿宋" w:hAnsi="仿宋" w:eastAsia="仿宋" w:cs="仿宋"/>
          <w:sz w:val="32"/>
          <w:szCs w:val="32"/>
          <w:lang w:eastAsia="zh-CN"/>
        </w:rPr>
        <w:t>、</w:t>
      </w:r>
      <w:r>
        <w:rPr>
          <w:rFonts w:hint="eastAsia" w:ascii="仿宋" w:hAnsi="仿宋" w:eastAsia="仿宋" w:cs="仿宋"/>
          <w:sz w:val="32"/>
          <w:szCs w:val="32"/>
        </w:rPr>
        <w:t>安肃镇东于庄小学</w:t>
      </w:r>
      <w:r>
        <w:rPr>
          <w:rFonts w:hint="eastAsia" w:ascii="仿宋" w:hAnsi="仿宋" w:eastAsia="仿宋" w:cs="仿宋"/>
          <w:sz w:val="32"/>
          <w:szCs w:val="32"/>
          <w:lang w:eastAsia="zh-CN"/>
        </w:rPr>
        <w:t>、</w:t>
      </w:r>
      <w:r>
        <w:rPr>
          <w:rFonts w:hint="eastAsia" w:ascii="仿宋" w:hAnsi="仿宋" w:eastAsia="仿宋" w:cs="仿宋"/>
          <w:sz w:val="32"/>
          <w:szCs w:val="32"/>
        </w:rPr>
        <w:t>安肃镇仁里村小学</w:t>
      </w:r>
      <w:r>
        <w:rPr>
          <w:rFonts w:hint="eastAsia" w:ascii="仿宋" w:hAnsi="仿宋" w:eastAsia="仿宋" w:cs="仿宋"/>
          <w:sz w:val="32"/>
          <w:szCs w:val="32"/>
          <w:lang w:eastAsia="zh-CN"/>
        </w:rPr>
        <w:t>、</w:t>
      </w:r>
      <w:r>
        <w:rPr>
          <w:rFonts w:hint="eastAsia" w:ascii="仿宋" w:hAnsi="仿宋" w:eastAsia="仿宋" w:cs="仿宋"/>
          <w:sz w:val="32"/>
          <w:szCs w:val="32"/>
        </w:rPr>
        <w:t>安肃镇商庄小学</w:t>
      </w:r>
      <w:r>
        <w:rPr>
          <w:rFonts w:hint="eastAsia" w:ascii="仿宋" w:hAnsi="仿宋" w:eastAsia="仿宋" w:cs="仿宋"/>
          <w:sz w:val="32"/>
          <w:szCs w:val="32"/>
          <w:lang w:eastAsia="zh-CN"/>
        </w:rPr>
        <w:t>、</w:t>
      </w:r>
      <w:r>
        <w:rPr>
          <w:rFonts w:hint="eastAsia" w:ascii="仿宋" w:hAnsi="仿宋" w:eastAsia="仿宋" w:cs="仿宋"/>
          <w:sz w:val="32"/>
          <w:szCs w:val="32"/>
        </w:rPr>
        <w:t>漕河镇第二小学</w:t>
      </w:r>
      <w:r>
        <w:rPr>
          <w:rFonts w:hint="eastAsia" w:ascii="仿宋" w:hAnsi="仿宋" w:eastAsia="仿宋" w:cs="仿宋"/>
          <w:sz w:val="32"/>
          <w:szCs w:val="32"/>
          <w:lang w:eastAsia="zh-CN"/>
        </w:rPr>
        <w:t>、</w:t>
      </w:r>
      <w:r>
        <w:rPr>
          <w:rFonts w:hint="eastAsia" w:ascii="仿宋" w:hAnsi="仿宋" w:eastAsia="仿宋" w:cs="仿宋"/>
          <w:sz w:val="32"/>
          <w:szCs w:val="32"/>
        </w:rPr>
        <w:t>漕河镇第一小学</w:t>
      </w:r>
      <w:r>
        <w:rPr>
          <w:rFonts w:hint="eastAsia" w:ascii="仿宋" w:hAnsi="仿宋" w:eastAsia="仿宋" w:cs="仿宋"/>
          <w:sz w:val="32"/>
          <w:szCs w:val="32"/>
          <w:lang w:eastAsia="zh-CN"/>
        </w:rPr>
        <w:t>、</w:t>
      </w:r>
      <w:r>
        <w:rPr>
          <w:rFonts w:hint="eastAsia" w:ascii="仿宋" w:hAnsi="仿宋" w:eastAsia="仿宋" w:cs="仿宋"/>
          <w:sz w:val="32"/>
          <w:szCs w:val="32"/>
        </w:rPr>
        <w:t>漕河镇史各庄小学</w:t>
      </w:r>
      <w:r>
        <w:rPr>
          <w:rFonts w:hint="eastAsia" w:ascii="仿宋" w:hAnsi="仿宋" w:eastAsia="仿宋" w:cs="仿宋"/>
          <w:sz w:val="32"/>
          <w:szCs w:val="32"/>
          <w:lang w:eastAsia="zh-CN"/>
        </w:rPr>
        <w:t>、</w:t>
      </w:r>
      <w:r>
        <w:rPr>
          <w:rFonts w:hint="eastAsia" w:ascii="仿宋" w:hAnsi="仿宋" w:eastAsia="仿宋" w:cs="仿宋"/>
          <w:sz w:val="32"/>
          <w:szCs w:val="32"/>
        </w:rPr>
        <w:t>崔庄镇干沟小学</w:t>
      </w:r>
      <w:r>
        <w:rPr>
          <w:rFonts w:hint="eastAsia" w:ascii="仿宋" w:hAnsi="仿宋" w:eastAsia="仿宋" w:cs="仿宋"/>
          <w:sz w:val="32"/>
          <w:szCs w:val="32"/>
          <w:lang w:eastAsia="zh-CN"/>
        </w:rPr>
        <w:t>、</w:t>
      </w:r>
      <w:r>
        <w:rPr>
          <w:rFonts w:hint="eastAsia" w:ascii="仿宋" w:hAnsi="仿宋" w:eastAsia="仿宋" w:cs="仿宋"/>
          <w:sz w:val="32"/>
          <w:szCs w:val="32"/>
        </w:rPr>
        <w:t>崔庄镇沙口小学</w:t>
      </w:r>
      <w:r>
        <w:rPr>
          <w:rFonts w:hint="eastAsia" w:ascii="仿宋" w:hAnsi="仿宋" w:eastAsia="仿宋" w:cs="仿宋"/>
          <w:sz w:val="32"/>
          <w:szCs w:val="32"/>
          <w:lang w:eastAsia="zh-CN"/>
        </w:rPr>
        <w:t>、</w:t>
      </w:r>
      <w:r>
        <w:rPr>
          <w:rFonts w:hint="eastAsia" w:ascii="仿宋" w:hAnsi="仿宋" w:eastAsia="仿宋" w:cs="仿宋"/>
          <w:sz w:val="32"/>
          <w:szCs w:val="32"/>
        </w:rPr>
        <w:t>崔庄镇林水小学</w:t>
      </w:r>
      <w:r>
        <w:rPr>
          <w:rFonts w:hint="eastAsia" w:ascii="仿宋" w:hAnsi="仿宋" w:eastAsia="仿宋" w:cs="仿宋"/>
          <w:sz w:val="32"/>
          <w:szCs w:val="32"/>
          <w:lang w:eastAsia="zh-CN"/>
        </w:rPr>
        <w:t>、</w:t>
      </w:r>
      <w:r>
        <w:rPr>
          <w:rFonts w:hint="eastAsia" w:ascii="仿宋" w:hAnsi="仿宋" w:eastAsia="仿宋" w:cs="仿宋"/>
          <w:sz w:val="32"/>
          <w:szCs w:val="32"/>
        </w:rPr>
        <w:t>崔庄镇南邵庄小学</w:t>
      </w:r>
      <w:r>
        <w:rPr>
          <w:rFonts w:hint="eastAsia" w:ascii="仿宋" w:hAnsi="仿宋" w:eastAsia="仿宋" w:cs="仿宋"/>
          <w:sz w:val="32"/>
          <w:szCs w:val="32"/>
          <w:lang w:eastAsia="zh-CN"/>
        </w:rPr>
        <w:t>、</w:t>
      </w:r>
      <w:r>
        <w:rPr>
          <w:rFonts w:hint="eastAsia" w:ascii="仿宋" w:hAnsi="仿宋" w:eastAsia="仿宋" w:cs="仿宋"/>
          <w:sz w:val="32"/>
          <w:szCs w:val="32"/>
        </w:rPr>
        <w:t>崔庄镇商平庄小学</w:t>
      </w:r>
      <w:r>
        <w:rPr>
          <w:rFonts w:hint="eastAsia" w:ascii="仿宋" w:hAnsi="仿宋" w:eastAsia="仿宋" w:cs="仿宋"/>
          <w:sz w:val="32"/>
          <w:szCs w:val="32"/>
          <w:lang w:eastAsia="zh-CN"/>
        </w:rPr>
        <w:t>、</w:t>
      </w:r>
      <w:r>
        <w:rPr>
          <w:rFonts w:hint="eastAsia" w:ascii="仿宋" w:hAnsi="仿宋" w:eastAsia="仿宋" w:cs="仿宋"/>
          <w:sz w:val="32"/>
          <w:szCs w:val="32"/>
        </w:rPr>
        <w:t>崔庄镇水磨头小学</w:t>
      </w:r>
      <w:r>
        <w:rPr>
          <w:rFonts w:hint="eastAsia" w:ascii="仿宋" w:hAnsi="仿宋" w:eastAsia="仿宋" w:cs="仿宋"/>
          <w:sz w:val="32"/>
          <w:szCs w:val="32"/>
          <w:lang w:eastAsia="zh-CN"/>
        </w:rPr>
        <w:t>、</w:t>
      </w:r>
      <w:r>
        <w:rPr>
          <w:rFonts w:hint="eastAsia" w:ascii="仿宋" w:hAnsi="仿宋" w:eastAsia="仿宋" w:cs="仿宋"/>
          <w:sz w:val="32"/>
          <w:szCs w:val="32"/>
        </w:rPr>
        <w:t>崔庄镇田庄小学</w:t>
      </w:r>
      <w:r>
        <w:rPr>
          <w:rFonts w:hint="eastAsia" w:ascii="仿宋" w:hAnsi="仿宋" w:eastAsia="仿宋" w:cs="仿宋"/>
          <w:sz w:val="32"/>
          <w:szCs w:val="32"/>
          <w:lang w:eastAsia="zh-CN"/>
        </w:rPr>
        <w:t>、</w:t>
      </w:r>
      <w:r>
        <w:rPr>
          <w:rFonts w:hint="eastAsia" w:ascii="仿宋" w:hAnsi="仿宋" w:eastAsia="仿宋" w:cs="仿宋"/>
          <w:sz w:val="32"/>
          <w:szCs w:val="32"/>
        </w:rPr>
        <w:t>大王店镇大王店小学西街教学点</w:t>
      </w:r>
      <w:r>
        <w:rPr>
          <w:rFonts w:hint="eastAsia" w:ascii="仿宋" w:hAnsi="仿宋" w:eastAsia="仿宋" w:cs="仿宋"/>
          <w:sz w:val="32"/>
          <w:szCs w:val="32"/>
          <w:lang w:eastAsia="zh-CN"/>
        </w:rPr>
        <w:t>、</w:t>
      </w:r>
      <w:r>
        <w:rPr>
          <w:rFonts w:hint="eastAsia" w:ascii="仿宋" w:hAnsi="仿宋" w:eastAsia="仿宋" w:cs="仿宋"/>
          <w:sz w:val="32"/>
          <w:szCs w:val="32"/>
        </w:rPr>
        <w:t>大王店镇佃头小学</w:t>
      </w:r>
      <w:r>
        <w:rPr>
          <w:rFonts w:hint="eastAsia" w:ascii="仿宋" w:hAnsi="仿宋" w:eastAsia="仿宋" w:cs="仿宋"/>
          <w:sz w:val="32"/>
          <w:szCs w:val="32"/>
          <w:lang w:eastAsia="zh-CN"/>
        </w:rPr>
        <w:t>、</w:t>
      </w:r>
      <w:r>
        <w:rPr>
          <w:rFonts w:hint="eastAsia" w:ascii="仿宋" w:hAnsi="仿宋" w:eastAsia="仿宋" w:cs="仿宋"/>
          <w:sz w:val="32"/>
          <w:szCs w:val="32"/>
        </w:rPr>
        <w:t>大王店镇东黑山小学</w:t>
      </w:r>
      <w:r>
        <w:rPr>
          <w:rFonts w:hint="eastAsia" w:ascii="仿宋" w:hAnsi="仿宋" w:eastAsia="仿宋" w:cs="仿宋"/>
          <w:sz w:val="32"/>
          <w:szCs w:val="32"/>
          <w:lang w:eastAsia="zh-CN"/>
        </w:rPr>
        <w:t>、</w:t>
      </w:r>
      <w:r>
        <w:rPr>
          <w:rFonts w:hint="eastAsia" w:ascii="仿宋" w:hAnsi="仿宋" w:eastAsia="仿宋" w:cs="仿宋"/>
          <w:sz w:val="32"/>
          <w:szCs w:val="32"/>
        </w:rPr>
        <w:t>大王店镇西樊村小学</w:t>
      </w:r>
      <w:r>
        <w:rPr>
          <w:rFonts w:hint="eastAsia" w:ascii="仿宋" w:hAnsi="仿宋" w:eastAsia="仿宋" w:cs="仿宋"/>
          <w:sz w:val="32"/>
          <w:szCs w:val="32"/>
          <w:lang w:eastAsia="zh-CN"/>
        </w:rPr>
        <w:t>、</w:t>
      </w:r>
      <w:r>
        <w:rPr>
          <w:rFonts w:hint="eastAsia" w:ascii="仿宋" w:hAnsi="仿宋" w:eastAsia="仿宋" w:cs="仿宋"/>
          <w:sz w:val="32"/>
          <w:szCs w:val="32"/>
        </w:rPr>
        <w:t>大王店镇西黑山小学</w:t>
      </w:r>
      <w:r>
        <w:rPr>
          <w:rFonts w:hint="eastAsia" w:ascii="仿宋" w:hAnsi="仿宋" w:eastAsia="仿宋" w:cs="仿宋"/>
          <w:sz w:val="32"/>
          <w:szCs w:val="32"/>
          <w:lang w:eastAsia="zh-CN"/>
        </w:rPr>
        <w:t>、</w:t>
      </w:r>
      <w:r>
        <w:rPr>
          <w:rFonts w:hint="eastAsia" w:ascii="仿宋" w:hAnsi="仿宋" w:eastAsia="仿宋" w:cs="仿宋"/>
          <w:sz w:val="32"/>
          <w:szCs w:val="32"/>
        </w:rPr>
        <w:t>大因镇大东张小学</w:t>
      </w:r>
      <w:r>
        <w:rPr>
          <w:rFonts w:hint="eastAsia" w:ascii="仿宋" w:hAnsi="仿宋" w:eastAsia="仿宋" w:cs="仿宋"/>
          <w:sz w:val="32"/>
          <w:szCs w:val="32"/>
          <w:lang w:eastAsia="zh-CN"/>
        </w:rPr>
        <w:t>、</w:t>
      </w:r>
      <w:r>
        <w:rPr>
          <w:rFonts w:hint="eastAsia" w:ascii="仿宋" w:hAnsi="仿宋" w:eastAsia="仿宋" w:cs="仿宋"/>
          <w:sz w:val="32"/>
          <w:szCs w:val="32"/>
        </w:rPr>
        <w:t>大因镇大因小学</w:t>
      </w:r>
      <w:r>
        <w:rPr>
          <w:rFonts w:hint="eastAsia" w:ascii="仿宋" w:hAnsi="仿宋" w:eastAsia="仿宋" w:cs="仿宋"/>
          <w:sz w:val="32"/>
          <w:szCs w:val="32"/>
          <w:lang w:eastAsia="zh-CN"/>
        </w:rPr>
        <w:t>、</w:t>
      </w:r>
      <w:r>
        <w:rPr>
          <w:rFonts w:hint="eastAsia" w:ascii="仿宋" w:hAnsi="仿宋" w:eastAsia="仿宋" w:cs="仿宋"/>
          <w:sz w:val="32"/>
          <w:szCs w:val="32"/>
        </w:rPr>
        <w:t>大因镇葛村小学</w:t>
      </w:r>
      <w:r>
        <w:rPr>
          <w:rFonts w:hint="eastAsia" w:ascii="仿宋" w:hAnsi="仿宋" w:eastAsia="仿宋" w:cs="仿宋"/>
          <w:sz w:val="32"/>
          <w:szCs w:val="32"/>
          <w:lang w:eastAsia="zh-CN"/>
        </w:rPr>
        <w:t>、</w:t>
      </w:r>
      <w:r>
        <w:rPr>
          <w:rFonts w:hint="eastAsia" w:ascii="仿宋" w:hAnsi="仿宋" w:eastAsia="仿宋" w:cs="仿宋"/>
          <w:sz w:val="32"/>
          <w:szCs w:val="32"/>
        </w:rPr>
        <w:t>东釜山乡釜山小学</w:t>
      </w:r>
      <w:r>
        <w:rPr>
          <w:rFonts w:hint="eastAsia" w:ascii="仿宋" w:hAnsi="仿宋" w:eastAsia="仿宋" w:cs="仿宋"/>
          <w:sz w:val="32"/>
          <w:szCs w:val="32"/>
          <w:lang w:eastAsia="zh-CN"/>
        </w:rPr>
        <w:t>、</w:t>
      </w:r>
      <w:r>
        <w:rPr>
          <w:rFonts w:hint="eastAsia" w:ascii="仿宋" w:hAnsi="仿宋" w:eastAsia="仿宋" w:cs="仿宋"/>
          <w:sz w:val="32"/>
          <w:szCs w:val="32"/>
        </w:rPr>
        <w:t>东史端镇南北里小学</w:t>
      </w:r>
      <w:r>
        <w:rPr>
          <w:rFonts w:hint="eastAsia" w:ascii="仿宋" w:hAnsi="仿宋" w:eastAsia="仿宋" w:cs="仿宋"/>
          <w:sz w:val="32"/>
          <w:szCs w:val="32"/>
          <w:lang w:eastAsia="zh-CN"/>
        </w:rPr>
        <w:t>、</w:t>
      </w:r>
      <w:r>
        <w:rPr>
          <w:rFonts w:hint="eastAsia" w:ascii="仿宋" w:hAnsi="仿宋" w:eastAsia="仿宋" w:cs="仿宋"/>
          <w:sz w:val="32"/>
          <w:szCs w:val="32"/>
        </w:rPr>
        <w:t>东史端镇南胡渠小学</w:t>
      </w:r>
      <w:r>
        <w:rPr>
          <w:rFonts w:hint="eastAsia" w:ascii="仿宋" w:hAnsi="仿宋" w:eastAsia="仿宋" w:cs="仿宋"/>
          <w:sz w:val="32"/>
          <w:szCs w:val="32"/>
          <w:lang w:eastAsia="zh-CN"/>
        </w:rPr>
        <w:t>、</w:t>
      </w:r>
      <w:r>
        <w:rPr>
          <w:rFonts w:hint="eastAsia" w:ascii="仿宋" w:hAnsi="仿宋" w:eastAsia="仿宋" w:cs="仿宋"/>
          <w:sz w:val="32"/>
          <w:szCs w:val="32"/>
        </w:rPr>
        <w:t>东史端镇下河西小学</w:t>
      </w:r>
      <w:r>
        <w:rPr>
          <w:rFonts w:hint="eastAsia" w:ascii="仿宋" w:hAnsi="仿宋" w:eastAsia="仿宋" w:cs="仿宋"/>
          <w:sz w:val="32"/>
          <w:szCs w:val="32"/>
          <w:lang w:eastAsia="zh-CN"/>
        </w:rPr>
        <w:t>、</w:t>
      </w:r>
      <w:r>
        <w:rPr>
          <w:rFonts w:hint="eastAsia" w:ascii="仿宋" w:hAnsi="仿宋" w:eastAsia="仿宋" w:cs="仿宋"/>
          <w:sz w:val="32"/>
          <w:szCs w:val="32"/>
        </w:rPr>
        <w:t>高林村镇白塔铺小学</w:t>
      </w:r>
      <w:r>
        <w:rPr>
          <w:rFonts w:hint="eastAsia" w:ascii="仿宋" w:hAnsi="仿宋" w:eastAsia="仿宋" w:cs="仿宋"/>
          <w:sz w:val="32"/>
          <w:szCs w:val="32"/>
          <w:lang w:eastAsia="zh-CN"/>
        </w:rPr>
        <w:t>、</w:t>
      </w:r>
      <w:r>
        <w:rPr>
          <w:rFonts w:hint="eastAsia" w:ascii="仿宋" w:hAnsi="仿宋" w:eastAsia="仿宋" w:cs="仿宋"/>
          <w:sz w:val="32"/>
          <w:szCs w:val="32"/>
        </w:rPr>
        <w:t>高林村镇高林村小学</w:t>
      </w:r>
      <w:r>
        <w:rPr>
          <w:rFonts w:hint="eastAsia" w:ascii="仿宋" w:hAnsi="仿宋" w:eastAsia="仿宋" w:cs="仿宋"/>
          <w:sz w:val="32"/>
          <w:szCs w:val="32"/>
          <w:lang w:eastAsia="zh-CN"/>
        </w:rPr>
        <w:t>、</w:t>
      </w:r>
      <w:r>
        <w:rPr>
          <w:rFonts w:hint="eastAsia" w:ascii="仿宋" w:hAnsi="仿宋" w:eastAsia="仿宋" w:cs="仿宋"/>
          <w:sz w:val="32"/>
          <w:szCs w:val="32"/>
        </w:rPr>
        <w:t>户木乡德山三街小学</w:t>
      </w:r>
      <w:r>
        <w:rPr>
          <w:rFonts w:hint="eastAsia" w:ascii="仿宋" w:hAnsi="仿宋" w:eastAsia="仿宋" w:cs="仿宋"/>
          <w:sz w:val="32"/>
          <w:szCs w:val="32"/>
          <w:lang w:eastAsia="zh-CN"/>
        </w:rPr>
        <w:t>、</w:t>
      </w:r>
      <w:r>
        <w:rPr>
          <w:rFonts w:hint="eastAsia" w:ascii="仿宋" w:hAnsi="仿宋" w:eastAsia="仿宋" w:cs="仿宋"/>
          <w:sz w:val="32"/>
          <w:szCs w:val="32"/>
        </w:rPr>
        <w:t>户木乡户木小学</w:t>
      </w:r>
      <w:r>
        <w:rPr>
          <w:rFonts w:hint="eastAsia" w:ascii="仿宋" w:hAnsi="仿宋" w:eastAsia="仿宋" w:cs="仿宋"/>
          <w:sz w:val="32"/>
          <w:szCs w:val="32"/>
          <w:lang w:eastAsia="zh-CN"/>
        </w:rPr>
        <w:t>、</w:t>
      </w:r>
      <w:r>
        <w:rPr>
          <w:rFonts w:hint="eastAsia" w:ascii="仿宋" w:hAnsi="仿宋" w:eastAsia="仿宋" w:cs="仿宋"/>
          <w:sz w:val="32"/>
          <w:szCs w:val="32"/>
        </w:rPr>
        <w:t>户木乡屯庄小学</w:t>
      </w:r>
      <w:r>
        <w:rPr>
          <w:rFonts w:hint="eastAsia" w:ascii="仿宋" w:hAnsi="仿宋" w:eastAsia="仿宋" w:cs="仿宋"/>
          <w:sz w:val="32"/>
          <w:szCs w:val="32"/>
          <w:lang w:eastAsia="zh-CN"/>
        </w:rPr>
        <w:t>、</w:t>
      </w:r>
      <w:r>
        <w:rPr>
          <w:rFonts w:hint="eastAsia" w:ascii="仿宋" w:hAnsi="仿宋" w:eastAsia="仿宋" w:cs="仿宋"/>
          <w:sz w:val="32"/>
          <w:szCs w:val="32"/>
        </w:rPr>
        <w:t>户木乡徐庄小学</w:t>
      </w:r>
      <w:r>
        <w:rPr>
          <w:rFonts w:hint="eastAsia" w:ascii="仿宋" w:hAnsi="仿宋" w:eastAsia="仿宋" w:cs="仿宋"/>
          <w:sz w:val="32"/>
          <w:szCs w:val="32"/>
          <w:lang w:eastAsia="zh-CN"/>
        </w:rPr>
        <w:t>、</w:t>
      </w:r>
      <w:r>
        <w:rPr>
          <w:rFonts w:hint="eastAsia" w:ascii="仿宋" w:hAnsi="仿宋" w:eastAsia="仿宋" w:cs="仿宋"/>
          <w:sz w:val="32"/>
          <w:szCs w:val="32"/>
        </w:rPr>
        <w:t>留村镇北常保小学</w:t>
      </w:r>
      <w:r>
        <w:rPr>
          <w:rFonts w:hint="eastAsia" w:ascii="仿宋" w:hAnsi="仿宋" w:eastAsia="仿宋" w:cs="仿宋"/>
          <w:sz w:val="32"/>
          <w:szCs w:val="32"/>
          <w:lang w:eastAsia="zh-CN"/>
        </w:rPr>
        <w:t>、</w:t>
      </w:r>
      <w:r>
        <w:rPr>
          <w:rFonts w:hint="eastAsia" w:ascii="仿宋" w:hAnsi="仿宋" w:eastAsia="仿宋" w:cs="仿宋"/>
          <w:sz w:val="32"/>
          <w:szCs w:val="32"/>
        </w:rPr>
        <w:t>留村镇常乐小学</w:t>
      </w:r>
      <w:r>
        <w:rPr>
          <w:rFonts w:hint="eastAsia" w:ascii="仿宋" w:hAnsi="仿宋" w:eastAsia="仿宋" w:cs="仿宋"/>
          <w:sz w:val="32"/>
          <w:szCs w:val="32"/>
          <w:lang w:eastAsia="zh-CN"/>
        </w:rPr>
        <w:t>、</w:t>
      </w:r>
      <w:r>
        <w:rPr>
          <w:rFonts w:hint="eastAsia" w:ascii="仿宋" w:hAnsi="仿宋" w:eastAsia="仿宋" w:cs="仿宋"/>
          <w:sz w:val="32"/>
          <w:szCs w:val="32"/>
        </w:rPr>
        <w:t>留村镇大营小学</w:t>
      </w:r>
      <w:r>
        <w:rPr>
          <w:rFonts w:hint="eastAsia" w:ascii="仿宋" w:hAnsi="仿宋" w:eastAsia="仿宋" w:cs="仿宋"/>
          <w:sz w:val="32"/>
          <w:szCs w:val="32"/>
          <w:lang w:eastAsia="zh-CN"/>
        </w:rPr>
        <w:t>、</w:t>
      </w:r>
      <w:r>
        <w:rPr>
          <w:rFonts w:hint="eastAsia" w:ascii="仿宋" w:hAnsi="仿宋" w:eastAsia="仿宋" w:cs="仿宋"/>
          <w:sz w:val="32"/>
          <w:szCs w:val="32"/>
        </w:rPr>
        <w:t>留村镇刘祥店小学</w:t>
      </w:r>
      <w:r>
        <w:rPr>
          <w:rFonts w:hint="eastAsia" w:ascii="仿宋" w:hAnsi="仿宋" w:eastAsia="仿宋" w:cs="仿宋"/>
          <w:sz w:val="32"/>
          <w:szCs w:val="32"/>
          <w:lang w:eastAsia="zh-CN"/>
        </w:rPr>
        <w:t>、</w:t>
      </w:r>
      <w:r>
        <w:rPr>
          <w:rFonts w:hint="eastAsia" w:ascii="仿宋" w:hAnsi="仿宋" w:eastAsia="仿宋" w:cs="仿宋"/>
          <w:sz w:val="32"/>
          <w:szCs w:val="32"/>
        </w:rPr>
        <w:t>留村镇南高桥小学</w:t>
      </w:r>
      <w:r>
        <w:rPr>
          <w:rFonts w:hint="eastAsia" w:ascii="仿宋" w:hAnsi="仿宋" w:eastAsia="仿宋" w:cs="仿宋"/>
          <w:sz w:val="32"/>
          <w:szCs w:val="32"/>
          <w:lang w:eastAsia="zh-CN"/>
        </w:rPr>
        <w:t>、</w:t>
      </w:r>
      <w:r>
        <w:rPr>
          <w:rFonts w:hint="eastAsia" w:ascii="仿宋" w:hAnsi="仿宋" w:eastAsia="仿宋" w:cs="仿宋"/>
          <w:sz w:val="32"/>
          <w:szCs w:val="32"/>
        </w:rPr>
        <w:t>瀑河乡贾庄小学</w:t>
      </w:r>
      <w:r>
        <w:rPr>
          <w:rFonts w:hint="eastAsia" w:ascii="仿宋" w:hAnsi="仿宋" w:eastAsia="仿宋" w:cs="仿宋"/>
          <w:sz w:val="32"/>
          <w:szCs w:val="32"/>
          <w:lang w:eastAsia="zh-CN"/>
        </w:rPr>
        <w:t>、</w:t>
      </w:r>
      <w:r>
        <w:rPr>
          <w:rFonts w:hint="eastAsia" w:ascii="仿宋" w:hAnsi="仿宋" w:eastAsia="仿宋" w:cs="仿宋"/>
          <w:sz w:val="32"/>
          <w:szCs w:val="32"/>
        </w:rPr>
        <w:t>瀑河乡瀑河小学</w:t>
      </w:r>
      <w:r>
        <w:rPr>
          <w:rFonts w:hint="eastAsia" w:ascii="仿宋" w:hAnsi="仿宋" w:eastAsia="仿宋" w:cs="仿宋"/>
          <w:sz w:val="32"/>
          <w:szCs w:val="32"/>
          <w:lang w:eastAsia="zh-CN"/>
        </w:rPr>
        <w:t>、</w:t>
      </w:r>
      <w:r>
        <w:rPr>
          <w:rFonts w:hint="eastAsia" w:ascii="仿宋" w:hAnsi="仿宋" w:eastAsia="仿宋" w:cs="仿宋"/>
          <w:sz w:val="32"/>
          <w:szCs w:val="32"/>
        </w:rPr>
        <w:t>遂城镇大次良小学</w:t>
      </w:r>
      <w:r>
        <w:rPr>
          <w:rFonts w:hint="eastAsia" w:ascii="仿宋" w:hAnsi="仿宋" w:eastAsia="仿宋" w:cs="仿宋"/>
          <w:sz w:val="32"/>
          <w:szCs w:val="32"/>
          <w:lang w:eastAsia="zh-CN"/>
        </w:rPr>
        <w:t>、</w:t>
      </w:r>
      <w:r>
        <w:rPr>
          <w:rFonts w:hint="eastAsia" w:ascii="仿宋" w:hAnsi="仿宋" w:eastAsia="仿宋" w:cs="仿宋"/>
          <w:sz w:val="32"/>
          <w:szCs w:val="32"/>
        </w:rPr>
        <w:t>遂城镇大马各庄小学</w:t>
      </w:r>
      <w:r>
        <w:rPr>
          <w:rFonts w:hint="eastAsia" w:ascii="仿宋" w:hAnsi="仿宋" w:eastAsia="仿宋" w:cs="仿宋"/>
          <w:sz w:val="32"/>
          <w:szCs w:val="32"/>
          <w:lang w:eastAsia="zh-CN"/>
        </w:rPr>
        <w:t>、</w:t>
      </w:r>
      <w:r>
        <w:rPr>
          <w:rFonts w:hint="eastAsia" w:ascii="仿宋" w:hAnsi="仿宋" w:eastAsia="仿宋" w:cs="仿宋"/>
          <w:sz w:val="32"/>
          <w:szCs w:val="32"/>
        </w:rPr>
        <w:t>遂城镇大庞村小学</w:t>
      </w:r>
      <w:r>
        <w:rPr>
          <w:rFonts w:hint="eastAsia" w:ascii="仿宋" w:hAnsi="仿宋" w:eastAsia="仿宋" w:cs="仿宋"/>
          <w:sz w:val="32"/>
          <w:szCs w:val="32"/>
          <w:lang w:eastAsia="zh-CN"/>
        </w:rPr>
        <w:t>、</w:t>
      </w:r>
      <w:r>
        <w:rPr>
          <w:rFonts w:hint="eastAsia" w:ascii="仿宋" w:hAnsi="仿宋" w:eastAsia="仿宋" w:cs="仿宋"/>
          <w:sz w:val="32"/>
          <w:szCs w:val="32"/>
        </w:rPr>
        <w:t>遂城镇巩固庄小学</w:t>
      </w:r>
      <w:r>
        <w:rPr>
          <w:rFonts w:hint="eastAsia" w:ascii="仿宋" w:hAnsi="仿宋" w:eastAsia="仿宋" w:cs="仿宋"/>
          <w:sz w:val="32"/>
          <w:szCs w:val="32"/>
          <w:lang w:eastAsia="zh-CN"/>
        </w:rPr>
        <w:t>、</w:t>
      </w:r>
      <w:r>
        <w:rPr>
          <w:rFonts w:hint="eastAsia" w:ascii="仿宋" w:hAnsi="仿宋" w:eastAsia="仿宋" w:cs="仿宋"/>
          <w:sz w:val="32"/>
          <w:szCs w:val="32"/>
        </w:rPr>
        <w:t>遂城镇广门小学</w:t>
      </w:r>
      <w:r>
        <w:rPr>
          <w:rFonts w:hint="eastAsia" w:ascii="仿宋" w:hAnsi="仿宋" w:eastAsia="仿宋" w:cs="仿宋"/>
          <w:sz w:val="32"/>
          <w:szCs w:val="32"/>
          <w:lang w:eastAsia="zh-CN"/>
        </w:rPr>
        <w:t>、</w:t>
      </w:r>
      <w:r>
        <w:rPr>
          <w:rFonts w:hint="eastAsia" w:ascii="仿宋" w:hAnsi="仿宋" w:eastAsia="仿宋" w:cs="仿宋"/>
          <w:sz w:val="32"/>
          <w:szCs w:val="32"/>
        </w:rPr>
        <w:t>遂城镇曲城小学</w:t>
      </w:r>
      <w:r>
        <w:rPr>
          <w:rFonts w:hint="eastAsia" w:ascii="仿宋" w:hAnsi="仿宋" w:eastAsia="仿宋" w:cs="仿宋"/>
          <w:sz w:val="32"/>
          <w:szCs w:val="32"/>
          <w:lang w:eastAsia="zh-CN"/>
        </w:rPr>
        <w:t>、</w:t>
      </w:r>
      <w:r>
        <w:rPr>
          <w:rFonts w:hint="eastAsia" w:ascii="仿宋" w:hAnsi="仿宋" w:eastAsia="仿宋" w:cs="仿宋"/>
          <w:sz w:val="32"/>
          <w:szCs w:val="32"/>
        </w:rPr>
        <w:t>遂城镇遂城小学</w:t>
      </w:r>
      <w:r>
        <w:rPr>
          <w:rFonts w:hint="eastAsia" w:ascii="仿宋" w:hAnsi="仿宋" w:eastAsia="仿宋" w:cs="仿宋"/>
          <w:sz w:val="32"/>
          <w:szCs w:val="32"/>
          <w:lang w:eastAsia="zh-CN"/>
        </w:rPr>
        <w:t>、</w:t>
      </w:r>
      <w:r>
        <w:rPr>
          <w:rFonts w:hint="eastAsia" w:ascii="仿宋" w:hAnsi="仿宋" w:eastAsia="仿宋" w:cs="仿宋"/>
          <w:sz w:val="32"/>
          <w:szCs w:val="32"/>
        </w:rPr>
        <w:t>遂城镇谢坊小学</w:t>
      </w:r>
      <w:r>
        <w:rPr>
          <w:rFonts w:hint="eastAsia" w:ascii="仿宋" w:hAnsi="仿宋" w:eastAsia="仿宋" w:cs="仿宋"/>
          <w:sz w:val="32"/>
          <w:szCs w:val="32"/>
          <w:lang w:eastAsia="zh-CN"/>
        </w:rPr>
        <w:t>、</w:t>
      </w:r>
      <w:r>
        <w:rPr>
          <w:rFonts w:hint="eastAsia" w:ascii="仿宋" w:hAnsi="仿宋" w:eastAsia="仿宋" w:cs="仿宋"/>
          <w:sz w:val="32"/>
          <w:szCs w:val="32"/>
        </w:rPr>
        <w:t>遂城镇谢坊营小学</w:t>
      </w:r>
      <w:r>
        <w:rPr>
          <w:rFonts w:hint="eastAsia" w:ascii="仿宋" w:hAnsi="仿宋" w:eastAsia="仿宋" w:cs="仿宋"/>
          <w:sz w:val="32"/>
          <w:szCs w:val="32"/>
          <w:lang w:eastAsia="zh-CN"/>
        </w:rPr>
        <w:t>、</w:t>
      </w:r>
      <w:r>
        <w:rPr>
          <w:rFonts w:hint="eastAsia" w:ascii="仿宋" w:hAnsi="仿宋" w:eastAsia="仿宋" w:cs="仿宋"/>
          <w:sz w:val="32"/>
          <w:szCs w:val="32"/>
        </w:rPr>
        <w:t>义联庄乡义联庄小学</w:t>
      </w:r>
      <w:r>
        <w:rPr>
          <w:rFonts w:hint="eastAsia" w:ascii="仿宋" w:hAnsi="仿宋" w:eastAsia="仿宋" w:cs="仿宋"/>
          <w:sz w:val="32"/>
          <w:szCs w:val="32"/>
          <w:lang w:eastAsia="zh-CN"/>
        </w:rPr>
        <w:t>、</w:t>
      </w:r>
      <w:r>
        <w:rPr>
          <w:rFonts w:hint="eastAsia" w:ascii="仿宋" w:hAnsi="仿宋" w:eastAsia="仿宋" w:cs="仿宋"/>
          <w:sz w:val="32"/>
          <w:szCs w:val="32"/>
        </w:rPr>
        <w:t>正村镇韩家营小学</w:t>
      </w:r>
      <w:r>
        <w:rPr>
          <w:rFonts w:hint="eastAsia" w:ascii="仿宋" w:hAnsi="仿宋" w:eastAsia="仿宋" w:cs="仿宋"/>
          <w:sz w:val="32"/>
          <w:szCs w:val="32"/>
          <w:lang w:eastAsia="zh-CN"/>
        </w:rPr>
        <w:t>、</w:t>
      </w:r>
      <w:r>
        <w:rPr>
          <w:rFonts w:hint="eastAsia" w:ascii="仿宋" w:hAnsi="仿宋" w:eastAsia="仿宋" w:cs="仿宋"/>
          <w:sz w:val="32"/>
          <w:szCs w:val="32"/>
        </w:rPr>
        <w:t>张丰学校</w:t>
      </w:r>
      <w:r>
        <w:rPr>
          <w:rFonts w:hint="eastAsia" w:ascii="仿宋" w:hAnsi="仿宋" w:eastAsia="仿宋" w:cs="仿宋"/>
          <w:sz w:val="32"/>
          <w:szCs w:val="32"/>
          <w:lang w:eastAsia="zh-CN"/>
        </w:rPr>
        <w:t>、</w:t>
      </w:r>
      <w:r>
        <w:rPr>
          <w:rFonts w:hint="eastAsia" w:ascii="仿宋" w:hAnsi="仿宋" w:eastAsia="仿宋" w:cs="仿宋"/>
          <w:sz w:val="32"/>
          <w:szCs w:val="32"/>
        </w:rPr>
        <w:t xml:space="preserve">日新学校。 </w:t>
      </w:r>
    </w:p>
    <w:p w14:paraId="0BEDEF84">
      <w:pPr>
        <w:spacing w:line="58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该项目实施内容为购置9769套升降课桌椅，资金来源为中央革命老区转移支付资金和县级配套资金。</w:t>
      </w:r>
    </w:p>
    <w:p w14:paraId="3334940E">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3.项目实施情况</w:t>
      </w:r>
    </w:p>
    <w:p w14:paraId="2274E3F3">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该项目于</w:t>
      </w:r>
      <w:r>
        <w:rPr>
          <w:rFonts w:hint="eastAsia" w:ascii="仿宋" w:hAnsi="仿宋" w:eastAsia="仿宋" w:cs="仿宋"/>
          <w:sz w:val="32"/>
          <w:szCs w:val="32"/>
          <w:lang w:val="en-US" w:eastAsia="zh-CN"/>
        </w:rPr>
        <w:t>2020年9月份完成可研报告，</w:t>
      </w:r>
      <w:r>
        <w:rPr>
          <w:rFonts w:hint="eastAsia" w:ascii="仿宋" w:hAnsi="仿宋" w:eastAsia="仿宋" w:cs="仿宋"/>
          <w:sz w:val="32"/>
          <w:szCs w:val="32"/>
          <w:u w:color="000000"/>
          <w:lang w:val="en-US" w:eastAsia="zh-CN"/>
        </w:rPr>
        <w:t>拟购置学生课桌椅8750套，项目总投资300万元，其中包括设备购置费280万元、其他费用7.14万元、基本预备费12.86万元。</w:t>
      </w:r>
      <w:r>
        <w:rPr>
          <w:rFonts w:hint="eastAsia" w:ascii="仿宋" w:hAnsi="仿宋" w:eastAsia="仿宋" w:cs="仿宋"/>
          <w:sz w:val="32"/>
          <w:szCs w:val="32"/>
        </w:rPr>
        <w:t>2021年5月28日批复的政府采购计划备案表显示项目预算金额为3,301,922.00元，购置课桌椅9769套。2021年6月通过公开招标确定供应商，中标价为3,125,005.41元。2021年7月25日完成全部课桌椅的交付工作。</w:t>
      </w:r>
    </w:p>
    <w:p w14:paraId="6BD0D94F">
      <w:pPr>
        <w:spacing w:line="58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该项目实施涉及主要单位如下：</w:t>
      </w:r>
    </w:p>
    <w:p w14:paraId="0E533C5F">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实施</w:t>
      </w:r>
      <w:r>
        <w:rPr>
          <w:rFonts w:hint="eastAsia" w:ascii="仿宋" w:hAnsi="仿宋" w:eastAsia="仿宋" w:cs="仿宋"/>
          <w:sz w:val="32"/>
          <w:szCs w:val="32"/>
        </w:rPr>
        <w:t>单位：徐水区教育和体育局</w:t>
      </w:r>
    </w:p>
    <w:p w14:paraId="79B9B3E0">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供应商</w:t>
      </w:r>
      <w:r>
        <w:rPr>
          <w:rFonts w:hint="eastAsia" w:ascii="仿宋" w:hAnsi="仿宋" w:eastAsia="仿宋" w:cs="仿宋"/>
          <w:sz w:val="32"/>
          <w:szCs w:val="32"/>
        </w:rPr>
        <w:t>：</w:t>
      </w:r>
      <w:r>
        <w:rPr>
          <w:rFonts w:hint="eastAsia" w:ascii="仿宋" w:hAnsi="仿宋" w:eastAsia="仿宋" w:cs="仿宋"/>
          <w:sz w:val="32"/>
          <w:szCs w:val="32"/>
          <w:lang w:val="en-US" w:eastAsia="zh-CN"/>
        </w:rPr>
        <w:t>河北白诺墨轩电子科技</w:t>
      </w:r>
      <w:r>
        <w:rPr>
          <w:rFonts w:hint="eastAsia" w:ascii="仿宋" w:hAnsi="仿宋" w:eastAsia="仿宋" w:cs="仿宋"/>
          <w:sz w:val="32"/>
          <w:szCs w:val="32"/>
        </w:rPr>
        <w:t>有限公司</w:t>
      </w:r>
    </w:p>
    <w:p w14:paraId="0926640B">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4.资金投入及使用情况</w:t>
      </w:r>
    </w:p>
    <w:p w14:paraId="2E17334E">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该项目总投资额3,125,005.41元，</w:t>
      </w:r>
      <w:r>
        <w:rPr>
          <w:rFonts w:hint="eastAsia" w:ascii="仿宋" w:hAnsi="仿宋" w:eastAsia="仿宋" w:cs="仿宋"/>
          <w:sz w:val="32"/>
          <w:szCs w:val="32"/>
          <w:lang w:val="en-US" w:eastAsia="zh-CN"/>
        </w:rPr>
        <w:t>其中：</w:t>
      </w:r>
      <w:r>
        <w:rPr>
          <w:rFonts w:hint="eastAsia" w:ascii="仿宋" w:hAnsi="仿宋" w:eastAsia="仿宋" w:cs="仿宋"/>
          <w:sz w:val="32"/>
          <w:szCs w:val="32"/>
        </w:rPr>
        <w:t>革命老区转移支付资金2,810,000.00元，</w:t>
      </w:r>
      <w:r>
        <w:rPr>
          <w:rFonts w:hint="eastAsia" w:ascii="仿宋" w:hAnsi="仿宋" w:eastAsia="仿宋" w:cs="仿宋"/>
          <w:sz w:val="32"/>
          <w:szCs w:val="32"/>
          <w:lang w:val="en-US" w:eastAsia="zh-CN"/>
        </w:rPr>
        <w:t>区</w:t>
      </w:r>
      <w:r>
        <w:rPr>
          <w:rFonts w:hint="eastAsia" w:ascii="仿宋" w:hAnsi="仿宋" w:eastAsia="仿宋" w:cs="仿宋"/>
          <w:sz w:val="32"/>
          <w:szCs w:val="32"/>
        </w:rPr>
        <w:t>财政资金315,005.41元</w:t>
      </w:r>
      <w:r>
        <w:rPr>
          <w:rFonts w:hint="eastAsia" w:ascii="仿宋" w:hAnsi="仿宋" w:eastAsia="仿宋" w:cs="仿宋"/>
          <w:sz w:val="32"/>
          <w:szCs w:val="32"/>
          <w:lang w:eastAsia="zh-CN"/>
        </w:rPr>
        <w:t>。</w:t>
      </w:r>
    </w:p>
    <w:p w14:paraId="5A499CB6">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截至</w:t>
      </w:r>
      <w:r>
        <w:rPr>
          <w:rFonts w:hint="eastAsia" w:ascii="仿宋" w:hAnsi="仿宋" w:eastAsia="仿宋" w:cs="仿宋"/>
          <w:sz w:val="32"/>
          <w:szCs w:val="32"/>
        </w:rPr>
        <w:t>2021年10月底</w:t>
      </w:r>
      <w:r>
        <w:rPr>
          <w:rFonts w:hint="eastAsia" w:ascii="仿宋" w:hAnsi="仿宋" w:eastAsia="仿宋" w:cs="仿宋"/>
          <w:sz w:val="32"/>
          <w:szCs w:val="32"/>
          <w:lang w:eastAsia="zh-CN"/>
        </w:rPr>
        <w:t>，</w:t>
      </w:r>
      <w:r>
        <w:rPr>
          <w:rFonts w:hint="eastAsia" w:ascii="仿宋" w:hAnsi="仿宋" w:eastAsia="仿宋" w:cs="仿宋"/>
          <w:sz w:val="32"/>
          <w:szCs w:val="32"/>
        </w:rPr>
        <w:t>革命老区转移支付资金2,810,000.00元</w:t>
      </w:r>
      <w:r>
        <w:rPr>
          <w:rFonts w:hint="eastAsia" w:ascii="仿宋" w:hAnsi="仿宋" w:eastAsia="仿宋" w:cs="仿宋"/>
          <w:sz w:val="32"/>
          <w:szCs w:val="32"/>
          <w:lang w:val="en-US" w:eastAsia="zh-CN"/>
        </w:rPr>
        <w:t>已全部到位并支付完成，预算执行率为100%。</w:t>
      </w:r>
    </w:p>
    <w:p w14:paraId="22AC2CC4">
      <w:pPr>
        <w:spacing w:line="580" w:lineRule="exact"/>
        <w:ind w:firstLine="640" w:firstLineChars="200"/>
        <w:rPr>
          <w:rFonts w:ascii="仿宋_GB2312" w:eastAsia="仿宋_GB2312"/>
          <w:color w:val="auto"/>
          <w:sz w:val="32"/>
          <w:szCs w:val="32"/>
        </w:rPr>
      </w:pPr>
      <w:r>
        <w:rPr>
          <w:rFonts w:hint="eastAsia" w:ascii="仿宋" w:hAnsi="仿宋" w:eastAsia="仿宋" w:cs="仿宋"/>
          <w:color w:val="auto"/>
          <w:sz w:val="32"/>
          <w:szCs w:val="32"/>
          <w:highlight w:val="none"/>
          <w:lang w:val="en-US" w:eastAsia="zh-CN"/>
        </w:rPr>
        <w:t>截至2021年底，区</w:t>
      </w:r>
      <w:r>
        <w:rPr>
          <w:rFonts w:hint="eastAsia" w:ascii="仿宋" w:hAnsi="仿宋" w:eastAsia="仿宋" w:cs="仿宋"/>
          <w:color w:val="auto"/>
          <w:sz w:val="32"/>
          <w:szCs w:val="32"/>
          <w:highlight w:val="none"/>
        </w:rPr>
        <w:t>财政</w:t>
      </w:r>
      <w:r>
        <w:rPr>
          <w:rFonts w:hint="eastAsia" w:ascii="仿宋" w:hAnsi="仿宋" w:eastAsia="仿宋" w:cs="仿宋"/>
          <w:color w:val="auto"/>
          <w:sz w:val="32"/>
          <w:szCs w:val="32"/>
          <w:highlight w:val="none"/>
          <w:lang w:val="en-US" w:eastAsia="zh-CN"/>
        </w:rPr>
        <w:t>配套</w:t>
      </w:r>
      <w:r>
        <w:rPr>
          <w:rFonts w:hint="eastAsia" w:ascii="仿宋" w:hAnsi="仿宋" w:eastAsia="仿宋" w:cs="仿宋"/>
          <w:color w:val="auto"/>
          <w:sz w:val="32"/>
          <w:szCs w:val="32"/>
          <w:highlight w:val="none"/>
        </w:rPr>
        <w:t>资金315,005.41元尚未</w:t>
      </w:r>
      <w:r>
        <w:rPr>
          <w:rFonts w:hint="eastAsia" w:ascii="仿宋" w:hAnsi="仿宋" w:eastAsia="仿宋" w:cs="仿宋"/>
          <w:color w:val="auto"/>
          <w:sz w:val="32"/>
          <w:szCs w:val="32"/>
          <w:highlight w:val="none"/>
          <w:lang w:val="en-US" w:eastAsia="zh-CN"/>
        </w:rPr>
        <w:t>收到且未</w:t>
      </w:r>
      <w:r>
        <w:rPr>
          <w:rFonts w:hint="eastAsia" w:ascii="仿宋" w:hAnsi="仿宋" w:eastAsia="仿宋" w:cs="仿宋"/>
          <w:color w:val="auto"/>
          <w:sz w:val="32"/>
          <w:szCs w:val="32"/>
          <w:highlight w:val="none"/>
        </w:rPr>
        <w:t>支付。</w:t>
      </w:r>
    </w:p>
    <w:p w14:paraId="4CFD9D20">
      <w:pPr>
        <w:pStyle w:val="4"/>
        <w:spacing w:before="0" w:after="0" w:line="580" w:lineRule="exact"/>
        <w:ind w:firstLine="643" w:firstLineChars="200"/>
        <w:rPr>
          <w:rFonts w:ascii="楷体" w:hAnsi="楷体" w:eastAsia="楷体"/>
        </w:rPr>
      </w:pPr>
      <w:bookmarkStart w:id="45" w:name="_Toc85202855"/>
      <w:bookmarkStart w:id="46" w:name="_Toc89419989"/>
      <w:bookmarkStart w:id="47" w:name="_Toc85203150"/>
      <w:bookmarkStart w:id="48" w:name="_Toc72846130"/>
      <w:bookmarkStart w:id="49" w:name="_Toc85202945"/>
      <w:bookmarkStart w:id="50" w:name="_Toc24686"/>
      <w:r>
        <w:rPr>
          <w:rFonts w:hint="eastAsia" w:ascii="楷体" w:hAnsi="楷体" w:eastAsia="楷体"/>
        </w:rPr>
        <w:t>（二）绩效目标</w:t>
      </w:r>
      <w:bookmarkEnd w:id="45"/>
      <w:bookmarkEnd w:id="46"/>
      <w:bookmarkEnd w:id="47"/>
      <w:bookmarkEnd w:id="48"/>
      <w:bookmarkEnd w:id="49"/>
      <w:bookmarkEnd w:id="50"/>
    </w:p>
    <w:p w14:paraId="0622003E">
      <w:pPr>
        <w:spacing w:line="580" w:lineRule="exact"/>
        <w:ind w:firstLine="640" w:firstLineChars="200"/>
        <w:rPr>
          <w:rFonts w:hint="eastAsia" w:ascii="仿宋" w:hAnsi="仿宋" w:eastAsia="仿宋" w:cs="仿宋"/>
        </w:rPr>
      </w:pPr>
      <w:r>
        <w:rPr>
          <w:rFonts w:hint="eastAsia" w:ascii="仿宋" w:hAnsi="仿宋" w:eastAsia="仿宋" w:cs="仿宋"/>
          <w:sz w:val="32"/>
          <w:szCs w:val="32"/>
        </w:rPr>
        <w:t>通过项目的实施，</w:t>
      </w:r>
      <w:r>
        <w:rPr>
          <w:rFonts w:hint="eastAsia" w:ascii="仿宋" w:hAnsi="仿宋" w:eastAsia="仿宋" w:cs="仿宋"/>
          <w:sz w:val="32"/>
          <w:szCs w:val="32"/>
          <w:lang w:val="en-US" w:eastAsia="zh-CN"/>
        </w:rPr>
        <w:t>进一步</w:t>
      </w:r>
      <w:r>
        <w:rPr>
          <w:rFonts w:hint="eastAsia" w:ascii="仿宋" w:hAnsi="仿宋" w:eastAsia="仿宋" w:cs="仿宋"/>
          <w:sz w:val="32"/>
          <w:szCs w:val="32"/>
        </w:rPr>
        <w:t>实现徐水区义务教育优质均衡发展，解决徐水区学生对学习硬件的迫切需求，消除破旧的课桌椅带来的隐患，改善徐水区现有办学条件和学习环境。</w:t>
      </w:r>
    </w:p>
    <w:p w14:paraId="024839C6">
      <w:pPr>
        <w:pStyle w:val="3"/>
        <w:spacing w:line="580" w:lineRule="exact"/>
        <w:rPr>
          <w:rFonts w:eastAsia="黑体"/>
          <w:bCs/>
        </w:rPr>
      </w:pPr>
      <w:bookmarkStart w:id="51" w:name="_Toc41137184"/>
      <w:bookmarkStart w:id="52" w:name="_Toc3315"/>
      <w:bookmarkStart w:id="53" w:name="_Toc85202946"/>
      <w:bookmarkStart w:id="54" w:name="_Toc20205"/>
      <w:bookmarkStart w:id="55" w:name="_Toc85202856"/>
      <w:bookmarkStart w:id="56" w:name="_Toc7239"/>
      <w:bookmarkStart w:id="57" w:name="_Toc85203151"/>
      <w:bookmarkStart w:id="58" w:name="_Toc72846131"/>
      <w:bookmarkStart w:id="59" w:name="_Toc38447886"/>
      <w:bookmarkStart w:id="60" w:name="_Toc38452630"/>
      <w:bookmarkStart w:id="61" w:name="_Toc89419990"/>
      <w:r>
        <w:rPr>
          <w:rFonts w:hint="eastAsia" w:eastAsia="黑体"/>
          <w:bCs/>
        </w:rPr>
        <w:t>二、绩效评价工作开展情况</w:t>
      </w:r>
      <w:bookmarkEnd w:id="51"/>
      <w:bookmarkEnd w:id="52"/>
      <w:bookmarkEnd w:id="53"/>
      <w:bookmarkEnd w:id="54"/>
      <w:bookmarkEnd w:id="55"/>
      <w:bookmarkEnd w:id="56"/>
      <w:bookmarkEnd w:id="57"/>
      <w:bookmarkEnd w:id="58"/>
      <w:bookmarkEnd w:id="59"/>
      <w:bookmarkEnd w:id="60"/>
      <w:bookmarkEnd w:id="61"/>
    </w:p>
    <w:p w14:paraId="6CB8C4FF">
      <w:pPr>
        <w:pStyle w:val="4"/>
        <w:spacing w:before="0" w:after="0" w:line="580" w:lineRule="exact"/>
        <w:ind w:firstLine="643" w:firstLineChars="200"/>
        <w:rPr>
          <w:rFonts w:ascii="楷体" w:hAnsi="楷体" w:eastAsia="楷体"/>
        </w:rPr>
      </w:pPr>
      <w:bookmarkStart w:id="62" w:name="_Toc24259"/>
      <w:bookmarkStart w:id="63" w:name="_Toc41137185"/>
      <w:bookmarkStart w:id="64" w:name="_Toc2724"/>
      <w:bookmarkStart w:id="65" w:name="_Toc38452631"/>
      <w:bookmarkStart w:id="66" w:name="_Toc85202947"/>
      <w:bookmarkStart w:id="67" w:name="_Toc85203152"/>
      <w:bookmarkStart w:id="68" w:name="_Toc72846132"/>
      <w:bookmarkStart w:id="69" w:name="_Toc6664"/>
      <w:bookmarkStart w:id="70" w:name="_Toc38447887"/>
      <w:bookmarkStart w:id="71" w:name="_Toc89419991"/>
      <w:bookmarkStart w:id="72" w:name="_Toc85202857"/>
      <w:r>
        <w:rPr>
          <w:rFonts w:hint="eastAsia" w:ascii="楷体" w:hAnsi="楷体" w:eastAsia="楷体"/>
        </w:rPr>
        <w:t>（一）绩效评价目的、对象和范围</w:t>
      </w:r>
      <w:bookmarkEnd w:id="62"/>
      <w:bookmarkEnd w:id="63"/>
      <w:bookmarkEnd w:id="64"/>
      <w:bookmarkEnd w:id="65"/>
      <w:bookmarkEnd w:id="66"/>
      <w:bookmarkEnd w:id="67"/>
      <w:bookmarkEnd w:id="68"/>
      <w:bookmarkEnd w:id="69"/>
      <w:bookmarkEnd w:id="70"/>
      <w:bookmarkEnd w:id="71"/>
      <w:bookmarkEnd w:id="72"/>
    </w:p>
    <w:p w14:paraId="302C6823">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1.绩效评价目的</w:t>
      </w:r>
    </w:p>
    <w:p w14:paraId="6B25337E">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14:paraId="46FF1BFA">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14:paraId="7DE31468">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评价对象为</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w:t>
      </w:r>
    </w:p>
    <w:p w14:paraId="008520C1">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14:paraId="414EB169">
      <w:pPr>
        <w:spacing w:line="580" w:lineRule="exact"/>
        <w:ind w:firstLine="640" w:firstLineChars="200"/>
        <w:rPr>
          <w:rFonts w:ascii="仿宋_GB2312" w:eastAsia="仿宋_GB2312"/>
          <w:sz w:val="32"/>
          <w:szCs w:val="32"/>
        </w:rPr>
      </w:pPr>
      <w:r>
        <w:rPr>
          <w:rFonts w:hint="eastAsia" w:ascii="仿宋" w:hAnsi="仿宋" w:eastAsia="仿宋" w:cs="仿宋"/>
          <w:sz w:val="32"/>
          <w:szCs w:val="32"/>
        </w:rPr>
        <w:t>本次绩效评价范围为徐水区</w:t>
      </w:r>
      <w:r>
        <w:rPr>
          <w:rFonts w:hint="eastAsia" w:ascii="仿宋" w:hAnsi="仿宋" w:eastAsia="仿宋" w:cs="仿宋"/>
          <w:sz w:val="32"/>
          <w:szCs w:val="32"/>
          <w:lang w:val="en-US" w:eastAsia="zh-CN"/>
        </w:rPr>
        <w:t>学生课桌椅购置项目中革命老区转移支付</w:t>
      </w:r>
      <w:r>
        <w:rPr>
          <w:rFonts w:hint="eastAsia" w:ascii="仿宋" w:hAnsi="仿宋" w:eastAsia="仿宋" w:cs="仿宋"/>
          <w:sz w:val="32"/>
          <w:szCs w:val="32"/>
        </w:rPr>
        <w:t>资金的投入和使用情况，绩效目标、指标设定及完成情况，资金使用合规性，管理制度的建设及执行情况，项目产出数量、质量、时效及成本情况，项目产生的效益及受益群体对项目实施效果的满意程度。</w:t>
      </w:r>
      <w:bookmarkStart w:id="73" w:name="_Toc38452632"/>
      <w:bookmarkStart w:id="74" w:name="_Toc41137186"/>
      <w:bookmarkStart w:id="75" w:name="_Toc38447888"/>
      <w:bookmarkStart w:id="76" w:name="_Toc16283"/>
      <w:bookmarkStart w:id="77" w:name="_Toc10977_WPSOffice_Type3"/>
    </w:p>
    <w:p w14:paraId="623DBAB6">
      <w:pPr>
        <w:pStyle w:val="4"/>
        <w:spacing w:before="0" w:after="0" w:line="580" w:lineRule="exact"/>
        <w:ind w:firstLine="643" w:firstLineChars="200"/>
        <w:rPr>
          <w:rFonts w:ascii="楷体" w:hAnsi="楷体" w:eastAsia="楷体"/>
        </w:rPr>
      </w:pPr>
      <w:bookmarkStart w:id="78" w:name="_Toc85202858"/>
      <w:bookmarkStart w:id="79" w:name="_Toc89419992"/>
      <w:bookmarkStart w:id="80" w:name="_Toc85202948"/>
      <w:bookmarkStart w:id="81" w:name="_Toc72846133"/>
      <w:bookmarkStart w:id="82" w:name="_Toc85203153"/>
      <w:bookmarkStart w:id="83" w:name="_Toc15712"/>
      <w:r>
        <w:rPr>
          <w:rFonts w:hint="eastAsia" w:ascii="楷体" w:hAnsi="楷体" w:eastAsia="楷体"/>
        </w:rPr>
        <w:t>（二）绩效评价原则、指标体系、依据、方法及标准</w:t>
      </w:r>
      <w:bookmarkEnd w:id="73"/>
      <w:bookmarkEnd w:id="74"/>
      <w:bookmarkEnd w:id="75"/>
      <w:bookmarkEnd w:id="76"/>
      <w:bookmarkEnd w:id="78"/>
      <w:bookmarkEnd w:id="79"/>
      <w:bookmarkEnd w:id="80"/>
      <w:bookmarkEnd w:id="81"/>
      <w:bookmarkEnd w:id="82"/>
      <w:bookmarkEnd w:id="83"/>
    </w:p>
    <w:p w14:paraId="172C81CC">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1.绩效评价原则</w:t>
      </w:r>
    </w:p>
    <w:p w14:paraId="0BF66A18">
      <w:pPr>
        <w:spacing w:line="580" w:lineRule="exact"/>
        <w:ind w:firstLine="640" w:firstLineChars="200"/>
        <w:textAlignment w:val="baseline"/>
        <w:rPr>
          <w:rFonts w:hint="eastAsia" w:ascii="仿宋" w:hAnsi="仿宋" w:eastAsia="仿宋" w:cs="仿宋"/>
          <w:sz w:val="32"/>
          <w:szCs w:val="32"/>
        </w:rPr>
      </w:pPr>
      <w:bookmarkStart w:id="84" w:name="_Hlk85719439"/>
      <w:r>
        <w:rPr>
          <w:rFonts w:hint="eastAsia" w:ascii="仿宋" w:hAnsi="仿宋" w:eastAsia="仿宋" w:cs="仿宋"/>
          <w:sz w:val="32"/>
          <w:szCs w:val="32"/>
        </w:rPr>
        <w:t>本次评价遵循科学公正、统筹兼顾、激励约束和公开透明的原则。</w:t>
      </w:r>
    </w:p>
    <w:bookmarkEnd w:id="84"/>
    <w:p w14:paraId="4E8A4FDA">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（1）科学公正。绩效评价应当运用科学合理的方法，按照规范的程序，对项目绩效进行客观、公正的反映。</w:t>
      </w:r>
    </w:p>
    <w:p w14:paraId="76E39431">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（2）统筹兼顾。单位自评、部门评价和财政评价应职责明确，各有侧重，相互衔接。</w:t>
      </w:r>
    </w:p>
    <w:p w14:paraId="44DA887C">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（3）激励约束。绩效评价结果应与预算安排、政策调整、改进管理实质性挂钩，体现奖优罚劣和激励相容导向，有效要安排、低效要压减、无效要问责。</w:t>
      </w:r>
    </w:p>
    <w:p w14:paraId="62853912">
      <w:pPr>
        <w:spacing w:line="580" w:lineRule="exact"/>
        <w:ind w:firstLine="640" w:firstLineChars="200"/>
        <w:textAlignment w:val="baseline"/>
        <w:rPr>
          <w:rFonts w:ascii="仿宋_GB2312" w:eastAsia="仿宋_GB2312"/>
          <w:sz w:val="32"/>
          <w:szCs w:val="32"/>
        </w:rPr>
      </w:pPr>
      <w:r>
        <w:rPr>
          <w:rFonts w:hint="eastAsia" w:ascii="仿宋" w:hAnsi="仿宋" w:eastAsia="仿宋" w:cs="仿宋"/>
          <w:sz w:val="32"/>
          <w:szCs w:val="32"/>
        </w:rPr>
        <w:t>（4）公开透明。绩效评价结果应依法依规公开，并自觉接受社会监督。</w:t>
      </w:r>
    </w:p>
    <w:p w14:paraId="704793CB">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2.绩效评价指标体系</w:t>
      </w:r>
    </w:p>
    <w:bookmarkEnd w:id="77"/>
    <w:p w14:paraId="4372236A">
      <w:pPr>
        <w:spacing w:line="580"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（1）绩效指标设计。本次绩效评价指标体系按照财政部《关于印发</w:t>
      </w:r>
      <w:r>
        <w:rPr>
          <w:rFonts w:hint="eastAsia" w:ascii="仿宋" w:hAnsi="仿宋" w:eastAsia="仿宋" w:cs="仿宋"/>
          <w:sz w:val="32"/>
          <w:szCs w:val="32"/>
          <w:lang w:eastAsia="zh-CN"/>
        </w:rPr>
        <w:t>〈</w:t>
      </w:r>
      <w:r>
        <w:rPr>
          <w:rFonts w:hint="eastAsia" w:ascii="仿宋" w:hAnsi="仿宋" w:eastAsia="仿宋" w:cs="仿宋"/>
          <w:sz w:val="32"/>
          <w:szCs w:val="32"/>
        </w:rPr>
        <w:t>项目支出绩效评价管理办法</w:t>
      </w:r>
      <w:r>
        <w:rPr>
          <w:rFonts w:hint="eastAsia" w:ascii="仿宋" w:hAnsi="仿宋" w:eastAsia="仿宋" w:cs="仿宋"/>
          <w:sz w:val="32"/>
          <w:szCs w:val="32"/>
          <w:lang w:eastAsia="zh-CN"/>
        </w:rPr>
        <w:t>〉</w:t>
      </w:r>
      <w:bookmarkStart w:id="191" w:name="_GoBack"/>
      <w:bookmarkEnd w:id="191"/>
      <w:r>
        <w:rPr>
          <w:rFonts w:hint="eastAsia" w:ascii="仿宋" w:hAnsi="仿宋" w:eastAsia="仿宋" w:cs="仿宋"/>
          <w:sz w:val="32"/>
          <w:szCs w:val="32"/>
        </w:rPr>
        <w:t>的通知》（财预〔2020〕10号）的有关要求设计，共4个一级指标、11个二级指标、17个三级指标。指标体系分别从决策、过程、产出、效益四个方面进行绩效评价。</w:t>
      </w:r>
    </w:p>
    <w:p w14:paraId="0D97C5E1">
      <w:pPr>
        <w:spacing w:line="580" w:lineRule="exact"/>
        <w:ind w:firstLine="640" w:firstLineChars="200"/>
        <w:rPr>
          <w:rFonts w:ascii="仿宋_GB2312" w:eastAsia="仿宋_GB2312"/>
          <w:sz w:val="32"/>
          <w:szCs w:val="32"/>
        </w:rPr>
      </w:pPr>
      <w:r>
        <w:rPr>
          <w:rFonts w:hint="eastAsia" w:ascii="仿宋" w:hAnsi="仿宋" w:eastAsia="仿宋" w:cs="仿宋"/>
          <w:sz w:val="32"/>
          <w:szCs w:val="32"/>
        </w:rPr>
        <w:t>（2）绩效评价等级。通过对指标体系量化评分，绩效评价分为四个等级，其中：分值≥90为“优”，80≤分值&lt;90为“良”，60≤分值&lt;80为“中”，分值&lt;60为“差”。</w:t>
      </w:r>
    </w:p>
    <w:p w14:paraId="5A7515EC">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3.绩效评价依据</w:t>
      </w:r>
    </w:p>
    <w:p w14:paraId="16C07F08">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《中华人民共和国预算法》(主席令第21号)；</w:t>
      </w:r>
    </w:p>
    <w:p w14:paraId="3B9F3F05">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中共中央 国务院《关于全面实施预算绩效管理的意见》（中发〔2018〕34号）；</w:t>
      </w:r>
    </w:p>
    <w:p w14:paraId="77EF8ECB">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《项目支出绩效评价管理办法》（财预〔2020〕10号）；</w:t>
      </w:r>
    </w:p>
    <w:p w14:paraId="2BFD2BCA">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中共河北省委 河北省人民政府《关于全面实施预算绩效管理的实施意见》（冀发〔2018〕54号）；</w:t>
      </w:r>
    </w:p>
    <w:p w14:paraId="424C1FB1">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河北省财政厅《关于印发〈全面实施预算绩效管理推进工作方案〉的通知》（冀财预〔2019〕21号）；</w:t>
      </w:r>
    </w:p>
    <w:p w14:paraId="12B8088E">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河北省财政厅《关于印发</w:t>
      </w:r>
      <w:r>
        <w:rPr>
          <w:rFonts w:hint="eastAsia" w:ascii="仿宋" w:hAnsi="仿宋" w:eastAsia="仿宋" w:cs="仿宋"/>
          <w:sz w:val="32"/>
          <w:szCs w:val="32"/>
          <w:lang w:eastAsia="zh-CN"/>
        </w:rPr>
        <w:t>〈</w:t>
      </w:r>
      <w:r>
        <w:rPr>
          <w:rFonts w:hint="eastAsia" w:ascii="仿宋" w:hAnsi="仿宋" w:eastAsia="仿宋" w:cs="仿宋"/>
          <w:sz w:val="32"/>
          <w:szCs w:val="32"/>
        </w:rPr>
        <w:t>河北省革命老区转移支付资金管理办法</w:t>
      </w:r>
      <w:r>
        <w:rPr>
          <w:rFonts w:hint="eastAsia" w:ascii="仿宋" w:hAnsi="仿宋" w:eastAsia="仿宋" w:cs="仿宋"/>
          <w:sz w:val="32"/>
          <w:szCs w:val="32"/>
          <w:lang w:eastAsia="zh-CN"/>
        </w:rPr>
        <w:t>〉</w:t>
      </w:r>
      <w:r>
        <w:rPr>
          <w:rFonts w:hint="eastAsia" w:ascii="仿宋" w:hAnsi="仿宋" w:eastAsia="仿宋" w:cs="仿宋"/>
          <w:sz w:val="32"/>
          <w:szCs w:val="32"/>
        </w:rPr>
        <w:t>的通知》（冀财预〔2019〕59号）；</w:t>
      </w:r>
    </w:p>
    <w:p w14:paraId="008B3958">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7</w:t>
      </w:r>
      <w:r>
        <w:rPr>
          <w:rFonts w:hint="eastAsia" w:ascii="仿宋" w:hAnsi="仿宋" w:eastAsia="仿宋" w:cs="仿宋"/>
          <w:sz w:val="32"/>
          <w:szCs w:val="32"/>
          <w:lang w:eastAsia="zh-CN"/>
        </w:rPr>
        <w:t>）</w:t>
      </w:r>
      <w:r>
        <w:rPr>
          <w:rFonts w:hint="eastAsia" w:ascii="仿宋" w:hAnsi="仿宋" w:eastAsia="仿宋" w:cs="仿宋"/>
          <w:sz w:val="32"/>
          <w:szCs w:val="32"/>
        </w:rPr>
        <w:t>保定市徐水区财政局《关于开展2022年度财政重点绩效评价工作的通知》（徐政财字〔2022〕81号）</w:t>
      </w:r>
      <w:r>
        <w:rPr>
          <w:rFonts w:hint="eastAsia" w:ascii="仿宋" w:hAnsi="仿宋" w:eastAsia="仿宋" w:cs="仿宋"/>
          <w:sz w:val="32"/>
          <w:szCs w:val="32"/>
          <w:lang w:eastAsia="zh-CN"/>
        </w:rPr>
        <w:t>；</w:t>
      </w:r>
    </w:p>
    <w:p w14:paraId="566EC747">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sz w:val="32"/>
          <w:szCs w:val="32"/>
        </w:rPr>
        <w:t>（冀</w:t>
      </w:r>
      <w:r>
        <w:rPr>
          <w:rFonts w:hint="eastAsia" w:ascii="仿宋" w:hAnsi="仿宋" w:eastAsia="仿宋" w:cs="仿宋"/>
          <w:sz w:val="32"/>
          <w:szCs w:val="32"/>
          <w:lang w:val="en-US" w:eastAsia="zh-CN"/>
        </w:rPr>
        <w:t>财预</w:t>
      </w:r>
      <w:r>
        <w:rPr>
          <w:rFonts w:hint="eastAsia" w:ascii="仿宋" w:hAnsi="仿宋" w:eastAsia="仿宋" w:cs="仿宋"/>
          <w:sz w:val="32"/>
          <w:szCs w:val="32"/>
        </w:rPr>
        <w:t>〔201</w:t>
      </w:r>
      <w:r>
        <w:rPr>
          <w:rFonts w:hint="eastAsia" w:ascii="仿宋" w:hAnsi="仿宋" w:eastAsia="仿宋" w:cs="仿宋"/>
          <w:sz w:val="32"/>
          <w:szCs w:val="32"/>
          <w:lang w:val="en-US" w:eastAsia="zh-CN"/>
        </w:rPr>
        <w:t>9</w:t>
      </w:r>
      <w:r>
        <w:rPr>
          <w:rFonts w:hint="eastAsia" w:ascii="仿宋" w:hAnsi="仿宋" w:eastAsia="仿宋" w:cs="仿宋"/>
          <w:sz w:val="32"/>
          <w:szCs w:val="32"/>
        </w:rPr>
        <w:t>〕</w:t>
      </w:r>
      <w:r>
        <w:rPr>
          <w:rFonts w:hint="eastAsia" w:ascii="仿宋" w:hAnsi="仿宋" w:eastAsia="仿宋" w:cs="仿宋"/>
          <w:sz w:val="32"/>
          <w:szCs w:val="32"/>
          <w:lang w:val="en-US" w:eastAsia="zh-CN"/>
        </w:rPr>
        <w:t>59</w:t>
      </w:r>
      <w:r>
        <w:rPr>
          <w:rFonts w:hint="eastAsia" w:ascii="仿宋" w:hAnsi="仿宋" w:eastAsia="仿宋" w:cs="仿宋"/>
          <w:sz w:val="32"/>
          <w:szCs w:val="32"/>
        </w:rPr>
        <w:t>号）。</w:t>
      </w:r>
    </w:p>
    <w:p w14:paraId="4D5F4D83">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4.绩效评价方法</w:t>
      </w:r>
    </w:p>
    <w:p w14:paraId="1D199F80">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本次绩效评价方法主要包括成本效益法、比较法、因素分析法、公众评判法。具体如下：</w:t>
      </w:r>
      <w:r>
        <w:rPr>
          <w:rFonts w:hint="eastAsia" w:ascii="仿宋" w:hAnsi="仿宋" w:eastAsia="仿宋" w:cs="仿宋"/>
          <w:sz w:val="32"/>
          <w:szCs w:val="32"/>
        </w:rPr>
        <w:br w:type="textWrapping"/>
      </w:r>
      <w:r>
        <w:rPr>
          <w:rFonts w:hint="eastAsia" w:ascii="仿宋" w:hAnsi="仿宋" w:eastAsia="仿宋" w:cs="仿宋"/>
          <w:sz w:val="32"/>
          <w:szCs w:val="32"/>
        </w:rPr>
        <w:t xml:space="preserve">    成本效益法：是指将投入与产出、效益进行关联性分析的方法。</w:t>
      </w:r>
    </w:p>
    <w:p w14:paraId="0DC56C87">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比较法：是指将实施情况与绩效目标、历史情况、不同部门和地区同类支出情况进行比较的方法。</w:t>
      </w:r>
    </w:p>
    <w:p w14:paraId="18182316">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因素分析法：是指综合分析影响绩效目标实现、实施效果的内外部因素的方法。</w:t>
      </w:r>
    </w:p>
    <w:p w14:paraId="7524A931">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公众评判法：是指通过专家评估、公众问卷及抽样调查等方式进行评判的方法。</w:t>
      </w:r>
    </w:p>
    <w:p w14:paraId="73F12F9D">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5.绩效评价标准</w:t>
      </w:r>
    </w:p>
    <w:p w14:paraId="2CAC8D58">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计划标准：以预先制定的目标、计划、预算等作为评价标准。</w:t>
      </w:r>
    </w:p>
    <w:p w14:paraId="22BC3519">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历史标准：参照同类指标的历史数据制定评价标准。</w:t>
      </w:r>
    </w:p>
    <w:p w14:paraId="64011D0B">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行业标准：参照国家、省公布的行业指标数据作为评价标准。</w:t>
      </w:r>
    </w:p>
    <w:p w14:paraId="5D0CC5AD">
      <w:pPr>
        <w:pStyle w:val="4"/>
        <w:spacing w:before="0" w:after="0" w:line="580" w:lineRule="exact"/>
        <w:ind w:firstLine="643" w:firstLineChars="200"/>
        <w:rPr>
          <w:rFonts w:ascii="楷体" w:hAnsi="楷体" w:eastAsia="楷体" w:cs="Times New Roman"/>
        </w:rPr>
      </w:pPr>
      <w:bookmarkStart w:id="85" w:name="_Toc38452633"/>
      <w:bookmarkStart w:id="86" w:name="_Toc41137187"/>
      <w:bookmarkStart w:id="87" w:name="_Toc11275"/>
      <w:bookmarkStart w:id="88" w:name="_Toc3504"/>
      <w:bookmarkStart w:id="89" w:name="_Toc85202859"/>
      <w:bookmarkStart w:id="90" w:name="_Toc85202949"/>
      <w:bookmarkStart w:id="91" w:name="_Toc85203154"/>
      <w:bookmarkStart w:id="92" w:name="_Toc72846134"/>
      <w:bookmarkStart w:id="93" w:name="_Toc2447"/>
      <w:bookmarkStart w:id="94" w:name="_Toc38447889"/>
      <w:bookmarkStart w:id="95" w:name="_Toc89419993"/>
      <w:r>
        <w:rPr>
          <w:rFonts w:hint="eastAsia" w:ascii="楷体" w:hAnsi="楷体" w:eastAsia="楷体"/>
        </w:rPr>
        <w:t>（三）绩效评价工作过程</w:t>
      </w:r>
      <w:bookmarkEnd w:id="85"/>
      <w:bookmarkEnd w:id="86"/>
      <w:bookmarkEnd w:id="87"/>
      <w:bookmarkEnd w:id="88"/>
      <w:bookmarkEnd w:id="89"/>
      <w:bookmarkEnd w:id="90"/>
      <w:bookmarkEnd w:id="91"/>
      <w:bookmarkEnd w:id="92"/>
      <w:bookmarkEnd w:id="93"/>
      <w:bookmarkEnd w:id="94"/>
      <w:bookmarkEnd w:id="95"/>
    </w:p>
    <w:p w14:paraId="11FC607F">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本次绩效评价工作经过了前期准备、绩效评价实施方案和指标体系制定、组织实施、绩效评价报告撰写四个阶段。</w:t>
      </w:r>
    </w:p>
    <w:p w14:paraId="5254BB2A">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1.前期准备阶段</w:t>
      </w:r>
    </w:p>
    <w:p w14:paraId="09D04052">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评价组与教体局充分沟通，收集相关资料，主要包括预算绩效目标指标表、相关政策文件和管理制度、项目招投标和资金收支等资料，为制定绩效评价实施方案和指标体系确定了基础。</w:t>
      </w:r>
    </w:p>
    <w:p w14:paraId="1FAB053D">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2.制定绩效评价实施方案和指标体系</w:t>
      </w:r>
    </w:p>
    <w:p w14:paraId="4973BB5E">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基于对徐水区</w:t>
      </w:r>
      <w:r>
        <w:rPr>
          <w:rFonts w:hint="eastAsia" w:ascii="仿宋" w:hAnsi="仿宋" w:eastAsia="仿宋" w:cs="仿宋"/>
          <w:sz w:val="32"/>
          <w:szCs w:val="32"/>
          <w:lang w:val="en-US" w:eastAsia="zh-CN"/>
        </w:rPr>
        <w:t>学生课桌椅购置</w:t>
      </w:r>
      <w:r>
        <w:rPr>
          <w:rFonts w:hint="eastAsia" w:ascii="仿宋" w:hAnsi="仿宋" w:eastAsia="仿宋" w:cs="仿宋"/>
          <w:sz w:val="32"/>
          <w:szCs w:val="32"/>
        </w:rPr>
        <w:t>项目相关资料的收集和了解，我们制定了绩效评价实施方案和指标体系，由徐水区财政局相关人员对绩效评价实施方案及指标体系进行修正，确定最终方案。</w:t>
      </w:r>
    </w:p>
    <w:p w14:paraId="3465122F">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3.组织实施阶段</w:t>
      </w:r>
    </w:p>
    <w:p w14:paraId="5C9415E7">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我们根据绩效评价实施方案和指标体系，对该项目开展现场评价工作，主要包括查看项目绩效目标和指标，审查项目招投标手续和项目实施程序，核对收入支出情况，查看管理制度及执行情况，现场踏勘</w:t>
      </w:r>
      <w:r>
        <w:rPr>
          <w:rFonts w:hint="eastAsia" w:ascii="仿宋" w:hAnsi="仿宋" w:eastAsia="仿宋" w:cs="仿宋"/>
          <w:sz w:val="32"/>
          <w:szCs w:val="32"/>
          <w:lang w:val="en-US" w:eastAsia="zh-CN"/>
        </w:rPr>
        <w:t>项目</w:t>
      </w:r>
      <w:r>
        <w:rPr>
          <w:rFonts w:hint="eastAsia" w:ascii="仿宋" w:hAnsi="仿宋" w:eastAsia="仿宋" w:cs="仿宋"/>
          <w:sz w:val="32"/>
          <w:szCs w:val="32"/>
        </w:rPr>
        <w:t>情况，随机选取受益对象进行满意度调查。根据收集的数据、资料进行核对、比较、计算、分析，对该项目进行评分。</w:t>
      </w:r>
    </w:p>
    <w:p w14:paraId="34F72D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4.撰写绩效评价报告</w:t>
      </w:r>
    </w:p>
    <w:p w14:paraId="68E945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14:paraId="6B6B8D18">
      <w:pPr>
        <w:pStyle w:val="3"/>
        <w:keepNext w:val="0"/>
        <w:keepLines w:val="0"/>
        <w:pageBreakBefore w:val="0"/>
        <w:widowControl w:val="0"/>
        <w:kinsoku/>
        <w:wordWrap/>
        <w:overflowPunct/>
        <w:topLinePunct w:val="0"/>
        <w:autoSpaceDE/>
        <w:autoSpaceDN/>
        <w:bidi w:val="0"/>
        <w:adjustRightInd/>
        <w:snapToGrid/>
        <w:spacing w:line="600" w:lineRule="exact"/>
        <w:rPr>
          <w:rFonts w:eastAsia="黑体"/>
        </w:rPr>
      </w:pPr>
      <w:bookmarkStart w:id="96" w:name="_Toc85202950"/>
      <w:bookmarkStart w:id="97" w:name="_Toc72846135"/>
      <w:bookmarkStart w:id="98" w:name="_Toc89419994"/>
      <w:bookmarkStart w:id="99" w:name="_Toc14152"/>
      <w:bookmarkStart w:id="100" w:name="_Toc30072"/>
      <w:bookmarkStart w:id="101" w:name="_Toc25059"/>
      <w:bookmarkStart w:id="102" w:name="_Toc85202860"/>
      <w:bookmarkStart w:id="103" w:name="_Toc38452634"/>
      <w:bookmarkStart w:id="104" w:name="_Toc38447890"/>
      <w:bookmarkStart w:id="105" w:name="_Toc85203155"/>
      <w:bookmarkStart w:id="106" w:name="_Toc41137188"/>
      <w:r>
        <w:rPr>
          <w:rFonts w:eastAsia="黑体"/>
        </w:rPr>
        <w:t>三、综合评价情况及评价结论</w:t>
      </w:r>
      <w:bookmarkEnd w:id="96"/>
      <w:bookmarkEnd w:id="97"/>
      <w:bookmarkEnd w:id="98"/>
      <w:bookmarkEnd w:id="99"/>
      <w:bookmarkEnd w:id="100"/>
      <w:bookmarkEnd w:id="101"/>
      <w:bookmarkEnd w:id="102"/>
      <w:bookmarkEnd w:id="103"/>
      <w:bookmarkEnd w:id="104"/>
      <w:bookmarkEnd w:id="105"/>
      <w:bookmarkEnd w:id="106"/>
    </w:p>
    <w:p w14:paraId="418AA27E">
      <w:pPr>
        <w:keepNext w:val="0"/>
        <w:keepLines w:val="0"/>
        <w:pageBreakBefore w:val="0"/>
        <w:widowControl w:val="0"/>
        <w:kinsoku/>
        <w:wordWrap/>
        <w:overflowPunct/>
        <w:topLinePunct w:val="0"/>
        <w:autoSpaceDE/>
        <w:autoSpaceDN/>
        <w:bidi w:val="0"/>
        <w:adjustRightInd/>
        <w:snapToGrid/>
        <w:spacing w:after="156" w:afterLines="50"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经综合评价，该项目绩效评价综合得分</w:t>
      </w:r>
      <w:r>
        <w:rPr>
          <w:rFonts w:hint="eastAsia" w:ascii="仿宋" w:hAnsi="仿宋" w:eastAsia="仿宋" w:cs="仿宋"/>
          <w:sz w:val="32"/>
          <w:szCs w:val="32"/>
          <w:lang w:val="en-US" w:eastAsia="zh-CN"/>
        </w:rPr>
        <w:t>90</w:t>
      </w:r>
      <w:r>
        <w:rPr>
          <w:rFonts w:hint="eastAsia" w:ascii="仿宋" w:hAnsi="仿宋" w:eastAsia="仿宋" w:cs="仿宋"/>
          <w:sz w:val="32"/>
          <w:szCs w:val="32"/>
        </w:rPr>
        <w:t>分，评价等级为“</w:t>
      </w:r>
      <w:r>
        <w:rPr>
          <w:rFonts w:hint="eastAsia" w:ascii="仿宋" w:hAnsi="仿宋" w:eastAsia="仿宋" w:cs="仿宋"/>
          <w:sz w:val="32"/>
          <w:szCs w:val="32"/>
          <w:lang w:val="en-US" w:eastAsia="zh-CN"/>
        </w:rPr>
        <w:t>优</w:t>
      </w:r>
      <w:r>
        <w:rPr>
          <w:rFonts w:hint="eastAsia" w:ascii="仿宋" w:hAnsi="仿宋" w:eastAsia="仿宋" w:cs="仿宋"/>
          <w:sz w:val="32"/>
          <w:szCs w:val="32"/>
        </w:rPr>
        <w:t>”。各项得分具体情况如下：</w:t>
      </w:r>
    </w:p>
    <w:tbl>
      <w:tblPr>
        <w:tblStyle w:val="19"/>
        <w:tblW w:w="9281" w:type="dxa"/>
        <w:jc w:val="center"/>
        <w:tblLayout w:type="fixed"/>
        <w:tblCellMar>
          <w:top w:w="0" w:type="dxa"/>
          <w:left w:w="108" w:type="dxa"/>
          <w:bottom w:w="0" w:type="dxa"/>
          <w:right w:w="108" w:type="dxa"/>
        </w:tblCellMar>
      </w:tblPr>
      <w:tblGrid>
        <w:gridCol w:w="1431"/>
        <w:gridCol w:w="2898"/>
        <w:gridCol w:w="1893"/>
        <w:gridCol w:w="1502"/>
        <w:gridCol w:w="1557"/>
      </w:tblGrid>
      <w:tr w14:paraId="4AD42670">
        <w:tblPrEx>
          <w:tblCellMar>
            <w:top w:w="0" w:type="dxa"/>
            <w:left w:w="108" w:type="dxa"/>
            <w:bottom w:w="0" w:type="dxa"/>
            <w:right w:w="108" w:type="dxa"/>
          </w:tblCellMar>
        </w:tblPrEx>
        <w:trPr>
          <w:trHeight w:val="397" w:hRule="exact"/>
          <w:jc w:val="center"/>
        </w:trPr>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4FC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577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395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三级指标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C53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C58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r>
      <w:tr w14:paraId="7AEAAD6F">
        <w:tblPrEx>
          <w:tblCellMar>
            <w:top w:w="0" w:type="dxa"/>
            <w:left w:w="108" w:type="dxa"/>
            <w:bottom w:w="0" w:type="dxa"/>
            <w:right w:w="108" w:type="dxa"/>
          </w:tblCellMar>
        </w:tblPrEx>
        <w:trPr>
          <w:trHeight w:val="397"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89B3B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0B11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r>
              <w:rPr>
                <w:rFonts w:ascii="宋体" w:hAnsi="宋体" w:cs="宋体"/>
                <w:color w:val="000000"/>
                <w:kern w:val="0"/>
                <w:szCs w:val="21"/>
                <w:lang w:bidi="ar"/>
              </w:rPr>
              <w:t>6</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0CA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立项依据充分性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514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F107">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14:paraId="3DCD608F">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602A7">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F0F23">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396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立项程序规范性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4E69">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EDA9">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2</w:t>
            </w:r>
          </w:p>
        </w:tc>
      </w:tr>
      <w:tr w14:paraId="7701D434">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68106">
            <w:pPr>
              <w:jc w:val="center"/>
              <w:rPr>
                <w:rFonts w:ascii="宋体" w:hAnsi="宋体" w:cs="宋体"/>
                <w:color w:val="000000"/>
                <w:szCs w:val="21"/>
              </w:rPr>
            </w:pP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EAA5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400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绩效目标合理性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CFA3">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A0BC">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14:paraId="50922F3F">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EA3C6">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2D431">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09E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绩效指标明确性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4476">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D08A">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val="en-US" w:eastAsia="zh-CN" w:bidi="ar"/>
              </w:rPr>
              <w:t>3</w:t>
            </w:r>
          </w:p>
        </w:tc>
      </w:tr>
      <w:tr w14:paraId="3E5716E3">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CA437">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E9B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r>
              <w:rPr>
                <w:rFonts w:ascii="宋体" w:hAnsi="宋体" w:cs="宋体"/>
                <w:color w:val="000000"/>
                <w:kern w:val="0"/>
                <w:szCs w:val="21"/>
                <w:lang w:bidi="ar"/>
              </w:rPr>
              <w:t>4</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7F0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预算编制科学性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5F27">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20ED">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2</w:t>
            </w:r>
          </w:p>
        </w:tc>
      </w:tr>
      <w:tr w14:paraId="1CC07D86">
        <w:tblPrEx>
          <w:tblCellMar>
            <w:top w:w="0" w:type="dxa"/>
            <w:left w:w="108" w:type="dxa"/>
            <w:bottom w:w="0" w:type="dxa"/>
            <w:right w:w="108" w:type="dxa"/>
          </w:tblCellMar>
        </w:tblPrEx>
        <w:trPr>
          <w:trHeight w:val="397"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9E51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ascii="宋体" w:hAnsi="宋体" w:cs="宋体"/>
                <w:color w:val="000000"/>
                <w:kern w:val="0"/>
                <w:szCs w:val="21"/>
                <w:lang w:bidi="ar"/>
              </w:rPr>
              <w:t>2</w:t>
            </w:r>
            <w:r>
              <w:rPr>
                <w:rFonts w:hint="eastAsia" w:ascii="宋体" w:hAnsi="宋体" w:cs="宋体"/>
                <w:color w:val="000000"/>
                <w:kern w:val="0"/>
                <w:szCs w:val="21"/>
                <w:lang w:bidi="ar"/>
              </w:rPr>
              <w:t>分）</w:t>
            </w: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5A00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r>
              <w:rPr>
                <w:rFonts w:ascii="宋体" w:hAnsi="宋体" w:cs="宋体"/>
                <w:color w:val="000000"/>
                <w:kern w:val="0"/>
                <w:szCs w:val="21"/>
                <w:lang w:bidi="ar"/>
              </w:rPr>
              <w:t>13</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ED2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资金到位率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E78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E9D8">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4</w:t>
            </w:r>
          </w:p>
        </w:tc>
      </w:tr>
      <w:tr w14:paraId="2AAA13E8">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0A2CC">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2D60D">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386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预算执行率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48EA">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42D5">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14:paraId="7C8BE489">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4BD3A">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84691">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913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资金使用合规性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5CB3">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C0FF">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5</w:t>
            </w:r>
          </w:p>
        </w:tc>
      </w:tr>
      <w:tr w14:paraId="6EE27B11">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919AB">
            <w:pPr>
              <w:jc w:val="center"/>
              <w:rPr>
                <w:rFonts w:ascii="宋体" w:hAnsi="宋体" w:cs="宋体"/>
                <w:color w:val="000000"/>
                <w:szCs w:val="21"/>
                <w:highlight w:val="yellow"/>
              </w:rPr>
            </w:pP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338AF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r>
              <w:rPr>
                <w:rFonts w:ascii="宋体" w:hAnsi="宋体" w:cs="宋体"/>
                <w:color w:val="000000"/>
                <w:kern w:val="0"/>
                <w:szCs w:val="21"/>
                <w:lang w:bidi="ar"/>
              </w:rPr>
              <w:t>9</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26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管理制度健全性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C2ED">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2A9D">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14:paraId="5583ACB0">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40461">
            <w:pPr>
              <w:jc w:val="center"/>
              <w:rPr>
                <w:rFonts w:ascii="宋体" w:hAnsi="宋体" w:cs="宋体"/>
                <w:color w:val="000000"/>
                <w:szCs w:val="21"/>
                <w:highlight w:val="yellow"/>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CC400">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242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制度执行有效性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EDEE">
            <w:pPr>
              <w:widowControl/>
              <w:jc w:val="center"/>
              <w:textAlignment w:val="center"/>
              <w:rPr>
                <w:rFonts w:ascii="宋体" w:hAnsi="宋体" w:cs="宋体"/>
                <w:color w:val="000000"/>
                <w:szCs w:val="21"/>
              </w:rPr>
            </w:pPr>
            <w:r>
              <w:rPr>
                <w:rFonts w:ascii="宋体" w:hAnsi="宋体" w:cs="宋体"/>
                <w:color w:val="000000"/>
                <w:kern w:val="0"/>
                <w:szCs w:val="21"/>
                <w:lang w:bidi="ar"/>
              </w:rPr>
              <w:t>5</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6443">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2</w:t>
            </w:r>
          </w:p>
        </w:tc>
      </w:tr>
      <w:tr w14:paraId="0D90F9F7">
        <w:tblPrEx>
          <w:tblCellMar>
            <w:top w:w="0" w:type="dxa"/>
            <w:left w:w="108" w:type="dxa"/>
            <w:bottom w:w="0" w:type="dxa"/>
            <w:right w:w="108" w:type="dxa"/>
          </w:tblCellMar>
        </w:tblPrEx>
        <w:trPr>
          <w:trHeight w:val="369"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A329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32</w:t>
            </w:r>
            <w:r>
              <w:rPr>
                <w:rFonts w:hint="eastAsia" w:ascii="宋体" w:hAnsi="宋体" w:cs="宋体"/>
                <w:color w:val="000000"/>
                <w:kern w:val="0"/>
                <w:szCs w:val="21"/>
                <w:lang w:bidi="ar"/>
              </w:rPr>
              <w:t>分）</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943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6DCF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实际完成率 </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4D0E">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3F55">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14:paraId="623DC627">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92D87">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E16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724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质量达标率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DD42">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360C">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14:paraId="6842DE30">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1776C">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79E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BAC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完成及时性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21A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8F9D">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14:paraId="5FBB41A2">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A42A2">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C59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752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成本节约率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5FB8">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6EED">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14:paraId="190AF615">
        <w:tblPrEx>
          <w:tblCellMar>
            <w:top w:w="0" w:type="dxa"/>
            <w:left w:w="108" w:type="dxa"/>
            <w:bottom w:w="0" w:type="dxa"/>
            <w:right w:w="108" w:type="dxa"/>
          </w:tblCellMar>
        </w:tblPrEx>
        <w:trPr>
          <w:trHeight w:val="369"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A8D1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AFE2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                 （</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925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社会效益</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8201">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648C">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9</w:t>
            </w:r>
          </w:p>
        </w:tc>
      </w:tr>
      <w:tr w14:paraId="4941E887">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A6793">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70E94">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08E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可持续影响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23E0">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29C8">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9</w:t>
            </w:r>
          </w:p>
        </w:tc>
      </w:tr>
      <w:tr w14:paraId="3B9DAC59">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B5C73">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86B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r>
              <w:rPr>
                <w:rFonts w:ascii="宋体" w:hAnsi="宋体" w:cs="宋体"/>
                <w:color w:val="000000"/>
                <w:kern w:val="0"/>
                <w:szCs w:val="21"/>
                <w:lang w:bidi="ar"/>
              </w:rPr>
              <w:t>10</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76F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受益对象满意度</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F3AC7">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0BC9">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10</w:t>
            </w:r>
          </w:p>
        </w:tc>
      </w:tr>
      <w:tr w14:paraId="063C3820">
        <w:tblPrEx>
          <w:tblCellMar>
            <w:top w:w="0" w:type="dxa"/>
            <w:left w:w="108" w:type="dxa"/>
            <w:bottom w:w="0" w:type="dxa"/>
            <w:right w:w="108" w:type="dxa"/>
          </w:tblCellMar>
        </w:tblPrEx>
        <w:trPr>
          <w:trHeight w:val="369" w:hRule="exact"/>
          <w:jc w:val="center"/>
        </w:trPr>
        <w:tc>
          <w:tcPr>
            <w:tcW w:w="622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A4E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6C1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9A58">
            <w:pPr>
              <w:widowControl/>
              <w:jc w:val="center"/>
              <w:textAlignment w:val="center"/>
              <w:rPr>
                <w:rFonts w:hint="default" w:ascii="宋体" w:hAnsi="宋体" w:eastAsia="宋体" w:cs="宋体"/>
                <w:color w:val="000000"/>
                <w:szCs w:val="21"/>
                <w:highlight w:val="yellow"/>
                <w:lang w:val="en-US" w:eastAsia="zh-CN"/>
              </w:rPr>
            </w:pPr>
            <w:r>
              <w:rPr>
                <w:rFonts w:hint="eastAsia" w:ascii="宋体" w:hAnsi="宋体" w:cs="宋体"/>
                <w:color w:val="000000"/>
                <w:szCs w:val="21"/>
                <w:lang w:val="en-US" w:eastAsia="zh-CN"/>
              </w:rPr>
              <w:t>90</w:t>
            </w:r>
          </w:p>
        </w:tc>
      </w:tr>
    </w:tbl>
    <w:p w14:paraId="7828D223">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结合项目决策、过程、产出、效益及绩效评价指标体系等内容，对该项目作出如下评价：</w:t>
      </w:r>
    </w:p>
    <w:p w14:paraId="4A7EF691">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从资金支持方向看</w:t>
      </w:r>
      <w:r>
        <w:rPr>
          <w:rFonts w:hint="eastAsia" w:ascii="仿宋" w:hAnsi="仿宋" w:eastAsia="仿宋" w:cs="仿宋"/>
          <w:sz w:val="32"/>
          <w:szCs w:val="32"/>
          <w:lang w:val="en-US" w:eastAsia="zh-CN"/>
        </w:rPr>
        <w:t>，该项目是教育事业发展项目，属于民生事务的一部分，符合革命老区转移支付资金的支持范围。</w:t>
      </w:r>
    </w:p>
    <w:p w14:paraId="0B2BF62E">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从项目产出看</w:t>
      </w:r>
      <w:r>
        <w:rPr>
          <w:rFonts w:hint="eastAsia" w:ascii="仿宋" w:hAnsi="仿宋" w:eastAsia="仿宋" w:cs="仿宋"/>
          <w:sz w:val="32"/>
          <w:szCs w:val="32"/>
          <w:lang w:val="en-US" w:eastAsia="zh-CN"/>
        </w:rPr>
        <w:t>，</w:t>
      </w:r>
      <w:r>
        <w:rPr>
          <w:rFonts w:hint="eastAsia" w:ascii="仿宋" w:hAnsi="仿宋" w:eastAsia="仿宋" w:cs="仿宋"/>
          <w:sz w:val="32"/>
          <w:szCs w:val="32"/>
        </w:rPr>
        <w:t>该项目立项后，教体局积极开展工作，委托招标代理公司选定</w:t>
      </w:r>
      <w:r>
        <w:rPr>
          <w:rFonts w:hint="eastAsia" w:ascii="仿宋" w:hAnsi="仿宋" w:eastAsia="仿宋" w:cs="仿宋"/>
          <w:sz w:val="32"/>
          <w:szCs w:val="32"/>
          <w:lang w:val="en-US" w:eastAsia="zh-CN"/>
        </w:rPr>
        <w:t>供应商</w:t>
      </w:r>
      <w:r>
        <w:rPr>
          <w:rFonts w:hint="eastAsia" w:ascii="仿宋" w:hAnsi="仿宋" w:eastAsia="仿宋" w:cs="仿宋"/>
          <w:sz w:val="32"/>
          <w:szCs w:val="32"/>
        </w:rPr>
        <w:t>，项目完工后安排验收工作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按时完成了55所学校、购置升降课桌椅9769套的目标。</w:t>
      </w:r>
    </w:p>
    <w:p w14:paraId="33932032">
      <w:pPr>
        <w:spacing w:line="58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从项目的效果看，</w:t>
      </w:r>
      <w:r>
        <w:rPr>
          <w:rFonts w:hint="eastAsia" w:ascii="仿宋" w:hAnsi="仿宋" w:eastAsia="仿宋" w:cs="仿宋"/>
          <w:sz w:val="32"/>
          <w:szCs w:val="32"/>
          <w:lang w:val="en-US" w:eastAsia="zh-CN"/>
        </w:rPr>
        <w:t>学生课桌椅购置项目</w:t>
      </w:r>
      <w:r>
        <w:rPr>
          <w:rFonts w:hint="eastAsia" w:ascii="仿宋" w:hAnsi="仿宋" w:eastAsia="仿宋" w:cs="仿宋"/>
          <w:sz w:val="32"/>
          <w:szCs w:val="32"/>
        </w:rPr>
        <w:t>有效缓解</w:t>
      </w:r>
      <w:r>
        <w:rPr>
          <w:rFonts w:hint="eastAsia" w:ascii="仿宋" w:hAnsi="仿宋" w:eastAsia="仿宋" w:cs="仿宋"/>
          <w:sz w:val="32"/>
          <w:szCs w:val="32"/>
          <w:lang w:val="en-US" w:eastAsia="zh-CN"/>
        </w:rPr>
        <w:t>了徐水区学生课桌椅破旧的问题</w:t>
      </w:r>
      <w:r>
        <w:rPr>
          <w:rFonts w:hint="eastAsia" w:ascii="仿宋" w:hAnsi="仿宋" w:eastAsia="仿宋" w:cs="仿宋"/>
          <w:sz w:val="32"/>
          <w:szCs w:val="32"/>
        </w:rPr>
        <w:t>，满足</w:t>
      </w:r>
      <w:r>
        <w:rPr>
          <w:rFonts w:hint="eastAsia" w:ascii="仿宋" w:hAnsi="仿宋" w:eastAsia="仿宋" w:cs="仿宋"/>
          <w:sz w:val="32"/>
          <w:szCs w:val="32"/>
          <w:lang w:val="en-US" w:eastAsia="zh-CN"/>
        </w:rPr>
        <w:t>了学生对优质学习环境的需求，</w:t>
      </w:r>
      <w:r>
        <w:rPr>
          <w:rFonts w:hint="eastAsia" w:ascii="仿宋" w:hAnsi="仿宋" w:eastAsia="仿宋" w:cs="仿宋"/>
          <w:sz w:val="32"/>
          <w:szCs w:val="32"/>
        </w:rPr>
        <w:t>提升了</w:t>
      </w:r>
      <w:r>
        <w:rPr>
          <w:rFonts w:hint="eastAsia" w:ascii="仿宋" w:hAnsi="仿宋" w:eastAsia="仿宋" w:cs="仿宋"/>
          <w:sz w:val="32"/>
          <w:szCs w:val="32"/>
          <w:lang w:val="en-US" w:eastAsia="zh-CN"/>
        </w:rPr>
        <w:t>徐水区现有办学条件</w:t>
      </w:r>
      <w:r>
        <w:rPr>
          <w:rFonts w:hint="eastAsia" w:ascii="仿宋" w:hAnsi="仿宋" w:eastAsia="仿宋" w:cs="仿宋"/>
          <w:sz w:val="32"/>
          <w:szCs w:val="32"/>
        </w:rPr>
        <w:t>。该项目的社会公众或服务对象满意度较高。</w:t>
      </w:r>
    </w:p>
    <w:p w14:paraId="6009984E">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通过本次绩效评价工作，我们也发现该项目在决策</w:t>
      </w:r>
      <w:r>
        <w:rPr>
          <w:rFonts w:hint="eastAsia" w:ascii="仿宋" w:hAnsi="仿宋" w:eastAsia="仿宋" w:cs="仿宋"/>
          <w:sz w:val="32"/>
          <w:szCs w:val="32"/>
          <w:lang w:val="en-US" w:eastAsia="zh-CN"/>
        </w:rPr>
        <w:t>和</w:t>
      </w:r>
      <w:r>
        <w:rPr>
          <w:rFonts w:hint="eastAsia" w:ascii="仿宋" w:hAnsi="仿宋" w:eastAsia="仿宋" w:cs="仿宋"/>
          <w:sz w:val="32"/>
          <w:szCs w:val="32"/>
        </w:rPr>
        <w:t>过程方面还存在一些不足之处。如</w:t>
      </w:r>
      <w:r>
        <w:rPr>
          <w:rFonts w:hint="eastAsia" w:ascii="仿宋" w:hAnsi="仿宋" w:eastAsia="仿宋" w:cs="仿宋"/>
          <w:sz w:val="32"/>
          <w:szCs w:val="32"/>
          <w:lang w:val="en-US" w:eastAsia="zh-CN"/>
        </w:rPr>
        <w:t>项目前期准备</w:t>
      </w:r>
      <w:r>
        <w:rPr>
          <w:rFonts w:hint="eastAsia" w:ascii="仿宋" w:hAnsi="仿宋" w:eastAsia="仿宋" w:cs="仿宋"/>
          <w:sz w:val="32"/>
          <w:szCs w:val="32"/>
        </w:rPr>
        <w:t>工作还有待加强，项目管理工作还有待提升</w:t>
      </w:r>
      <w:r>
        <w:rPr>
          <w:rFonts w:hint="eastAsia" w:ascii="仿宋" w:hAnsi="仿宋" w:eastAsia="仿宋" w:cs="仿宋"/>
          <w:sz w:val="32"/>
          <w:szCs w:val="32"/>
          <w:lang w:val="en-US" w:eastAsia="zh-CN"/>
        </w:rPr>
        <w:t>等</w:t>
      </w:r>
      <w:r>
        <w:rPr>
          <w:rFonts w:hint="eastAsia" w:ascii="仿宋" w:hAnsi="仿宋" w:eastAsia="仿宋" w:cs="仿宋"/>
          <w:sz w:val="32"/>
          <w:szCs w:val="32"/>
        </w:rPr>
        <w:t>。</w:t>
      </w:r>
    </w:p>
    <w:p w14:paraId="195B707D">
      <w:pPr>
        <w:pStyle w:val="3"/>
        <w:spacing w:line="580" w:lineRule="exact"/>
        <w:rPr>
          <w:rFonts w:eastAsia="黑体"/>
        </w:rPr>
      </w:pPr>
      <w:bookmarkStart w:id="107" w:name="_Toc3561"/>
      <w:bookmarkStart w:id="108" w:name="_Toc89419995"/>
      <w:bookmarkStart w:id="109" w:name="_Toc38447891"/>
      <w:bookmarkStart w:id="110" w:name="_Toc85202861"/>
      <w:bookmarkStart w:id="111" w:name="_Toc85202951"/>
      <w:bookmarkStart w:id="112" w:name="_Toc38452635"/>
      <w:bookmarkStart w:id="113" w:name="_Toc72846136"/>
      <w:bookmarkStart w:id="114" w:name="_Toc22272"/>
      <w:bookmarkStart w:id="115" w:name="_Toc25520"/>
      <w:bookmarkStart w:id="116" w:name="_Toc85203156"/>
      <w:bookmarkStart w:id="117" w:name="_Toc41137189"/>
      <w:r>
        <w:rPr>
          <w:rFonts w:eastAsia="黑体"/>
        </w:rPr>
        <w:t>四、绩效评价指标分析</w:t>
      </w:r>
      <w:bookmarkEnd w:id="107"/>
      <w:bookmarkEnd w:id="108"/>
      <w:bookmarkEnd w:id="109"/>
      <w:bookmarkEnd w:id="110"/>
      <w:bookmarkEnd w:id="111"/>
      <w:bookmarkEnd w:id="112"/>
      <w:bookmarkEnd w:id="113"/>
      <w:bookmarkEnd w:id="114"/>
      <w:bookmarkEnd w:id="115"/>
      <w:bookmarkEnd w:id="116"/>
      <w:bookmarkEnd w:id="117"/>
    </w:p>
    <w:p w14:paraId="3E813907">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通过对教体局提供的项目资料进行检查和现场实地查看，该项目综合得分</w:t>
      </w:r>
      <w:r>
        <w:rPr>
          <w:rFonts w:hint="eastAsia" w:ascii="仿宋" w:hAnsi="仿宋" w:eastAsia="仿宋" w:cs="仿宋"/>
          <w:sz w:val="32"/>
          <w:szCs w:val="32"/>
          <w:lang w:val="en-US" w:eastAsia="zh-CN"/>
        </w:rPr>
        <w:t>90</w:t>
      </w:r>
      <w:r>
        <w:rPr>
          <w:rFonts w:hint="eastAsia" w:ascii="仿宋" w:hAnsi="仿宋" w:eastAsia="仿宋" w:cs="仿宋"/>
          <w:sz w:val="32"/>
          <w:szCs w:val="32"/>
        </w:rPr>
        <w:t>分，评价等级为“</w:t>
      </w:r>
      <w:r>
        <w:rPr>
          <w:rFonts w:hint="eastAsia" w:ascii="仿宋" w:hAnsi="仿宋" w:eastAsia="仿宋" w:cs="仿宋"/>
          <w:sz w:val="32"/>
          <w:szCs w:val="32"/>
          <w:lang w:val="en-US" w:eastAsia="zh-CN"/>
        </w:rPr>
        <w:t>优</w:t>
      </w:r>
      <w:r>
        <w:rPr>
          <w:rFonts w:hint="eastAsia" w:ascii="仿宋" w:hAnsi="仿宋" w:eastAsia="仿宋" w:cs="仿宋"/>
          <w:sz w:val="32"/>
          <w:szCs w:val="32"/>
        </w:rPr>
        <w:t>”。具体得分如下：</w:t>
      </w:r>
    </w:p>
    <w:tbl>
      <w:tblPr>
        <w:tblStyle w:val="19"/>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001"/>
        <w:gridCol w:w="2001"/>
        <w:gridCol w:w="1396"/>
        <w:gridCol w:w="1793"/>
      </w:tblGrid>
      <w:tr w14:paraId="4837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92" w:type="dxa"/>
            <w:shd w:val="clear" w:color="auto" w:fill="auto"/>
            <w:vAlign w:val="center"/>
          </w:tcPr>
          <w:p w14:paraId="486EB18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2001" w:type="dxa"/>
            <w:shd w:val="clear" w:color="auto" w:fill="auto"/>
            <w:vAlign w:val="center"/>
          </w:tcPr>
          <w:p w14:paraId="00A748F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2001" w:type="dxa"/>
            <w:shd w:val="clear" w:color="auto" w:fill="auto"/>
            <w:vAlign w:val="center"/>
          </w:tcPr>
          <w:p w14:paraId="5981EC3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1396" w:type="dxa"/>
            <w:shd w:val="clear" w:color="auto" w:fill="auto"/>
            <w:vAlign w:val="center"/>
          </w:tcPr>
          <w:p w14:paraId="6BE4A2F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c>
          <w:tcPr>
            <w:tcW w:w="1793" w:type="dxa"/>
            <w:shd w:val="clear" w:color="auto" w:fill="auto"/>
            <w:vAlign w:val="center"/>
          </w:tcPr>
          <w:p w14:paraId="2C1245C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得分率</w:t>
            </w:r>
          </w:p>
        </w:tc>
      </w:tr>
      <w:tr w14:paraId="2BFD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restart"/>
            <w:shd w:val="clear" w:color="auto" w:fill="auto"/>
            <w:vAlign w:val="center"/>
          </w:tcPr>
          <w:p w14:paraId="72F495E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2001" w:type="dxa"/>
            <w:shd w:val="clear" w:color="auto" w:fill="auto"/>
            <w:vAlign w:val="center"/>
          </w:tcPr>
          <w:p w14:paraId="253B0E8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p>
        </w:tc>
        <w:tc>
          <w:tcPr>
            <w:tcW w:w="2001" w:type="dxa"/>
            <w:shd w:val="clear" w:color="auto" w:fill="auto"/>
            <w:vAlign w:val="center"/>
          </w:tcPr>
          <w:p w14:paraId="720FFCE5">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396" w:type="dxa"/>
            <w:shd w:val="clear" w:color="auto" w:fill="auto"/>
            <w:vAlign w:val="center"/>
          </w:tcPr>
          <w:p w14:paraId="0ADA4822">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5</w:t>
            </w:r>
          </w:p>
        </w:tc>
        <w:tc>
          <w:tcPr>
            <w:tcW w:w="1793" w:type="dxa"/>
            <w:shd w:val="clear" w:color="auto" w:fill="auto"/>
            <w:noWrap/>
            <w:vAlign w:val="center"/>
          </w:tcPr>
          <w:p w14:paraId="3FB681A1">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83.33%</w:t>
            </w:r>
          </w:p>
        </w:tc>
      </w:tr>
      <w:tr w14:paraId="5054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14:paraId="3D694F54">
            <w:pPr>
              <w:jc w:val="center"/>
              <w:rPr>
                <w:rFonts w:ascii="宋体" w:hAnsi="宋体" w:cs="宋体"/>
                <w:color w:val="000000"/>
                <w:szCs w:val="21"/>
              </w:rPr>
            </w:pPr>
          </w:p>
        </w:tc>
        <w:tc>
          <w:tcPr>
            <w:tcW w:w="2001" w:type="dxa"/>
            <w:shd w:val="clear" w:color="auto" w:fill="auto"/>
            <w:vAlign w:val="center"/>
          </w:tcPr>
          <w:p w14:paraId="3EDC200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p>
        </w:tc>
        <w:tc>
          <w:tcPr>
            <w:tcW w:w="2001" w:type="dxa"/>
            <w:shd w:val="clear" w:color="auto" w:fill="auto"/>
            <w:vAlign w:val="center"/>
          </w:tcPr>
          <w:p w14:paraId="4782B20C">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14:paraId="255907E4">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6</w:t>
            </w:r>
          </w:p>
        </w:tc>
        <w:tc>
          <w:tcPr>
            <w:tcW w:w="1793" w:type="dxa"/>
            <w:shd w:val="clear" w:color="auto" w:fill="auto"/>
            <w:noWrap/>
            <w:vAlign w:val="center"/>
          </w:tcPr>
          <w:p w14:paraId="5BA465E6">
            <w:pPr>
              <w:keepNext w:val="0"/>
              <w:keepLines w:val="0"/>
              <w:widowControl/>
              <w:suppressLineNumbers w:val="0"/>
              <w:jc w:val="center"/>
              <w:textAlignment w:val="center"/>
              <w:rPr>
                <w:rFonts w:ascii="宋体" w:hAnsi="宋体" w:cs="宋体"/>
                <w:color w:val="000000"/>
                <w:szCs w:val="21"/>
              </w:rPr>
            </w:pPr>
            <w:r>
              <w:rPr>
                <w:rFonts w:hint="eastAsia" w:ascii="宋体" w:hAnsi="宋体" w:cs="宋体"/>
                <w:i w:val="0"/>
                <w:iCs w:val="0"/>
                <w:color w:val="000000"/>
                <w:kern w:val="0"/>
                <w:sz w:val="21"/>
                <w:szCs w:val="21"/>
                <w:u w:val="none"/>
                <w:lang w:val="en-US" w:eastAsia="zh-CN" w:bidi="ar"/>
              </w:rPr>
              <w:t>75.0</w:t>
            </w:r>
            <w:r>
              <w:rPr>
                <w:rFonts w:hint="eastAsia" w:ascii="宋体" w:hAnsi="宋体" w:eastAsia="宋体" w:cs="宋体"/>
                <w:i w:val="0"/>
                <w:iCs w:val="0"/>
                <w:color w:val="000000"/>
                <w:kern w:val="0"/>
                <w:sz w:val="21"/>
                <w:szCs w:val="21"/>
                <w:u w:val="none"/>
                <w:lang w:val="en-US" w:eastAsia="zh-CN" w:bidi="ar"/>
              </w:rPr>
              <w:t>0%</w:t>
            </w:r>
          </w:p>
        </w:tc>
      </w:tr>
      <w:tr w14:paraId="215E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14:paraId="0C3F2770">
            <w:pPr>
              <w:jc w:val="center"/>
              <w:rPr>
                <w:rFonts w:ascii="宋体" w:hAnsi="宋体" w:cs="宋体"/>
                <w:color w:val="000000"/>
                <w:szCs w:val="21"/>
              </w:rPr>
            </w:pPr>
          </w:p>
        </w:tc>
        <w:tc>
          <w:tcPr>
            <w:tcW w:w="2001" w:type="dxa"/>
            <w:shd w:val="clear" w:color="auto" w:fill="auto"/>
            <w:vAlign w:val="center"/>
          </w:tcPr>
          <w:p w14:paraId="13688CB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p>
        </w:tc>
        <w:tc>
          <w:tcPr>
            <w:tcW w:w="2001" w:type="dxa"/>
            <w:shd w:val="clear" w:color="auto" w:fill="auto"/>
            <w:vAlign w:val="center"/>
          </w:tcPr>
          <w:p w14:paraId="32F0A3F9">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396" w:type="dxa"/>
            <w:shd w:val="clear" w:color="auto" w:fill="auto"/>
            <w:vAlign w:val="center"/>
          </w:tcPr>
          <w:p w14:paraId="556F5892">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c>
          <w:tcPr>
            <w:tcW w:w="1793" w:type="dxa"/>
            <w:shd w:val="clear" w:color="auto" w:fill="auto"/>
            <w:noWrap/>
            <w:vAlign w:val="center"/>
          </w:tcPr>
          <w:p w14:paraId="248E12AD">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50.00%</w:t>
            </w:r>
          </w:p>
        </w:tc>
      </w:tr>
      <w:tr w14:paraId="1605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14:paraId="078D052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决策部分小计</w:t>
            </w:r>
          </w:p>
        </w:tc>
        <w:tc>
          <w:tcPr>
            <w:tcW w:w="2001" w:type="dxa"/>
            <w:shd w:val="clear" w:color="auto" w:fill="auto"/>
            <w:vAlign w:val="center"/>
          </w:tcPr>
          <w:p w14:paraId="39410B54">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1396" w:type="dxa"/>
            <w:shd w:val="clear" w:color="auto" w:fill="auto"/>
            <w:vAlign w:val="center"/>
          </w:tcPr>
          <w:p w14:paraId="28AE459C">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13</w:t>
            </w:r>
          </w:p>
        </w:tc>
        <w:tc>
          <w:tcPr>
            <w:tcW w:w="1793" w:type="dxa"/>
            <w:shd w:val="clear" w:color="auto" w:fill="auto"/>
            <w:noWrap/>
            <w:vAlign w:val="center"/>
          </w:tcPr>
          <w:p w14:paraId="35AE5FC3">
            <w:pPr>
              <w:keepNext w:val="0"/>
              <w:keepLines w:val="0"/>
              <w:widowControl/>
              <w:suppressLineNumbers w:val="0"/>
              <w:jc w:val="center"/>
              <w:textAlignment w:val="center"/>
              <w:rPr>
                <w:rFonts w:ascii="宋体" w:hAnsi="宋体" w:cs="宋体"/>
                <w:color w:val="000000"/>
                <w:szCs w:val="21"/>
              </w:rPr>
            </w:pPr>
            <w:r>
              <w:rPr>
                <w:rFonts w:hint="eastAsia" w:ascii="宋体" w:hAnsi="宋体" w:cs="宋体"/>
                <w:i w:val="0"/>
                <w:iCs w:val="0"/>
                <w:color w:val="000000"/>
                <w:kern w:val="0"/>
                <w:sz w:val="21"/>
                <w:szCs w:val="21"/>
                <w:u w:val="none"/>
                <w:lang w:val="en-US" w:eastAsia="zh-CN" w:bidi="ar"/>
              </w:rPr>
              <w:t>72.22</w:t>
            </w:r>
            <w:r>
              <w:rPr>
                <w:rFonts w:hint="eastAsia" w:ascii="宋体" w:hAnsi="宋体" w:eastAsia="宋体" w:cs="宋体"/>
                <w:i w:val="0"/>
                <w:iCs w:val="0"/>
                <w:color w:val="000000"/>
                <w:kern w:val="0"/>
                <w:sz w:val="21"/>
                <w:szCs w:val="21"/>
                <w:u w:val="none"/>
                <w:lang w:val="en-US" w:eastAsia="zh-CN" w:bidi="ar"/>
              </w:rPr>
              <w:t>%</w:t>
            </w:r>
          </w:p>
        </w:tc>
      </w:tr>
      <w:tr w14:paraId="7E45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restart"/>
            <w:shd w:val="clear" w:color="auto" w:fill="auto"/>
            <w:vAlign w:val="center"/>
          </w:tcPr>
          <w:p w14:paraId="5A8FAD8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22</w:t>
            </w:r>
            <w:r>
              <w:rPr>
                <w:rFonts w:hint="eastAsia" w:ascii="宋体" w:hAnsi="宋体" w:cs="宋体"/>
                <w:color w:val="000000"/>
                <w:kern w:val="0"/>
                <w:szCs w:val="21"/>
                <w:lang w:bidi="ar"/>
              </w:rPr>
              <w:t>分）</w:t>
            </w:r>
          </w:p>
        </w:tc>
        <w:tc>
          <w:tcPr>
            <w:tcW w:w="2001" w:type="dxa"/>
            <w:shd w:val="clear" w:color="auto" w:fill="auto"/>
            <w:vAlign w:val="center"/>
          </w:tcPr>
          <w:p w14:paraId="5CB57A5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p>
        </w:tc>
        <w:tc>
          <w:tcPr>
            <w:tcW w:w="2001" w:type="dxa"/>
            <w:shd w:val="clear" w:color="auto" w:fill="auto"/>
            <w:vAlign w:val="center"/>
          </w:tcPr>
          <w:p w14:paraId="26480602">
            <w:pPr>
              <w:widowControl/>
              <w:jc w:val="center"/>
              <w:textAlignment w:val="center"/>
              <w:rPr>
                <w:rFonts w:ascii="宋体" w:hAnsi="宋体" w:cs="宋体"/>
                <w:color w:val="000000"/>
                <w:szCs w:val="21"/>
              </w:rPr>
            </w:pPr>
            <w:r>
              <w:rPr>
                <w:rFonts w:ascii="宋体" w:hAnsi="宋体" w:cs="宋体"/>
                <w:color w:val="000000"/>
                <w:kern w:val="0"/>
                <w:szCs w:val="21"/>
                <w:lang w:bidi="ar"/>
              </w:rPr>
              <w:t>13</w:t>
            </w:r>
          </w:p>
        </w:tc>
        <w:tc>
          <w:tcPr>
            <w:tcW w:w="1396" w:type="dxa"/>
            <w:shd w:val="clear" w:color="auto" w:fill="auto"/>
            <w:vAlign w:val="center"/>
          </w:tcPr>
          <w:p w14:paraId="1FAAE018">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12</w:t>
            </w:r>
          </w:p>
        </w:tc>
        <w:tc>
          <w:tcPr>
            <w:tcW w:w="1793" w:type="dxa"/>
            <w:shd w:val="clear" w:color="auto" w:fill="auto"/>
            <w:noWrap/>
            <w:vAlign w:val="center"/>
          </w:tcPr>
          <w:p w14:paraId="7AF7417B">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92.31%</w:t>
            </w:r>
          </w:p>
        </w:tc>
      </w:tr>
      <w:tr w14:paraId="718B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14:paraId="531B823E">
            <w:pPr>
              <w:jc w:val="center"/>
              <w:rPr>
                <w:rFonts w:ascii="宋体" w:hAnsi="宋体" w:cs="宋体"/>
                <w:color w:val="000000"/>
                <w:szCs w:val="21"/>
              </w:rPr>
            </w:pPr>
          </w:p>
        </w:tc>
        <w:tc>
          <w:tcPr>
            <w:tcW w:w="2001" w:type="dxa"/>
            <w:shd w:val="clear" w:color="auto" w:fill="auto"/>
            <w:vAlign w:val="center"/>
          </w:tcPr>
          <w:p w14:paraId="6EA3441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p>
        </w:tc>
        <w:tc>
          <w:tcPr>
            <w:tcW w:w="2001" w:type="dxa"/>
            <w:shd w:val="clear" w:color="auto" w:fill="auto"/>
            <w:vAlign w:val="center"/>
          </w:tcPr>
          <w:p w14:paraId="09A4FA9E">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396" w:type="dxa"/>
            <w:shd w:val="clear" w:color="auto" w:fill="auto"/>
            <w:vAlign w:val="center"/>
          </w:tcPr>
          <w:p w14:paraId="0DDEE28B">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5</w:t>
            </w:r>
          </w:p>
        </w:tc>
        <w:tc>
          <w:tcPr>
            <w:tcW w:w="1793" w:type="dxa"/>
            <w:shd w:val="clear" w:color="auto" w:fill="auto"/>
            <w:noWrap/>
            <w:vAlign w:val="center"/>
          </w:tcPr>
          <w:p w14:paraId="044D6A2B">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55.56%</w:t>
            </w:r>
          </w:p>
        </w:tc>
      </w:tr>
      <w:tr w14:paraId="38B5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14:paraId="548B521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过程部分小计</w:t>
            </w:r>
          </w:p>
        </w:tc>
        <w:tc>
          <w:tcPr>
            <w:tcW w:w="2001" w:type="dxa"/>
            <w:shd w:val="clear" w:color="auto" w:fill="auto"/>
            <w:vAlign w:val="center"/>
          </w:tcPr>
          <w:p w14:paraId="177AF3F9">
            <w:pPr>
              <w:widowControl/>
              <w:jc w:val="center"/>
              <w:textAlignment w:val="center"/>
              <w:rPr>
                <w:rFonts w:ascii="宋体" w:hAnsi="宋体" w:cs="宋体"/>
                <w:color w:val="000000"/>
                <w:szCs w:val="21"/>
              </w:rPr>
            </w:pPr>
            <w:r>
              <w:rPr>
                <w:rFonts w:ascii="宋体" w:hAnsi="宋体" w:cs="宋体"/>
                <w:color w:val="000000"/>
                <w:kern w:val="0"/>
                <w:szCs w:val="21"/>
                <w:lang w:bidi="ar"/>
              </w:rPr>
              <w:t>22</w:t>
            </w:r>
          </w:p>
        </w:tc>
        <w:tc>
          <w:tcPr>
            <w:tcW w:w="1396" w:type="dxa"/>
            <w:shd w:val="clear" w:color="auto" w:fill="auto"/>
            <w:vAlign w:val="center"/>
          </w:tcPr>
          <w:p w14:paraId="09DB9AA1">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17</w:t>
            </w:r>
          </w:p>
        </w:tc>
        <w:tc>
          <w:tcPr>
            <w:tcW w:w="1793" w:type="dxa"/>
            <w:shd w:val="clear" w:color="auto" w:fill="auto"/>
            <w:noWrap/>
            <w:vAlign w:val="center"/>
          </w:tcPr>
          <w:p w14:paraId="4E66293A">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77.27%</w:t>
            </w:r>
          </w:p>
        </w:tc>
      </w:tr>
      <w:tr w14:paraId="4523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restart"/>
            <w:shd w:val="clear" w:color="auto" w:fill="auto"/>
            <w:vAlign w:val="center"/>
          </w:tcPr>
          <w:p w14:paraId="5BA491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32</w:t>
            </w:r>
            <w:r>
              <w:rPr>
                <w:rFonts w:hint="eastAsia" w:ascii="宋体" w:hAnsi="宋体" w:cs="宋体"/>
                <w:color w:val="000000"/>
                <w:kern w:val="0"/>
                <w:szCs w:val="21"/>
                <w:lang w:bidi="ar"/>
              </w:rPr>
              <w:t>分）</w:t>
            </w:r>
          </w:p>
        </w:tc>
        <w:tc>
          <w:tcPr>
            <w:tcW w:w="2001" w:type="dxa"/>
            <w:shd w:val="clear" w:color="auto" w:fill="auto"/>
            <w:vAlign w:val="center"/>
          </w:tcPr>
          <w:p w14:paraId="5DF55EE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p>
        </w:tc>
        <w:tc>
          <w:tcPr>
            <w:tcW w:w="2001" w:type="dxa"/>
            <w:shd w:val="clear" w:color="auto" w:fill="auto"/>
            <w:vAlign w:val="center"/>
          </w:tcPr>
          <w:p w14:paraId="32C6AA63">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14:paraId="4544B006">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w:t>
            </w:r>
          </w:p>
        </w:tc>
        <w:tc>
          <w:tcPr>
            <w:tcW w:w="1793" w:type="dxa"/>
            <w:shd w:val="clear" w:color="auto" w:fill="auto"/>
            <w:noWrap/>
            <w:vAlign w:val="center"/>
          </w:tcPr>
          <w:p w14:paraId="4C772FDA">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6E59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14:paraId="48D3D0AB">
            <w:pPr>
              <w:jc w:val="center"/>
              <w:rPr>
                <w:rFonts w:ascii="宋体" w:hAnsi="宋体" w:cs="宋体"/>
                <w:color w:val="000000"/>
                <w:szCs w:val="21"/>
              </w:rPr>
            </w:pPr>
          </w:p>
        </w:tc>
        <w:tc>
          <w:tcPr>
            <w:tcW w:w="2001" w:type="dxa"/>
            <w:shd w:val="clear" w:color="auto" w:fill="auto"/>
            <w:vAlign w:val="center"/>
          </w:tcPr>
          <w:p w14:paraId="76185B2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p>
        </w:tc>
        <w:tc>
          <w:tcPr>
            <w:tcW w:w="2001" w:type="dxa"/>
            <w:shd w:val="clear" w:color="auto" w:fill="auto"/>
            <w:vAlign w:val="center"/>
          </w:tcPr>
          <w:p w14:paraId="579D4A2F">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14:paraId="15342460">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w:t>
            </w:r>
          </w:p>
        </w:tc>
        <w:tc>
          <w:tcPr>
            <w:tcW w:w="1793" w:type="dxa"/>
            <w:shd w:val="clear" w:color="auto" w:fill="auto"/>
            <w:noWrap/>
            <w:vAlign w:val="center"/>
          </w:tcPr>
          <w:p w14:paraId="77B971DA">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71B9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14:paraId="04DD515E">
            <w:pPr>
              <w:jc w:val="center"/>
              <w:rPr>
                <w:rFonts w:ascii="宋体" w:hAnsi="宋体" w:cs="宋体"/>
                <w:color w:val="000000"/>
                <w:szCs w:val="21"/>
              </w:rPr>
            </w:pPr>
          </w:p>
        </w:tc>
        <w:tc>
          <w:tcPr>
            <w:tcW w:w="2001" w:type="dxa"/>
            <w:shd w:val="clear" w:color="auto" w:fill="auto"/>
            <w:vAlign w:val="center"/>
          </w:tcPr>
          <w:p w14:paraId="3EB8C7E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p>
        </w:tc>
        <w:tc>
          <w:tcPr>
            <w:tcW w:w="2001" w:type="dxa"/>
            <w:shd w:val="clear" w:color="auto" w:fill="auto"/>
            <w:vAlign w:val="center"/>
          </w:tcPr>
          <w:p w14:paraId="7CDB8C79">
            <w:pPr>
              <w:widowControl/>
              <w:jc w:val="center"/>
              <w:textAlignment w:val="center"/>
              <w:rPr>
                <w:rFonts w:ascii="宋体" w:hAnsi="宋体" w:cs="宋体"/>
                <w:color w:val="000000"/>
                <w:szCs w:val="21"/>
              </w:rPr>
            </w:pPr>
            <w:r>
              <w:rPr>
                <w:rFonts w:hint="eastAsia" w:ascii="宋体" w:hAnsi="宋体" w:cs="宋体"/>
                <w:color w:val="000000"/>
                <w:szCs w:val="21"/>
              </w:rPr>
              <w:t>8</w:t>
            </w:r>
          </w:p>
        </w:tc>
        <w:tc>
          <w:tcPr>
            <w:tcW w:w="1396" w:type="dxa"/>
            <w:shd w:val="clear" w:color="auto" w:fill="auto"/>
            <w:vAlign w:val="center"/>
          </w:tcPr>
          <w:p w14:paraId="3005B57E">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w:t>
            </w:r>
          </w:p>
        </w:tc>
        <w:tc>
          <w:tcPr>
            <w:tcW w:w="1793" w:type="dxa"/>
            <w:shd w:val="clear" w:color="auto" w:fill="auto"/>
            <w:noWrap/>
            <w:vAlign w:val="center"/>
          </w:tcPr>
          <w:p w14:paraId="19809DBC">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531D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14:paraId="08090060">
            <w:pPr>
              <w:jc w:val="center"/>
              <w:rPr>
                <w:rFonts w:ascii="宋体" w:hAnsi="宋体" w:cs="宋体"/>
                <w:color w:val="000000"/>
                <w:szCs w:val="21"/>
              </w:rPr>
            </w:pPr>
          </w:p>
        </w:tc>
        <w:tc>
          <w:tcPr>
            <w:tcW w:w="2001" w:type="dxa"/>
            <w:shd w:val="clear" w:color="auto" w:fill="auto"/>
            <w:vAlign w:val="center"/>
          </w:tcPr>
          <w:p w14:paraId="58AD9A9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p>
        </w:tc>
        <w:tc>
          <w:tcPr>
            <w:tcW w:w="2001" w:type="dxa"/>
            <w:shd w:val="clear" w:color="auto" w:fill="auto"/>
            <w:vAlign w:val="center"/>
          </w:tcPr>
          <w:p w14:paraId="6A32134C">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14:paraId="7E5A98C7">
            <w:pPr>
              <w:widowControl/>
              <w:jc w:val="center"/>
              <w:textAlignment w:val="center"/>
              <w:rPr>
                <w:rFonts w:ascii="宋体" w:hAnsi="宋体" w:cs="宋体"/>
                <w:color w:val="000000"/>
                <w:szCs w:val="21"/>
              </w:rPr>
            </w:pPr>
            <w:r>
              <w:rPr>
                <w:rFonts w:hint="default" w:ascii="宋体" w:hAnsi="宋体" w:cs="宋体"/>
                <w:color w:val="000000"/>
                <w:kern w:val="0"/>
                <w:szCs w:val="21"/>
                <w:lang w:val="en-US" w:eastAsia="zh-CN" w:bidi="ar"/>
              </w:rPr>
              <w:t>8</w:t>
            </w:r>
          </w:p>
        </w:tc>
        <w:tc>
          <w:tcPr>
            <w:tcW w:w="1793" w:type="dxa"/>
            <w:shd w:val="clear" w:color="auto" w:fill="auto"/>
            <w:noWrap/>
            <w:vAlign w:val="center"/>
          </w:tcPr>
          <w:p w14:paraId="33EFFC2C">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6524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14:paraId="792ABD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产出部分小计</w:t>
            </w:r>
          </w:p>
        </w:tc>
        <w:tc>
          <w:tcPr>
            <w:tcW w:w="2001" w:type="dxa"/>
            <w:shd w:val="clear" w:color="auto" w:fill="auto"/>
            <w:vAlign w:val="center"/>
          </w:tcPr>
          <w:p w14:paraId="56F17EAB">
            <w:pPr>
              <w:widowControl/>
              <w:jc w:val="center"/>
              <w:textAlignment w:val="center"/>
              <w:rPr>
                <w:rFonts w:ascii="宋体" w:hAnsi="宋体" w:cs="宋体"/>
                <w:color w:val="000000"/>
                <w:szCs w:val="21"/>
              </w:rPr>
            </w:pPr>
            <w:r>
              <w:rPr>
                <w:rFonts w:ascii="宋体" w:hAnsi="宋体" w:cs="宋体"/>
                <w:color w:val="000000"/>
                <w:kern w:val="0"/>
                <w:szCs w:val="21"/>
                <w:lang w:bidi="ar"/>
              </w:rPr>
              <w:t>32</w:t>
            </w:r>
          </w:p>
        </w:tc>
        <w:tc>
          <w:tcPr>
            <w:tcW w:w="1396" w:type="dxa"/>
            <w:shd w:val="clear" w:color="auto" w:fill="auto"/>
            <w:vAlign w:val="center"/>
          </w:tcPr>
          <w:p w14:paraId="5E54366E">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32</w:t>
            </w:r>
          </w:p>
        </w:tc>
        <w:tc>
          <w:tcPr>
            <w:tcW w:w="1793" w:type="dxa"/>
            <w:shd w:val="clear" w:color="auto" w:fill="auto"/>
            <w:noWrap/>
            <w:vAlign w:val="center"/>
          </w:tcPr>
          <w:p w14:paraId="4843D4D1">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1154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092" w:type="dxa"/>
            <w:vMerge w:val="restart"/>
            <w:shd w:val="clear" w:color="auto" w:fill="auto"/>
            <w:vAlign w:val="center"/>
          </w:tcPr>
          <w:p w14:paraId="77F3C26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28</w:t>
            </w:r>
            <w:r>
              <w:rPr>
                <w:rFonts w:hint="eastAsia" w:ascii="宋体" w:hAnsi="宋体" w:cs="宋体"/>
                <w:color w:val="000000"/>
                <w:kern w:val="0"/>
                <w:szCs w:val="21"/>
                <w:lang w:bidi="ar"/>
              </w:rPr>
              <w:t>分）</w:t>
            </w:r>
          </w:p>
        </w:tc>
        <w:tc>
          <w:tcPr>
            <w:tcW w:w="2001" w:type="dxa"/>
            <w:shd w:val="clear" w:color="auto" w:fill="auto"/>
            <w:vAlign w:val="center"/>
          </w:tcPr>
          <w:p w14:paraId="3A52FBD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w:t>
            </w:r>
          </w:p>
        </w:tc>
        <w:tc>
          <w:tcPr>
            <w:tcW w:w="2001" w:type="dxa"/>
            <w:shd w:val="clear" w:color="auto" w:fill="auto"/>
            <w:vAlign w:val="center"/>
          </w:tcPr>
          <w:p w14:paraId="1B8000F7">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1396" w:type="dxa"/>
            <w:shd w:val="clear" w:color="auto" w:fill="auto"/>
            <w:vAlign w:val="center"/>
          </w:tcPr>
          <w:p w14:paraId="0D1BA101">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w:t>
            </w:r>
            <w:r>
              <w:rPr>
                <w:rFonts w:hint="default" w:ascii="宋体" w:hAnsi="宋体" w:cs="宋体"/>
                <w:color w:val="000000"/>
                <w:kern w:val="0"/>
                <w:szCs w:val="21"/>
                <w:lang w:val="en-US" w:eastAsia="zh-CN" w:bidi="ar"/>
              </w:rPr>
              <w:t>8</w:t>
            </w:r>
          </w:p>
        </w:tc>
        <w:tc>
          <w:tcPr>
            <w:tcW w:w="1793" w:type="dxa"/>
            <w:shd w:val="clear" w:color="auto" w:fill="auto"/>
            <w:noWrap/>
            <w:vAlign w:val="center"/>
          </w:tcPr>
          <w:p w14:paraId="2CAAAAA3">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7E2F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14:paraId="18E18FEA">
            <w:pPr>
              <w:jc w:val="center"/>
              <w:rPr>
                <w:rFonts w:ascii="宋体" w:hAnsi="宋体" w:cs="宋体"/>
                <w:color w:val="000000"/>
                <w:szCs w:val="21"/>
              </w:rPr>
            </w:pPr>
          </w:p>
        </w:tc>
        <w:tc>
          <w:tcPr>
            <w:tcW w:w="2001" w:type="dxa"/>
            <w:shd w:val="clear" w:color="auto" w:fill="auto"/>
            <w:vAlign w:val="center"/>
          </w:tcPr>
          <w:p w14:paraId="6536704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p>
        </w:tc>
        <w:tc>
          <w:tcPr>
            <w:tcW w:w="2001" w:type="dxa"/>
            <w:shd w:val="clear" w:color="auto" w:fill="auto"/>
            <w:vAlign w:val="center"/>
          </w:tcPr>
          <w:p w14:paraId="1E6F156A">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1396" w:type="dxa"/>
            <w:shd w:val="clear" w:color="auto" w:fill="auto"/>
            <w:vAlign w:val="center"/>
          </w:tcPr>
          <w:p w14:paraId="6198BC83">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10</w:t>
            </w:r>
          </w:p>
        </w:tc>
        <w:tc>
          <w:tcPr>
            <w:tcW w:w="1793" w:type="dxa"/>
            <w:shd w:val="clear" w:color="auto" w:fill="auto"/>
            <w:noWrap/>
            <w:vAlign w:val="center"/>
          </w:tcPr>
          <w:p w14:paraId="7E55FF4D">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1627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14:paraId="538A872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效益部分小计</w:t>
            </w:r>
          </w:p>
        </w:tc>
        <w:tc>
          <w:tcPr>
            <w:tcW w:w="2001" w:type="dxa"/>
            <w:shd w:val="clear" w:color="auto" w:fill="auto"/>
            <w:vAlign w:val="center"/>
          </w:tcPr>
          <w:p w14:paraId="12CB4CB9">
            <w:pPr>
              <w:widowControl/>
              <w:jc w:val="center"/>
              <w:textAlignment w:val="center"/>
              <w:rPr>
                <w:rFonts w:ascii="宋体" w:hAnsi="宋体" w:cs="宋体"/>
                <w:color w:val="000000"/>
                <w:szCs w:val="21"/>
              </w:rPr>
            </w:pPr>
            <w:r>
              <w:rPr>
                <w:rFonts w:ascii="宋体" w:hAnsi="宋体" w:cs="宋体"/>
                <w:color w:val="000000"/>
                <w:kern w:val="0"/>
                <w:szCs w:val="21"/>
                <w:lang w:bidi="ar"/>
              </w:rPr>
              <w:t>28</w:t>
            </w:r>
          </w:p>
        </w:tc>
        <w:tc>
          <w:tcPr>
            <w:tcW w:w="1396" w:type="dxa"/>
            <w:shd w:val="clear" w:color="auto" w:fill="auto"/>
            <w:vAlign w:val="center"/>
          </w:tcPr>
          <w:p w14:paraId="043F0C5B">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28</w:t>
            </w:r>
          </w:p>
        </w:tc>
        <w:tc>
          <w:tcPr>
            <w:tcW w:w="1793" w:type="dxa"/>
            <w:shd w:val="clear" w:color="auto" w:fill="auto"/>
            <w:noWrap/>
            <w:vAlign w:val="center"/>
          </w:tcPr>
          <w:p w14:paraId="28BABB69">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14:paraId="237A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noWrap/>
            <w:vAlign w:val="center"/>
          </w:tcPr>
          <w:p w14:paraId="0F600B1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2001" w:type="dxa"/>
            <w:shd w:val="clear" w:color="auto" w:fill="auto"/>
            <w:noWrap/>
            <w:vAlign w:val="center"/>
          </w:tcPr>
          <w:p w14:paraId="5039F96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1396" w:type="dxa"/>
            <w:shd w:val="clear" w:color="auto" w:fill="auto"/>
            <w:noWrap/>
            <w:vAlign w:val="center"/>
          </w:tcPr>
          <w:p w14:paraId="01854BA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90</w:t>
            </w:r>
          </w:p>
        </w:tc>
        <w:tc>
          <w:tcPr>
            <w:tcW w:w="1793" w:type="dxa"/>
            <w:shd w:val="clear" w:color="auto" w:fill="auto"/>
            <w:noWrap/>
            <w:vAlign w:val="center"/>
          </w:tcPr>
          <w:p w14:paraId="133DFCAD">
            <w:pPr>
              <w:keepNext w:val="0"/>
              <w:keepLines w:val="0"/>
              <w:widowControl/>
              <w:suppressLineNumbers w:val="0"/>
              <w:jc w:val="center"/>
              <w:textAlignment w:val="center"/>
              <w:rPr>
                <w:rFonts w:ascii="宋体" w:hAnsi="宋体" w:cs="宋体"/>
                <w:color w:val="000000"/>
                <w:szCs w:val="21"/>
              </w:rPr>
            </w:pPr>
            <w:r>
              <w:rPr>
                <w:rFonts w:hint="eastAsia" w:ascii="宋体" w:hAnsi="宋体" w:cs="宋体"/>
                <w:i w:val="0"/>
                <w:iCs w:val="0"/>
                <w:color w:val="000000"/>
                <w:kern w:val="0"/>
                <w:sz w:val="21"/>
                <w:szCs w:val="21"/>
                <w:u w:val="none"/>
                <w:lang w:val="en-US" w:eastAsia="zh-CN" w:bidi="ar"/>
              </w:rPr>
              <w:t>90</w:t>
            </w:r>
            <w:r>
              <w:rPr>
                <w:rFonts w:hint="eastAsia" w:ascii="宋体" w:hAnsi="宋体" w:eastAsia="宋体" w:cs="宋体"/>
                <w:i w:val="0"/>
                <w:iCs w:val="0"/>
                <w:color w:val="000000"/>
                <w:kern w:val="0"/>
                <w:sz w:val="21"/>
                <w:szCs w:val="21"/>
                <w:u w:val="none"/>
                <w:lang w:val="en-US" w:eastAsia="zh-CN" w:bidi="ar"/>
              </w:rPr>
              <w:t>.00%</w:t>
            </w:r>
          </w:p>
        </w:tc>
      </w:tr>
    </w:tbl>
    <w:p w14:paraId="1F9C7913">
      <w:pPr>
        <w:spacing w:line="580" w:lineRule="exact"/>
        <w:ind w:firstLine="643" w:firstLineChars="200"/>
        <w:rPr>
          <w:rFonts w:hint="eastAsia" w:ascii="仿宋" w:hAnsi="仿宋" w:eastAsia="仿宋" w:cs="仿宋"/>
          <w:sz w:val="32"/>
          <w:szCs w:val="32"/>
        </w:rPr>
      </w:pPr>
      <w:bookmarkStart w:id="118" w:name="_Toc85202952"/>
      <w:bookmarkStart w:id="119" w:name="_Toc89419996"/>
      <w:bookmarkStart w:id="120" w:name="_Toc85202862"/>
      <w:bookmarkStart w:id="121" w:name="_Toc85203157"/>
      <w:bookmarkStart w:id="122" w:name="_Toc72846137"/>
      <w:bookmarkStart w:id="123" w:name="_Toc7981"/>
      <w:r>
        <w:rPr>
          <w:rStyle w:val="31"/>
          <w:rFonts w:hint="eastAsia" w:ascii="楷体_GB2312" w:eastAsia="楷体_GB2312"/>
        </w:rPr>
        <w:t>（一）决策。</w:t>
      </w:r>
      <w:bookmarkEnd w:id="118"/>
      <w:bookmarkEnd w:id="119"/>
      <w:bookmarkEnd w:id="120"/>
      <w:bookmarkEnd w:id="121"/>
      <w:bookmarkEnd w:id="122"/>
      <w:bookmarkEnd w:id="123"/>
      <w:r>
        <w:rPr>
          <w:rFonts w:hint="eastAsia" w:ascii="仿宋" w:hAnsi="仿宋" w:eastAsia="仿宋" w:cs="仿宋"/>
          <w:sz w:val="32"/>
          <w:szCs w:val="32"/>
          <w:u w:color="000000"/>
        </w:rPr>
        <w:t>决策</w:t>
      </w:r>
      <w:r>
        <w:rPr>
          <w:rFonts w:hint="eastAsia" w:ascii="仿宋" w:hAnsi="仿宋" w:eastAsia="仿宋" w:cs="仿宋"/>
          <w:sz w:val="32"/>
          <w:szCs w:val="32"/>
        </w:rPr>
        <w:t>绩效指标满分18分，得分</w:t>
      </w:r>
      <w:r>
        <w:rPr>
          <w:rFonts w:hint="eastAsia" w:ascii="仿宋" w:hAnsi="仿宋" w:eastAsia="仿宋" w:cs="仿宋"/>
          <w:sz w:val="32"/>
          <w:szCs w:val="32"/>
          <w:lang w:val="en-US" w:eastAsia="zh-CN"/>
        </w:rPr>
        <w:t>13</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72.22</w:t>
      </w:r>
      <w:r>
        <w:rPr>
          <w:rFonts w:hint="eastAsia" w:ascii="仿宋" w:hAnsi="仿宋" w:eastAsia="仿宋" w:cs="仿宋"/>
          <w:sz w:val="32"/>
          <w:szCs w:val="32"/>
        </w:rPr>
        <w:t>%。主要扣分原因为</w:t>
      </w:r>
      <w:r>
        <w:rPr>
          <w:rFonts w:hint="eastAsia" w:ascii="仿宋" w:hAnsi="仿宋" w:eastAsia="仿宋" w:cs="仿宋"/>
          <w:sz w:val="32"/>
          <w:szCs w:val="32"/>
          <w:lang w:val="en-US" w:eastAsia="zh-CN"/>
        </w:rPr>
        <w:t>项目投资额不准确、绩效目标和</w:t>
      </w:r>
      <w:r>
        <w:rPr>
          <w:rFonts w:hint="eastAsia" w:ascii="仿宋" w:hAnsi="仿宋" w:eastAsia="仿宋" w:cs="仿宋"/>
          <w:sz w:val="32"/>
          <w:szCs w:val="32"/>
        </w:rPr>
        <w:t>部分绩效指标设定不</w:t>
      </w:r>
      <w:r>
        <w:rPr>
          <w:rFonts w:hint="eastAsia" w:ascii="仿宋" w:hAnsi="仿宋" w:eastAsia="仿宋" w:cs="仿宋"/>
          <w:sz w:val="32"/>
          <w:szCs w:val="32"/>
          <w:lang w:val="en-US" w:eastAsia="zh-CN"/>
        </w:rPr>
        <w:t>够</w:t>
      </w:r>
      <w:r>
        <w:rPr>
          <w:rFonts w:hint="eastAsia" w:ascii="仿宋" w:hAnsi="仿宋" w:eastAsia="仿宋" w:cs="仿宋"/>
          <w:sz w:val="32"/>
          <w:szCs w:val="32"/>
        </w:rPr>
        <w:t>科学。</w:t>
      </w:r>
    </w:p>
    <w:p w14:paraId="53A82EA8">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1.项目立项</w:t>
      </w:r>
    </w:p>
    <w:p w14:paraId="1735D588">
      <w:pPr>
        <w:spacing w:line="580" w:lineRule="exact"/>
        <w:ind w:firstLine="640" w:firstLineChars="200"/>
        <w:rPr>
          <w:rFonts w:hint="eastAsia" w:ascii="仿宋" w:hAnsi="仿宋" w:eastAsia="仿宋" w:cs="仿宋"/>
          <w:sz w:val="32"/>
          <w:szCs w:val="32"/>
          <w:u w:color="000000"/>
          <w:lang w:val="en-US" w:eastAsia="zh-CN"/>
        </w:rPr>
      </w:pPr>
      <w:r>
        <w:rPr>
          <w:rFonts w:hint="eastAsia" w:ascii="仿宋" w:hAnsi="仿宋" w:eastAsia="仿宋" w:cs="仿宋"/>
          <w:sz w:val="32"/>
          <w:szCs w:val="32"/>
          <w:u w:color="000000"/>
          <w:lang w:val="en-US" w:eastAsia="zh-CN"/>
        </w:rPr>
        <w:t>该项目符合革命老区转移支付资金的支出范围，支持革命老区的教育事业发展，立项依据充分。但</w:t>
      </w:r>
      <w:r>
        <w:rPr>
          <w:rFonts w:hint="eastAsia" w:ascii="仿宋" w:hAnsi="仿宋" w:eastAsia="仿宋" w:cs="仿宋"/>
          <w:sz w:val="32"/>
          <w:szCs w:val="32"/>
          <w:u w:color="000000"/>
        </w:rPr>
        <w:t>在项目建设</w:t>
      </w:r>
      <w:r>
        <w:rPr>
          <w:rFonts w:hint="eastAsia" w:ascii="仿宋" w:hAnsi="仿宋" w:eastAsia="仿宋" w:cs="仿宋"/>
          <w:sz w:val="32"/>
          <w:szCs w:val="32"/>
          <w:u w:color="000000"/>
          <w:lang w:val="en-US" w:eastAsia="zh-CN"/>
        </w:rPr>
        <w:t>准备</w:t>
      </w:r>
      <w:r>
        <w:rPr>
          <w:rFonts w:hint="eastAsia" w:ascii="仿宋" w:hAnsi="仿宋" w:eastAsia="仿宋" w:cs="仿宋"/>
          <w:sz w:val="32"/>
          <w:szCs w:val="32"/>
          <w:u w:color="000000"/>
        </w:rPr>
        <w:t>方面，</w:t>
      </w:r>
      <w:r>
        <w:rPr>
          <w:rFonts w:hint="eastAsia" w:ascii="仿宋" w:hAnsi="仿宋" w:eastAsia="仿宋" w:cs="仿宋"/>
          <w:sz w:val="32"/>
          <w:szCs w:val="32"/>
          <w:u w:color="000000"/>
          <w:lang w:val="en-US" w:eastAsia="zh-CN"/>
        </w:rPr>
        <w:t>项目投资额</w:t>
      </w:r>
      <w:r>
        <w:rPr>
          <w:rFonts w:hint="eastAsia" w:ascii="仿宋" w:hAnsi="仿宋" w:eastAsia="仿宋" w:cs="仿宋"/>
          <w:color w:val="auto"/>
          <w:sz w:val="32"/>
          <w:szCs w:val="32"/>
          <w:u w:color="000000"/>
          <w:lang w:val="en-US" w:eastAsia="zh-CN"/>
        </w:rPr>
        <w:t>和购置数量不够准确，</w:t>
      </w:r>
      <w:r>
        <w:rPr>
          <w:rFonts w:hint="eastAsia" w:ascii="仿宋" w:hAnsi="仿宋" w:eastAsia="仿宋" w:cs="仿宋"/>
          <w:color w:val="auto"/>
          <w:sz w:val="32"/>
          <w:szCs w:val="32"/>
          <w:u w:color="000000"/>
        </w:rPr>
        <w:t>20</w:t>
      </w:r>
      <w:r>
        <w:rPr>
          <w:rFonts w:hint="eastAsia" w:ascii="仿宋" w:hAnsi="仿宋" w:eastAsia="仿宋" w:cs="仿宋"/>
          <w:color w:val="auto"/>
          <w:sz w:val="32"/>
          <w:szCs w:val="32"/>
          <w:u w:color="000000"/>
          <w:lang w:val="en-US" w:eastAsia="zh-CN"/>
        </w:rPr>
        <w:t>20</w:t>
      </w:r>
      <w:r>
        <w:rPr>
          <w:rFonts w:hint="eastAsia" w:ascii="仿宋" w:hAnsi="仿宋" w:eastAsia="仿宋" w:cs="仿宋"/>
          <w:color w:val="auto"/>
          <w:sz w:val="32"/>
          <w:szCs w:val="32"/>
          <w:u w:color="000000"/>
        </w:rPr>
        <w:t>年</w:t>
      </w:r>
      <w:r>
        <w:rPr>
          <w:rFonts w:hint="eastAsia" w:ascii="仿宋" w:hAnsi="仿宋" w:eastAsia="仿宋" w:cs="仿宋"/>
          <w:color w:val="auto"/>
          <w:sz w:val="32"/>
          <w:szCs w:val="32"/>
          <w:u w:color="000000"/>
          <w:lang w:val="en-US" w:eastAsia="zh-CN"/>
        </w:rPr>
        <w:t>9</w:t>
      </w:r>
      <w:r>
        <w:rPr>
          <w:rFonts w:hint="eastAsia" w:ascii="仿宋" w:hAnsi="仿宋" w:eastAsia="仿宋" w:cs="仿宋"/>
          <w:color w:val="auto"/>
          <w:sz w:val="32"/>
          <w:szCs w:val="32"/>
          <w:u w:color="000000"/>
        </w:rPr>
        <w:t>月，徐水区</w:t>
      </w:r>
      <w:r>
        <w:rPr>
          <w:rFonts w:hint="eastAsia" w:ascii="仿宋" w:hAnsi="仿宋" w:eastAsia="仿宋" w:cs="仿宋"/>
          <w:color w:val="auto"/>
          <w:sz w:val="32"/>
          <w:szCs w:val="32"/>
          <w:u w:color="000000"/>
          <w:lang w:val="en-US" w:eastAsia="zh-CN"/>
        </w:rPr>
        <w:t>教育和体育</w:t>
      </w:r>
      <w:r>
        <w:rPr>
          <w:rFonts w:hint="eastAsia" w:ascii="仿宋" w:hAnsi="仿宋" w:eastAsia="仿宋" w:cs="仿宋"/>
          <w:color w:val="auto"/>
          <w:sz w:val="32"/>
          <w:szCs w:val="32"/>
          <w:u w:color="000000"/>
        </w:rPr>
        <w:t>局</w:t>
      </w:r>
      <w:r>
        <w:rPr>
          <w:rFonts w:hint="eastAsia" w:ascii="仿宋" w:hAnsi="仿宋" w:eastAsia="仿宋" w:cs="仿宋"/>
          <w:color w:val="auto"/>
          <w:sz w:val="32"/>
          <w:szCs w:val="32"/>
          <w:u w:color="000000"/>
          <w:lang w:val="en-US" w:eastAsia="zh-CN"/>
        </w:rPr>
        <w:t>编制完成该项目的可研报告</w:t>
      </w:r>
      <w:r>
        <w:rPr>
          <w:rFonts w:hint="eastAsia" w:ascii="仿宋" w:hAnsi="仿宋" w:eastAsia="仿宋" w:cs="仿宋"/>
          <w:color w:val="auto"/>
          <w:sz w:val="32"/>
          <w:szCs w:val="32"/>
          <w:u w:color="000000"/>
        </w:rPr>
        <w:t>，</w:t>
      </w:r>
      <w:r>
        <w:rPr>
          <w:rFonts w:hint="eastAsia" w:ascii="仿宋" w:hAnsi="仿宋" w:eastAsia="仿宋" w:cs="仿宋"/>
          <w:sz w:val="32"/>
          <w:szCs w:val="32"/>
          <w:u w:color="000000"/>
          <w:lang w:val="en-US" w:eastAsia="zh-CN"/>
        </w:rPr>
        <w:t>拟购置学生课桌椅8750套，项目总投资300万元。而</w:t>
      </w:r>
      <w:r>
        <w:rPr>
          <w:rFonts w:hint="eastAsia" w:ascii="仿宋" w:hAnsi="仿宋" w:eastAsia="仿宋" w:cs="仿宋"/>
          <w:sz w:val="32"/>
          <w:szCs w:val="32"/>
        </w:rPr>
        <w:t>2021年5月28日批复的政府采购计划备案表显示项目预算金额为3,301,922.00元，购置升降课桌椅9769套</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购置数量和金额均与前期申报时不一致，前期立项环节的数据还不够准确。</w:t>
      </w:r>
    </w:p>
    <w:p w14:paraId="58E3E06D">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该指标满分6分，得分</w:t>
      </w:r>
      <w:r>
        <w:rPr>
          <w:rFonts w:hint="eastAsia" w:ascii="仿宋" w:hAnsi="仿宋" w:eastAsia="仿宋" w:cs="仿宋"/>
          <w:sz w:val="32"/>
          <w:szCs w:val="32"/>
          <w:u w:color="000000"/>
          <w:lang w:val="en-US" w:eastAsia="zh-CN"/>
        </w:rPr>
        <w:t>5</w:t>
      </w:r>
      <w:r>
        <w:rPr>
          <w:rFonts w:hint="eastAsia" w:ascii="仿宋" w:hAnsi="仿宋" w:eastAsia="仿宋" w:cs="仿宋"/>
          <w:sz w:val="32"/>
          <w:szCs w:val="32"/>
          <w:u w:color="000000"/>
        </w:rPr>
        <w:t>分，得分率</w:t>
      </w:r>
      <w:r>
        <w:rPr>
          <w:rFonts w:hint="eastAsia" w:ascii="仿宋" w:hAnsi="仿宋" w:eastAsia="仿宋" w:cs="仿宋"/>
          <w:sz w:val="32"/>
          <w:szCs w:val="32"/>
          <w:u w:color="000000"/>
          <w:lang w:val="en-US" w:eastAsia="zh-CN"/>
        </w:rPr>
        <w:t>83.33</w:t>
      </w:r>
      <w:r>
        <w:rPr>
          <w:rFonts w:hint="eastAsia" w:ascii="仿宋" w:hAnsi="仿宋" w:eastAsia="仿宋" w:cs="仿宋"/>
          <w:sz w:val="32"/>
          <w:szCs w:val="32"/>
          <w:u w:color="000000"/>
        </w:rPr>
        <w:t>%。</w:t>
      </w:r>
    </w:p>
    <w:p w14:paraId="0C9E9F68">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2.绩效目标</w:t>
      </w:r>
    </w:p>
    <w:p w14:paraId="6FD24300">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通过查看项目的预算项目绩效目标表，该项目</w:t>
      </w:r>
      <w:r>
        <w:rPr>
          <w:rFonts w:hint="eastAsia" w:ascii="仿宋" w:hAnsi="仿宋" w:eastAsia="仿宋" w:cs="仿宋"/>
          <w:sz w:val="32"/>
          <w:szCs w:val="32"/>
          <w:u w:color="000000"/>
          <w:lang w:val="en-US" w:eastAsia="zh-CN"/>
        </w:rPr>
        <w:t>按照区财政下达的资金文件</w:t>
      </w:r>
      <w:r>
        <w:rPr>
          <w:rFonts w:hint="eastAsia" w:ascii="仿宋" w:hAnsi="仿宋" w:eastAsia="仿宋" w:cs="仿宋"/>
          <w:sz w:val="32"/>
          <w:szCs w:val="32"/>
          <w:u w:color="000000"/>
        </w:rPr>
        <w:t>制定</w:t>
      </w:r>
      <w:r>
        <w:rPr>
          <w:rFonts w:hint="eastAsia" w:ascii="仿宋" w:hAnsi="仿宋" w:eastAsia="仿宋" w:cs="仿宋"/>
          <w:sz w:val="32"/>
          <w:szCs w:val="32"/>
          <w:u w:color="000000"/>
          <w:lang w:val="en-US" w:eastAsia="zh-CN"/>
        </w:rPr>
        <w:t>了</w:t>
      </w:r>
      <w:r>
        <w:rPr>
          <w:rFonts w:hint="eastAsia" w:ascii="仿宋" w:hAnsi="仿宋" w:eastAsia="仿宋" w:cs="仿宋"/>
          <w:color w:val="auto"/>
          <w:sz w:val="32"/>
          <w:szCs w:val="32"/>
          <w:u w:color="000000"/>
          <w:lang w:val="en-US" w:eastAsia="zh-CN"/>
        </w:rPr>
        <w:t>两套</w:t>
      </w:r>
      <w:r>
        <w:rPr>
          <w:rFonts w:hint="eastAsia" w:ascii="仿宋" w:hAnsi="仿宋" w:eastAsia="仿宋" w:cs="仿宋"/>
          <w:sz w:val="32"/>
          <w:szCs w:val="32"/>
          <w:u w:color="000000"/>
        </w:rPr>
        <w:t>绩效目标和绩效指标。从绩效目标来看，该项目的绩效目标为</w:t>
      </w:r>
      <w:r>
        <w:rPr>
          <w:rFonts w:hint="eastAsia" w:ascii="仿宋" w:hAnsi="仿宋" w:eastAsia="仿宋" w:cs="仿宋"/>
          <w:sz w:val="32"/>
          <w:szCs w:val="32"/>
          <w:u w:color="000000"/>
          <w:lang w:val="en-US" w:eastAsia="zh-CN"/>
        </w:rPr>
        <w:t>改善办学条件，提高教学质量，圆满完成教育教学任务</w:t>
      </w:r>
      <w:r>
        <w:rPr>
          <w:rFonts w:hint="eastAsia" w:ascii="仿宋" w:hAnsi="仿宋" w:eastAsia="仿宋" w:cs="仿宋"/>
          <w:sz w:val="32"/>
          <w:szCs w:val="32"/>
          <w:u w:color="000000"/>
        </w:rPr>
        <w:t>。绩效目标的设定与工作内容相关</w:t>
      </w:r>
      <w:r>
        <w:rPr>
          <w:rFonts w:hint="eastAsia" w:ascii="仿宋" w:hAnsi="仿宋" w:eastAsia="仿宋" w:cs="仿宋"/>
          <w:sz w:val="32"/>
          <w:szCs w:val="32"/>
          <w:u w:color="000000"/>
          <w:lang w:eastAsia="zh-CN"/>
        </w:rPr>
        <w:t>，</w:t>
      </w:r>
      <w:r>
        <w:rPr>
          <w:rFonts w:hint="eastAsia" w:ascii="仿宋" w:hAnsi="仿宋" w:eastAsia="仿宋" w:cs="仿宋"/>
          <w:sz w:val="32"/>
          <w:szCs w:val="32"/>
          <w:u w:color="000000"/>
          <w:lang w:val="en-US" w:eastAsia="zh-CN"/>
        </w:rPr>
        <w:t>但存在一个项目对应两个绩效目标</w:t>
      </w:r>
      <w:r>
        <w:rPr>
          <w:rFonts w:hint="eastAsia" w:ascii="仿宋" w:hAnsi="仿宋" w:eastAsia="仿宋" w:cs="仿宋"/>
          <w:sz w:val="32"/>
          <w:szCs w:val="32"/>
          <w:u w:color="000000"/>
        </w:rPr>
        <w:t>。从绩效指标来看，该项目设定了产出指标、效益指标和满意度三个一级指标。但存在部分指标</w:t>
      </w:r>
      <w:r>
        <w:rPr>
          <w:rFonts w:hint="eastAsia" w:ascii="仿宋" w:hAnsi="仿宋" w:eastAsia="仿宋" w:cs="仿宋"/>
          <w:sz w:val="32"/>
          <w:szCs w:val="32"/>
          <w:u w:color="000000"/>
          <w:lang w:val="en-US" w:eastAsia="zh-CN"/>
        </w:rPr>
        <w:t>与绩效目标的相关性较差</w:t>
      </w:r>
      <w:r>
        <w:rPr>
          <w:rFonts w:hint="eastAsia" w:ascii="仿宋" w:hAnsi="仿宋" w:eastAsia="仿宋" w:cs="仿宋"/>
          <w:sz w:val="32"/>
          <w:szCs w:val="32"/>
          <w:u w:color="000000"/>
        </w:rPr>
        <w:t>，部分指标的</w:t>
      </w:r>
      <w:r>
        <w:rPr>
          <w:rFonts w:hint="eastAsia" w:ascii="仿宋" w:hAnsi="仿宋" w:eastAsia="仿宋" w:cs="仿宋"/>
          <w:sz w:val="32"/>
          <w:szCs w:val="32"/>
          <w:u w:color="000000"/>
          <w:lang w:val="en-US" w:eastAsia="zh-CN"/>
        </w:rPr>
        <w:t>可衡量性不高</w:t>
      </w:r>
      <w:r>
        <w:rPr>
          <w:rFonts w:hint="eastAsia" w:ascii="仿宋" w:hAnsi="仿宋" w:eastAsia="仿宋" w:cs="仿宋"/>
          <w:sz w:val="32"/>
          <w:szCs w:val="32"/>
          <w:u w:color="000000"/>
        </w:rPr>
        <w:t>。</w:t>
      </w:r>
    </w:p>
    <w:p w14:paraId="71FFE080">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该指标满分8分，得分</w:t>
      </w:r>
      <w:r>
        <w:rPr>
          <w:rFonts w:hint="eastAsia" w:ascii="仿宋" w:hAnsi="仿宋" w:eastAsia="仿宋" w:cs="仿宋"/>
          <w:sz w:val="32"/>
          <w:szCs w:val="32"/>
          <w:u w:color="000000"/>
          <w:lang w:val="en-US" w:eastAsia="zh-CN"/>
        </w:rPr>
        <w:t>6</w:t>
      </w:r>
      <w:r>
        <w:rPr>
          <w:rFonts w:hint="eastAsia" w:ascii="仿宋" w:hAnsi="仿宋" w:eastAsia="仿宋" w:cs="仿宋"/>
          <w:sz w:val="32"/>
          <w:szCs w:val="32"/>
          <w:u w:color="000000"/>
        </w:rPr>
        <w:t>分，得分率</w:t>
      </w:r>
      <w:r>
        <w:rPr>
          <w:rFonts w:hint="eastAsia" w:ascii="仿宋" w:hAnsi="仿宋" w:eastAsia="仿宋" w:cs="仿宋"/>
          <w:sz w:val="32"/>
          <w:szCs w:val="32"/>
          <w:u w:color="000000"/>
          <w:lang w:val="en-US" w:eastAsia="zh-CN"/>
        </w:rPr>
        <w:t>75.00</w:t>
      </w:r>
      <w:r>
        <w:rPr>
          <w:rFonts w:hint="eastAsia" w:ascii="仿宋" w:hAnsi="仿宋" w:eastAsia="仿宋" w:cs="仿宋"/>
          <w:sz w:val="32"/>
          <w:szCs w:val="32"/>
          <w:u w:color="000000"/>
        </w:rPr>
        <w:t>%。</w:t>
      </w:r>
    </w:p>
    <w:p w14:paraId="49D2A910">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rPr>
        <w:t>3.</w:t>
      </w:r>
      <w:r>
        <w:rPr>
          <w:rFonts w:hint="eastAsia" w:ascii="仿宋" w:hAnsi="仿宋" w:eastAsia="仿宋" w:cs="仿宋"/>
          <w:sz w:val="32"/>
          <w:szCs w:val="32"/>
          <w:u w:color="000000"/>
        </w:rPr>
        <w:t>资金投入</w:t>
      </w:r>
    </w:p>
    <w:p w14:paraId="46416102">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color w:val="auto"/>
          <w:sz w:val="32"/>
          <w:szCs w:val="32"/>
          <w:u w:color="000000"/>
        </w:rPr>
        <w:t>通过查阅相关资料，该项目资金投入以政府采购计划备案表</w:t>
      </w:r>
      <w:r>
        <w:rPr>
          <w:rFonts w:hint="eastAsia" w:ascii="仿宋" w:hAnsi="仿宋" w:eastAsia="仿宋" w:cs="仿宋"/>
          <w:color w:val="auto"/>
          <w:sz w:val="32"/>
          <w:szCs w:val="32"/>
          <w:u w:color="000000"/>
          <w:lang w:val="en-US" w:eastAsia="zh-CN"/>
        </w:rPr>
        <w:t>批复的预算金额</w:t>
      </w:r>
      <w:r>
        <w:rPr>
          <w:rFonts w:hint="eastAsia" w:ascii="仿宋" w:hAnsi="仿宋" w:eastAsia="仿宋" w:cs="仿宋"/>
          <w:color w:val="auto"/>
          <w:sz w:val="32"/>
          <w:szCs w:val="32"/>
          <w:u w:color="000000"/>
        </w:rPr>
        <w:t>为依据，资金总投入与工作内容相匹配</w:t>
      </w:r>
      <w:r>
        <w:rPr>
          <w:rFonts w:hint="eastAsia" w:ascii="仿宋" w:hAnsi="仿宋" w:eastAsia="仿宋" w:cs="仿宋"/>
          <w:color w:val="auto"/>
          <w:sz w:val="32"/>
          <w:szCs w:val="32"/>
          <w:u w:color="000000"/>
          <w:lang w:eastAsia="zh-CN"/>
        </w:rPr>
        <w:t>，</w:t>
      </w:r>
      <w:r>
        <w:rPr>
          <w:rFonts w:hint="eastAsia" w:ascii="仿宋" w:hAnsi="仿宋" w:eastAsia="仿宋" w:cs="仿宋"/>
          <w:color w:val="auto"/>
          <w:sz w:val="32"/>
          <w:szCs w:val="32"/>
          <w:u w:color="000000"/>
        </w:rPr>
        <w:t>但项目</w:t>
      </w:r>
      <w:r>
        <w:rPr>
          <w:rFonts w:hint="eastAsia" w:ascii="仿宋" w:hAnsi="仿宋" w:eastAsia="仿宋" w:cs="仿宋"/>
          <w:color w:val="auto"/>
          <w:sz w:val="32"/>
          <w:szCs w:val="32"/>
          <w:u w:color="000000"/>
          <w:lang w:val="en-US" w:eastAsia="zh-CN"/>
        </w:rPr>
        <w:t>资金</w:t>
      </w:r>
      <w:r>
        <w:rPr>
          <w:rFonts w:hint="eastAsia" w:ascii="仿宋" w:hAnsi="仿宋" w:eastAsia="仿宋" w:cs="仿宋"/>
          <w:color w:val="auto"/>
          <w:sz w:val="32"/>
          <w:szCs w:val="32"/>
          <w:u w:color="000000"/>
        </w:rPr>
        <w:t>分年度安排预算</w:t>
      </w:r>
      <w:r>
        <w:rPr>
          <w:rFonts w:hint="eastAsia" w:ascii="仿宋" w:hAnsi="仿宋" w:eastAsia="仿宋" w:cs="仿宋"/>
          <w:color w:val="auto"/>
          <w:sz w:val="32"/>
          <w:szCs w:val="32"/>
          <w:u w:color="000000"/>
          <w:lang w:eastAsia="zh-CN"/>
        </w:rPr>
        <w:t>。</w:t>
      </w:r>
      <w:r>
        <w:rPr>
          <w:rFonts w:hint="eastAsia" w:ascii="仿宋" w:hAnsi="仿宋" w:eastAsia="仿宋" w:cs="仿宋"/>
          <w:color w:val="auto"/>
          <w:sz w:val="32"/>
          <w:szCs w:val="32"/>
          <w:u w:color="000000"/>
          <w:lang w:val="en-US" w:eastAsia="zh-CN"/>
        </w:rPr>
        <w:t>区财政配套资金315,005.41元在2021年未安排预算。2022年教体局已收到并支付2022年区级预算资金201,468.48元，尚有110,536.93元未到位，项目</w:t>
      </w:r>
      <w:r>
        <w:rPr>
          <w:rFonts w:hint="eastAsia" w:ascii="仿宋" w:hAnsi="仿宋" w:eastAsia="仿宋" w:cs="仿宋"/>
          <w:sz w:val="32"/>
          <w:szCs w:val="32"/>
          <w:u w:color="000000"/>
          <w:lang w:val="en-US" w:eastAsia="zh-CN"/>
        </w:rPr>
        <w:t>实施</w:t>
      </w:r>
      <w:r>
        <w:rPr>
          <w:rFonts w:hint="eastAsia" w:ascii="仿宋" w:hAnsi="仿宋" w:eastAsia="仿宋" w:cs="仿宋"/>
          <w:sz w:val="32"/>
          <w:szCs w:val="32"/>
          <w:u w:color="000000"/>
        </w:rPr>
        <w:t>年度</w:t>
      </w:r>
      <w:r>
        <w:rPr>
          <w:rFonts w:hint="eastAsia" w:ascii="仿宋" w:hAnsi="仿宋" w:eastAsia="仿宋" w:cs="仿宋"/>
          <w:sz w:val="32"/>
          <w:szCs w:val="32"/>
          <w:u w:color="000000"/>
          <w:lang w:val="en-US" w:eastAsia="zh-CN"/>
        </w:rPr>
        <w:t>的</w:t>
      </w:r>
      <w:r>
        <w:rPr>
          <w:rFonts w:hint="eastAsia" w:ascii="仿宋" w:hAnsi="仿宋" w:eastAsia="仿宋" w:cs="仿宋"/>
          <w:sz w:val="32"/>
          <w:szCs w:val="32"/>
          <w:u w:color="000000"/>
        </w:rPr>
        <w:t>预算资金存在不足</w:t>
      </w:r>
      <w:r>
        <w:rPr>
          <w:rFonts w:hint="eastAsia" w:ascii="仿宋" w:hAnsi="仿宋" w:eastAsia="仿宋" w:cs="仿宋"/>
          <w:sz w:val="32"/>
          <w:szCs w:val="32"/>
          <w:u w:color="000000"/>
          <w:lang w:eastAsia="zh-CN"/>
        </w:rPr>
        <w:t>，</w:t>
      </w:r>
      <w:r>
        <w:rPr>
          <w:rFonts w:hint="eastAsia" w:ascii="仿宋" w:hAnsi="仿宋" w:eastAsia="仿宋" w:cs="仿宋"/>
          <w:sz w:val="32"/>
          <w:szCs w:val="32"/>
          <w:u w:color="000000"/>
        </w:rPr>
        <w:t>预算编制与项目实际实施的资金额度和建设规模不一致。</w:t>
      </w:r>
    </w:p>
    <w:p w14:paraId="6C37D185">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该指标满分4分，得分2分，得分率50%。</w:t>
      </w:r>
    </w:p>
    <w:p w14:paraId="714B2B68">
      <w:pPr>
        <w:spacing w:line="580" w:lineRule="exact"/>
        <w:ind w:firstLine="643" w:firstLineChars="200"/>
        <w:rPr>
          <w:rFonts w:hint="eastAsia" w:ascii="仿宋" w:hAnsi="仿宋" w:eastAsia="仿宋" w:cs="仿宋"/>
          <w:sz w:val="32"/>
          <w:szCs w:val="32"/>
          <w:highlight w:val="yellow"/>
          <w:u w:color="000000"/>
        </w:rPr>
      </w:pPr>
      <w:bookmarkStart w:id="124" w:name="_Toc72846138"/>
      <w:bookmarkStart w:id="125" w:name="_Toc85202863"/>
      <w:bookmarkStart w:id="126" w:name="_Toc19914"/>
      <w:bookmarkStart w:id="127" w:name="_Toc85203158"/>
      <w:bookmarkStart w:id="128" w:name="_Toc89419997"/>
      <w:bookmarkStart w:id="129" w:name="_Toc85202953"/>
      <w:r>
        <w:rPr>
          <w:rStyle w:val="31"/>
          <w:rFonts w:hint="eastAsia" w:ascii="楷体_GB2312" w:eastAsia="楷体_GB2312"/>
        </w:rPr>
        <w:t>（二）过程。</w:t>
      </w:r>
      <w:bookmarkEnd w:id="124"/>
      <w:bookmarkEnd w:id="125"/>
      <w:bookmarkEnd w:id="126"/>
      <w:bookmarkEnd w:id="127"/>
      <w:bookmarkEnd w:id="128"/>
      <w:bookmarkEnd w:id="129"/>
      <w:r>
        <w:rPr>
          <w:rFonts w:hint="eastAsia" w:ascii="仿宋" w:hAnsi="仿宋" w:eastAsia="仿宋" w:cs="仿宋"/>
          <w:sz w:val="32"/>
          <w:szCs w:val="32"/>
          <w:u w:color="000000"/>
        </w:rPr>
        <w:t>过程绩效指标满分22分，得分</w:t>
      </w:r>
      <w:r>
        <w:rPr>
          <w:rFonts w:hint="eastAsia" w:ascii="仿宋" w:hAnsi="仿宋" w:eastAsia="仿宋" w:cs="仿宋"/>
          <w:sz w:val="32"/>
          <w:szCs w:val="32"/>
          <w:u w:color="000000"/>
          <w:lang w:val="en-US" w:eastAsia="zh-CN"/>
        </w:rPr>
        <w:t>17</w:t>
      </w:r>
      <w:r>
        <w:rPr>
          <w:rFonts w:hint="eastAsia" w:ascii="仿宋" w:hAnsi="仿宋" w:eastAsia="仿宋" w:cs="仿宋"/>
          <w:sz w:val="32"/>
          <w:szCs w:val="32"/>
          <w:u w:color="000000"/>
        </w:rPr>
        <w:t>分，得分率为</w:t>
      </w:r>
      <w:r>
        <w:rPr>
          <w:rFonts w:hint="eastAsia" w:ascii="仿宋" w:hAnsi="仿宋" w:eastAsia="仿宋" w:cs="仿宋"/>
          <w:sz w:val="32"/>
          <w:szCs w:val="32"/>
          <w:u w:color="000000"/>
          <w:lang w:val="en-US" w:eastAsia="zh-CN"/>
        </w:rPr>
        <w:t>77.27</w:t>
      </w:r>
      <w:r>
        <w:rPr>
          <w:rFonts w:hint="eastAsia" w:ascii="仿宋" w:hAnsi="仿宋" w:eastAsia="仿宋" w:cs="仿宋"/>
          <w:sz w:val="32"/>
          <w:szCs w:val="32"/>
          <w:u w:color="000000"/>
        </w:rPr>
        <w:t>%。主要扣分原因为项目</w:t>
      </w:r>
      <w:r>
        <w:rPr>
          <w:rFonts w:hint="eastAsia" w:ascii="仿宋" w:hAnsi="仿宋" w:eastAsia="仿宋" w:cs="仿宋"/>
          <w:sz w:val="32"/>
          <w:szCs w:val="32"/>
          <w:u w:color="000000"/>
          <w:lang w:val="en-US" w:eastAsia="zh-CN"/>
        </w:rPr>
        <w:t>合同管理、资金</w:t>
      </w:r>
      <w:r>
        <w:rPr>
          <w:rFonts w:hint="eastAsia" w:ascii="仿宋" w:hAnsi="仿宋" w:eastAsia="仿宋" w:cs="仿宋"/>
          <w:sz w:val="32"/>
          <w:szCs w:val="32"/>
          <w:u w:color="000000"/>
        </w:rPr>
        <w:t>管理</w:t>
      </w:r>
      <w:r>
        <w:rPr>
          <w:rFonts w:hint="eastAsia" w:ascii="仿宋" w:hAnsi="仿宋" w:eastAsia="仿宋" w:cs="仿宋"/>
          <w:sz w:val="32"/>
          <w:szCs w:val="32"/>
          <w:u w:color="000000"/>
          <w:lang w:eastAsia="zh-CN"/>
        </w:rPr>
        <w:t>、</w:t>
      </w:r>
      <w:r>
        <w:rPr>
          <w:rFonts w:hint="eastAsia" w:ascii="仿宋" w:hAnsi="仿宋" w:eastAsia="仿宋" w:cs="仿宋"/>
          <w:sz w:val="32"/>
          <w:szCs w:val="32"/>
          <w:u w:color="000000"/>
          <w:lang w:val="en-US" w:eastAsia="zh-CN"/>
        </w:rPr>
        <w:t>公开公示、财务核算等方面</w:t>
      </w:r>
      <w:r>
        <w:rPr>
          <w:rFonts w:hint="eastAsia" w:ascii="仿宋" w:hAnsi="仿宋" w:eastAsia="仿宋" w:cs="仿宋"/>
          <w:sz w:val="32"/>
          <w:szCs w:val="32"/>
          <w:u w:color="000000"/>
        </w:rPr>
        <w:t>还存在不足。</w:t>
      </w:r>
    </w:p>
    <w:p w14:paraId="22DA22CE">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1.资金管理</w:t>
      </w:r>
    </w:p>
    <w:p w14:paraId="1D86BF24">
      <w:pPr>
        <w:spacing w:line="580" w:lineRule="exact"/>
        <w:ind w:firstLine="640" w:firstLineChars="200"/>
        <w:rPr>
          <w:rFonts w:hint="default" w:ascii="仿宋" w:hAnsi="仿宋" w:eastAsia="仿宋" w:cs="仿宋"/>
          <w:sz w:val="32"/>
          <w:szCs w:val="32"/>
          <w:u w:color="000000"/>
          <w:lang w:val="en-US" w:eastAsia="zh-CN"/>
        </w:rPr>
      </w:pPr>
      <w:r>
        <w:rPr>
          <w:rFonts w:hint="eastAsia" w:ascii="仿宋" w:hAnsi="仿宋" w:eastAsia="仿宋" w:cs="仿宋"/>
          <w:sz w:val="32"/>
          <w:szCs w:val="32"/>
          <w:u w:color="000000"/>
        </w:rPr>
        <w:t>该项目总投资</w:t>
      </w:r>
      <w:r>
        <w:rPr>
          <w:rFonts w:hint="eastAsia" w:ascii="仿宋" w:hAnsi="仿宋" w:eastAsia="仿宋" w:cs="仿宋"/>
          <w:sz w:val="32"/>
          <w:szCs w:val="32"/>
          <w:u w:color="000000"/>
          <w:lang w:val="en-US" w:eastAsia="zh-CN"/>
        </w:rPr>
        <w:t>3</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125</w:t>
      </w:r>
      <w:r>
        <w:rPr>
          <w:rFonts w:hint="eastAsia" w:ascii="仿宋" w:hAnsi="仿宋" w:eastAsia="仿宋" w:cs="仿宋"/>
          <w:sz w:val="32"/>
          <w:szCs w:val="32"/>
          <w:u w:color="000000"/>
        </w:rPr>
        <w:t>,00</w:t>
      </w:r>
      <w:r>
        <w:rPr>
          <w:rFonts w:hint="eastAsia" w:ascii="仿宋" w:hAnsi="仿宋" w:eastAsia="仿宋" w:cs="仿宋"/>
          <w:sz w:val="32"/>
          <w:szCs w:val="32"/>
          <w:u w:color="000000"/>
          <w:lang w:val="en-US" w:eastAsia="zh-CN"/>
        </w:rPr>
        <w:t>5</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41</w:t>
      </w:r>
      <w:r>
        <w:rPr>
          <w:rFonts w:hint="eastAsia" w:ascii="仿宋" w:hAnsi="仿宋" w:eastAsia="仿宋" w:cs="仿宋"/>
          <w:sz w:val="32"/>
          <w:szCs w:val="32"/>
          <w:u w:color="000000"/>
        </w:rPr>
        <w:t>元，资金来源为</w:t>
      </w:r>
      <w:r>
        <w:rPr>
          <w:rFonts w:hint="eastAsia" w:ascii="仿宋" w:hAnsi="仿宋" w:eastAsia="仿宋" w:cs="仿宋"/>
          <w:sz w:val="32"/>
          <w:szCs w:val="32"/>
          <w:u w:color="000000"/>
          <w:lang w:val="en-US" w:eastAsia="zh-CN"/>
        </w:rPr>
        <w:t>革命老区转移支付资金和区财政配套资金</w:t>
      </w:r>
      <w:r>
        <w:rPr>
          <w:rFonts w:hint="eastAsia" w:ascii="仿宋" w:hAnsi="仿宋" w:eastAsia="仿宋" w:cs="仿宋"/>
          <w:sz w:val="32"/>
          <w:szCs w:val="32"/>
          <w:u w:color="000000"/>
        </w:rPr>
        <w:t>。</w:t>
      </w:r>
      <w:r>
        <w:rPr>
          <w:rFonts w:hint="eastAsia" w:ascii="仿宋" w:hAnsi="仿宋" w:eastAsia="仿宋" w:cs="仿宋"/>
          <w:sz w:val="32"/>
          <w:szCs w:val="32"/>
        </w:rPr>
        <w:t>本次资金评价范围为2021年</w:t>
      </w:r>
      <w:r>
        <w:rPr>
          <w:rFonts w:hint="eastAsia" w:ascii="仿宋" w:hAnsi="仿宋" w:eastAsia="仿宋" w:cs="仿宋"/>
          <w:sz w:val="32"/>
          <w:szCs w:val="32"/>
          <w:lang w:val="en-US" w:eastAsia="zh-CN"/>
        </w:rPr>
        <w:t>革命老区转移支付</w:t>
      </w:r>
      <w:r>
        <w:rPr>
          <w:rFonts w:hint="eastAsia" w:ascii="仿宋" w:hAnsi="仿宋" w:eastAsia="仿宋" w:cs="仿宋"/>
          <w:sz w:val="32"/>
          <w:szCs w:val="32"/>
        </w:rPr>
        <w:t>资金</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z w:val="32"/>
          <w:szCs w:val="32"/>
          <w:lang w:val="en-US" w:eastAsia="zh-CN"/>
        </w:rPr>
        <w:t>81</w:t>
      </w:r>
      <w:r>
        <w:rPr>
          <w:rFonts w:hint="eastAsia" w:ascii="仿宋" w:hAnsi="仿宋" w:eastAsia="仿宋" w:cs="仿宋"/>
          <w:sz w:val="32"/>
          <w:szCs w:val="32"/>
        </w:rPr>
        <w:t>0,000.00元，实际到位资金</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z w:val="32"/>
          <w:szCs w:val="32"/>
          <w:lang w:val="en-US" w:eastAsia="zh-CN"/>
        </w:rPr>
        <w:t>81</w:t>
      </w:r>
      <w:r>
        <w:rPr>
          <w:rFonts w:hint="eastAsia" w:ascii="仿宋" w:hAnsi="仿宋" w:eastAsia="仿宋" w:cs="仿宋"/>
          <w:sz w:val="32"/>
          <w:szCs w:val="32"/>
        </w:rPr>
        <w:t>0,000.00元，资金到位率100%，实际支出</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z w:val="32"/>
          <w:szCs w:val="32"/>
          <w:lang w:val="en-US" w:eastAsia="zh-CN"/>
        </w:rPr>
        <w:t>81</w:t>
      </w:r>
      <w:r>
        <w:rPr>
          <w:rFonts w:hint="eastAsia" w:ascii="仿宋" w:hAnsi="仿宋" w:eastAsia="仿宋" w:cs="仿宋"/>
          <w:sz w:val="32"/>
          <w:szCs w:val="32"/>
        </w:rPr>
        <w:t>0,000.00元，预算执行率100%。项目的</w:t>
      </w:r>
      <w:r>
        <w:rPr>
          <w:rFonts w:hint="eastAsia" w:ascii="仿宋" w:hAnsi="仿宋" w:eastAsia="仿宋" w:cs="仿宋"/>
          <w:sz w:val="32"/>
          <w:szCs w:val="32"/>
          <w:u w:color="000000"/>
        </w:rPr>
        <w:t>资金拨付有完整的审批程序手续、符合合同约定的用途。</w:t>
      </w:r>
      <w:r>
        <w:rPr>
          <w:rFonts w:hint="eastAsia" w:ascii="仿宋" w:hAnsi="仿宋" w:eastAsia="仿宋" w:cs="仿宋"/>
          <w:sz w:val="32"/>
          <w:szCs w:val="32"/>
          <w:u w:color="000000"/>
          <w:lang w:val="en-US" w:eastAsia="zh-CN"/>
        </w:rPr>
        <w:t>但教体局通过“</w:t>
      </w:r>
      <w:r>
        <w:rPr>
          <w:rFonts w:hint="eastAsia" w:ascii="仿宋" w:hAnsi="仿宋" w:eastAsia="仿宋" w:cs="仿宋"/>
          <w:color w:val="auto"/>
          <w:sz w:val="32"/>
          <w:szCs w:val="32"/>
          <w:u w:color="000000"/>
          <w:lang w:val="en-US" w:eastAsia="zh-CN"/>
        </w:rPr>
        <w:t>其他应付款</w:t>
      </w:r>
      <w:r>
        <w:rPr>
          <w:rFonts w:hint="eastAsia" w:ascii="仿宋" w:hAnsi="仿宋" w:eastAsia="仿宋" w:cs="仿宋"/>
          <w:sz w:val="32"/>
          <w:szCs w:val="32"/>
          <w:u w:color="000000"/>
          <w:lang w:val="en-US" w:eastAsia="zh-CN"/>
        </w:rPr>
        <w:t>”对项目资金进行核算，存在财务核算不规范的问题。</w:t>
      </w:r>
    </w:p>
    <w:p w14:paraId="1ED2560E">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该指标满分13分，得分</w:t>
      </w:r>
      <w:r>
        <w:rPr>
          <w:rFonts w:hint="eastAsia" w:ascii="仿宋" w:hAnsi="仿宋" w:eastAsia="仿宋" w:cs="仿宋"/>
          <w:sz w:val="32"/>
          <w:szCs w:val="32"/>
          <w:u w:color="000000"/>
          <w:lang w:val="en-US" w:eastAsia="zh-CN"/>
        </w:rPr>
        <w:t>12</w:t>
      </w:r>
      <w:r>
        <w:rPr>
          <w:rFonts w:hint="eastAsia" w:ascii="仿宋" w:hAnsi="仿宋" w:eastAsia="仿宋" w:cs="仿宋"/>
          <w:sz w:val="32"/>
          <w:szCs w:val="32"/>
          <w:u w:color="000000"/>
        </w:rPr>
        <w:t>分，得分率</w:t>
      </w:r>
      <w:r>
        <w:rPr>
          <w:rFonts w:hint="eastAsia" w:ascii="仿宋" w:hAnsi="仿宋" w:eastAsia="仿宋" w:cs="仿宋"/>
          <w:sz w:val="32"/>
          <w:szCs w:val="32"/>
          <w:u w:color="000000"/>
          <w:lang w:val="en-US" w:eastAsia="zh-CN"/>
        </w:rPr>
        <w:t>92.31</w:t>
      </w:r>
      <w:r>
        <w:rPr>
          <w:rFonts w:hint="eastAsia" w:ascii="仿宋" w:hAnsi="仿宋" w:eastAsia="仿宋" w:cs="仿宋"/>
          <w:sz w:val="32"/>
          <w:szCs w:val="32"/>
          <w:u w:color="000000"/>
        </w:rPr>
        <w:t>%。</w:t>
      </w:r>
    </w:p>
    <w:p w14:paraId="19BC1220">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2.组织实施</w:t>
      </w:r>
    </w:p>
    <w:p w14:paraId="7AE55FF0">
      <w:pPr>
        <w:spacing w:line="360" w:lineRule="auto"/>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在制度制定方面，教体局制定了《</w:t>
      </w:r>
      <w:r>
        <w:rPr>
          <w:rFonts w:hint="eastAsia" w:ascii="仿宋" w:hAnsi="仿宋" w:eastAsia="仿宋" w:cs="仿宋"/>
          <w:sz w:val="32"/>
          <w:szCs w:val="32"/>
          <w:u w:color="000000"/>
          <w:lang w:val="en-US" w:eastAsia="zh-CN"/>
        </w:rPr>
        <w:t>关于深化中小学校（幼儿园）财务工作绩效评价的通知</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但未建立革命老区转移支付资金绩效运行监控机制</w:t>
      </w:r>
      <w:r>
        <w:rPr>
          <w:rFonts w:hint="eastAsia" w:ascii="仿宋" w:hAnsi="仿宋" w:eastAsia="仿宋" w:cs="仿宋"/>
          <w:sz w:val="32"/>
          <w:szCs w:val="32"/>
          <w:u w:color="000000"/>
        </w:rPr>
        <w:t>。在制度执行方面，严格按照经核准的招标方案组织招标，并与中标单位签订合同。</w:t>
      </w:r>
      <w:r>
        <w:rPr>
          <w:rFonts w:hint="eastAsia" w:ascii="仿宋" w:hAnsi="仿宋" w:eastAsia="仿宋" w:cs="仿宋"/>
          <w:sz w:val="32"/>
          <w:szCs w:val="32"/>
        </w:rPr>
        <w:t>但通过查看项目资料发现</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一是</w:t>
      </w:r>
      <w:r>
        <w:rPr>
          <w:rFonts w:hint="eastAsia" w:ascii="仿宋" w:hAnsi="仿宋" w:eastAsia="仿宋" w:cs="仿宋"/>
          <w:sz w:val="32"/>
          <w:szCs w:val="32"/>
        </w:rPr>
        <w:t>公告公示地点</w:t>
      </w:r>
      <w:r>
        <w:rPr>
          <w:rFonts w:hint="eastAsia" w:ascii="仿宋" w:hAnsi="仿宋" w:eastAsia="仿宋" w:cs="仿宋"/>
          <w:sz w:val="32"/>
          <w:szCs w:val="32"/>
          <w:lang w:val="en-US" w:eastAsia="zh-CN"/>
        </w:rPr>
        <w:t>没有全部覆盖55所学校</w:t>
      </w:r>
      <w:r>
        <w:rPr>
          <w:rFonts w:hint="eastAsia" w:ascii="仿宋" w:hAnsi="仿宋" w:eastAsia="仿宋" w:cs="仿宋"/>
          <w:sz w:val="32"/>
          <w:szCs w:val="32"/>
        </w:rPr>
        <w:t>、公示</w:t>
      </w:r>
      <w:r>
        <w:rPr>
          <w:rFonts w:hint="eastAsia" w:ascii="仿宋" w:hAnsi="仿宋" w:eastAsia="仿宋" w:cs="仿宋"/>
          <w:sz w:val="32"/>
          <w:szCs w:val="32"/>
          <w:lang w:val="en-US" w:eastAsia="zh-CN"/>
        </w:rPr>
        <w:t>内容未</w:t>
      </w:r>
      <w:r>
        <w:rPr>
          <w:rFonts w:hint="eastAsia" w:ascii="仿宋" w:hAnsi="仿宋" w:eastAsia="仿宋" w:cs="仿宋"/>
          <w:sz w:val="32"/>
          <w:szCs w:val="32"/>
        </w:rPr>
        <w:t>包含资金规模。</w:t>
      </w:r>
      <w:r>
        <w:rPr>
          <w:rFonts w:hint="eastAsia" w:ascii="仿宋" w:hAnsi="仿宋" w:eastAsia="仿宋" w:cs="仿宋"/>
          <w:sz w:val="32"/>
          <w:szCs w:val="32"/>
          <w:lang w:val="en-US" w:eastAsia="zh-CN"/>
        </w:rPr>
        <w:t>二是合同内容与</w:t>
      </w:r>
      <w:r>
        <w:rPr>
          <w:rFonts w:hint="eastAsia" w:ascii="仿宋" w:hAnsi="仿宋" w:eastAsia="仿宋" w:cs="仿宋"/>
          <w:sz w:val="32"/>
          <w:szCs w:val="32"/>
        </w:rPr>
        <w:t>招标文件的实质性条款</w:t>
      </w:r>
      <w:r>
        <w:rPr>
          <w:rFonts w:hint="eastAsia" w:ascii="仿宋" w:hAnsi="仿宋" w:eastAsia="仿宋" w:cs="仿宋"/>
          <w:sz w:val="32"/>
          <w:szCs w:val="32"/>
          <w:lang w:val="en-US" w:eastAsia="zh-CN"/>
        </w:rPr>
        <w:t>不一致</w:t>
      </w:r>
      <w:r>
        <w:rPr>
          <w:rFonts w:hint="eastAsia" w:ascii="仿宋" w:hAnsi="仿宋" w:eastAsia="仿宋" w:cs="仿宋"/>
          <w:sz w:val="32"/>
          <w:szCs w:val="32"/>
        </w:rPr>
        <w:t>。该项目招标文件第二章供应商须知中明确</w:t>
      </w:r>
      <w:r>
        <w:rPr>
          <w:rFonts w:hint="eastAsia" w:ascii="仿宋" w:hAnsi="仿宋" w:eastAsia="仿宋" w:cs="仿宋"/>
          <w:sz w:val="32"/>
          <w:szCs w:val="32"/>
          <w:lang w:eastAsia="zh-CN"/>
        </w:rPr>
        <w:t>，</w:t>
      </w:r>
      <w:r>
        <w:rPr>
          <w:rFonts w:hint="eastAsia" w:ascii="仿宋" w:hAnsi="仿宋" w:eastAsia="仿宋" w:cs="仿宋"/>
          <w:sz w:val="32"/>
          <w:szCs w:val="32"/>
        </w:rPr>
        <w:t>付款方式为货到验收调试合格后支付货款，质保金3%，质保期满后一次性无息付清。而该项目的合同约定，签订合同后预付合同总价的30%，货到安装调试验收合格后支付合同总价的67%，剩余3%为货物质保金，质保期满后一次性无息付清。</w:t>
      </w:r>
    </w:p>
    <w:p w14:paraId="616C13E6">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rPr>
        <w:t>该指标满分9分，得分</w:t>
      </w:r>
      <w:r>
        <w:rPr>
          <w:rFonts w:hint="eastAsia" w:ascii="仿宋" w:hAnsi="仿宋" w:eastAsia="仿宋" w:cs="仿宋"/>
          <w:sz w:val="32"/>
          <w:szCs w:val="32"/>
          <w:lang w:val="en-US" w:eastAsia="zh-CN"/>
        </w:rPr>
        <w:t>5</w:t>
      </w:r>
      <w:r>
        <w:rPr>
          <w:rFonts w:hint="eastAsia" w:ascii="仿宋" w:hAnsi="仿宋" w:eastAsia="仿宋" w:cs="仿宋"/>
          <w:sz w:val="32"/>
          <w:szCs w:val="32"/>
        </w:rPr>
        <w:t>分，得分率</w:t>
      </w:r>
      <w:r>
        <w:rPr>
          <w:rFonts w:hint="eastAsia" w:ascii="仿宋" w:hAnsi="仿宋" w:eastAsia="仿宋" w:cs="仿宋"/>
          <w:sz w:val="32"/>
          <w:szCs w:val="32"/>
          <w:lang w:val="en-US" w:eastAsia="zh-CN"/>
        </w:rPr>
        <w:t>55.56</w:t>
      </w:r>
      <w:r>
        <w:rPr>
          <w:rFonts w:hint="eastAsia" w:ascii="仿宋" w:hAnsi="仿宋" w:eastAsia="仿宋" w:cs="仿宋"/>
          <w:sz w:val="32"/>
          <w:szCs w:val="32"/>
        </w:rPr>
        <w:t>%。</w:t>
      </w:r>
    </w:p>
    <w:p w14:paraId="27E81E8E">
      <w:pPr>
        <w:spacing w:line="580" w:lineRule="exact"/>
        <w:ind w:firstLine="643" w:firstLineChars="200"/>
        <w:rPr>
          <w:rFonts w:hint="eastAsia" w:ascii="仿宋" w:hAnsi="仿宋" w:eastAsia="仿宋" w:cs="仿宋"/>
          <w:sz w:val="32"/>
          <w:szCs w:val="32"/>
        </w:rPr>
      </w:pPr>
      <w:bookmarkStart w:id="130" w:name="_Toc85202864"/>
      <w:bookmarkStart w:id="131" w:name="_Toc85203159"/>
      <w:bookmarkStart w:id="132" w:name="_Toc89419998"/>
      <w:bookmarkStart w:id="133" w:name="_Toc29555"/>
      <w:bookmarkStart w:id="134" w:name="_Toc72846139"/>
      <w:bookmarkStart w:id="135" w:name="_Toc85202954"/>
      <w:r>
        <w:rPr>
          <w:rStyle w:val="31"/>
          <w:rFonts w:hint="eastAsia" w:ascii="楷体_GB2312" w:eastAsia="楷体_GB2312"/>
        </w:rPr>
        <w:t>（三）产出。</w:t>
      </w:r>
      <w:bookmarkEnd w:id="130"/>
      <w:bookmarkEnd w:id="131"/>
      <w:bookmarkEnd w:id="132"/>
      <w:bookmarkEnd w:id="133"/>
      <w:bookmarkEnd w:id="134"/>
      <w:bookmarkEnd w:id="135"/>
      <w:r>
        <w:rPr>
          <w:rFonts w:hint="eastAsia" w:ascii="仿宋" w:hAnsi="仿宋" w:eastAsia="仿宋" w:cs="仿宋"/>
          <w:sz w:val="32"/>
          <w:szCs w:val="32"/>
        </w:rPr>
        <w:t>产出绩效指标满分32分，得分</w:t>
      </w:r>
      <w:r>
        <w:rPr>
          <w:rFonts w:hint="eastAsia" w:ascii="仿宋" w:hAnsi="仿宋" w:eastAsia="仿宋" w:cs="仿宋"/>
          <w:sz w:val="32"/>
          <w:szCs w:val="32"/>
          <w:lang w:val="en-US" w:eastAsia="zh-CN"/>
        </w:rPr>
        <w:t>32</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14:paraId="4BE7D946">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1.产出数量</w:t>
      </w:r>
    </w:p>
    <w:p w14:paraId="1B073CAB">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徐水区</w:t>
      </w:r>
      <w:r>
        <w:rPr>
          <w:rFonts w:hint="eastAsia" w:ascii="仿宋" w:hAnsi="仿宋" w:eastAsia="仿宋" w:cs="仿宋"/>
          <w:sz w:val="32"/>
          <w:szCs w:val="32"/>
          <w:lang w:val="en-US" w:eastAsia="zh-CN"/>
        </w:rPr>
        <w:t>教育和体育</w:t>
      </w:r>
      <w:r>
        <w:rPr>
          <w:rFonts w:hint="eastAsia" w:ascii="仿宋" w:hAnsi="仿宋" w:eastAsia="仿宋" w:cs="仿宋"/>
          <w:sz w:val="32"/>
          <w:szCs w:val="32"/>
        </w:rPr>
        <w:t>局</w:t>
      </w:r>
      <w:r>
        <w:rPr>
          <w:rFonts w:hint="eastAsia" w:ascii="仿宋" w:hAnsi="仿宋" w:eastAsia="仿宋" w:cs="仿宋"/>
          <w:sz w:val="32"/>
          <w:szCs w:val="32"/>
          <w:lang w:val="en-US" w:eastAsia="zh-CN"/>
        </w:rPr>
        <w:t>按照批复的政府采购计划备案表的要求完成了9769套课桌椅的购置工作。</w:t>
      </w:r>
    </w:p>
    <w:p w14:paraId="2604076A">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该指标满分8分，得分</w:t>
      </w:r>
      <w:r>
        <w:rPr>
          <w:rFonts w:hint="eastAsia" w:ascii="仿宋" w:hAnsi="仿宋" w:eastAsia="仿宋" w:cs="仿宋"/>
          <w:sz w:val="32"/>
          <w:szCs w:val="32"/>
          <w:lang w:val="en-US" w:eastAsia="zh-CN"/>
        </w:rPr>
        <w:t>8</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14:paraId="19755893">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2.产出质量</w:t>
      </w:r>
    </w:p>
    <w:p w14:paraId="78237412">
      <w:pPr>
        <w:spacing w:line="580" w:lineRule="exact"/>
        <w:ind w:firstLine="640" w:firstLineChars="200"/>
        <w:rPr>
          <w:rFonts w:hint="eastAsia" w:ascii="仿宋" w:hAnsi="仿宋" w:eastAsia="仿宋" w:cs="仿宋"/>
          <w:sz w:val="32"/>
          <w:szCs w:val="32"/>
          <w:lang w:bidi="ar"/>
        </w:rPr>
      </w:pPr>
      <w:r>
        <w:rPr>
          <w:rFonts w:hint="eastAsia" w:ascii="仿宋" w:hAnsi="仿宋" w:eastAsia="仿宋" w:cs="仿宋"/>
          <w:sz w:val="32"/>
          <w:szCs w:val="32"/>
          <w:lang w:bidi="ar"/>
        </w:rPr>
        <w:t>经检查，</w:t>
      </w:r>
      <w:r>
        <w:rPr>
          <w:rFonts w:hint="eastAsia" w:ascii="仿宋" w:hAnsi="仿宋" w:eastAsia="仿宋" w:cs="仿宋"/>
          <w:sz w:val="32"/>
          <w:szCs w:val="32"/>
          <w:lang w:val="en-US" w:eastAsia="zh-CN" w:bidi="ar"/>
        </w:rPr>
        <w:t>该</w:t>
      </w:r>
      <w:r>
        <w:rPr>
          <w:rFonts w:hint="eastAsia" w:ascii="仿宋" w:hAnsi="仿宋" w:eastAsia="仿宋" w:cs="仿宋"/>
          <w:sz w:val="32"/>
          <w:szCs w:val="32"/>
          <w:lang w:bidi="ar"/>
        </w:rPr>
        <w:t>项目</w:t>
      </w:r>
      <w:r>
        <w:rPr>
          <w:rFonts w:hint="eastAsia" w:ascii="仿宋" w:hAnsi="仿宋" w:eastAsia="仿宋" w:cs="仿宋"/>
          <w:sz w:val="32"/>
          <w:szCs w:val="32"/>
          <w:lang w:val="en-US" w:eastAsia="zh-CN" w:bidi="ar"/>
        </w:rPr>
        <w:t>所涉课桌椅由相关学校对供应商所提供商品</w:t>
      </w:r>
      <w:r>
        <w:rPr>
          <w:rFonts w:hint="eastAsia" w:ascii="仿宋" w:hAnsi="仿宋" w:eastAsia="仿宋" w:cs="仿宋"/>
          <w:sz w:val="32"/>
          <w:szCs w:val="32"/>
          <w:lang w:bidi="ar"/>
        </w:rPr>
        <w:t>进行了验收，验收合格。</w:t>
      </w:r>
    </w:p>
    <w:p w14:paraId="221536F4">
      <w:pPr>
        <w:spacing w:line="58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该指标满分8分，得分</w:t>
      </w:r>
      <w:r>
        <w:rPr>
          <w:rFonts w:hint="eastAsia" w:ascii="仿宋" w:hAnsi="仿宋" w:eastAsia="仿宋" w:cs="仿宋"/>
          <w:color w:val="000000" w:themeColor="text1"/>
          <w:sz w:val="32"/>
          <w:szCs w:val="32"/>
          <w:lang w:val="en-US" w:eastAsia="zh-CN"/>
          <w14:textFill>
            <w14:solidFill>
              <w14:schemeClr w14:val="tx1"/>
            </w14:solidFill>
          </w14:textFill>
        </w:rPr>
        <w:t>8</w:t>
      </w:r>
      <w:r>
        <w:rPr>
          <w:rFonts w:hint="eastAsia" w:ascii="仿宋" w:hAnsi="仿宋" w:eastAsia="仿宋" w:cs="仿宋"/>
          <w:color w:val="000000" w:themeColor="text1"/>
          <w:sz w:val="32"/>
          <w:szCs w:val="32"/>
          <w14:textFill>
            <w14:solidFill>
              <w14:schemeClr w14:val="tx1"/>
            </w14:solidFill>
          </w14:textFill>
        </w:rPr>
        <w:t>分，得分率</w:t>
      </w:r>
      <w:r>
        <w:rPr>
          <w:rFonts w:hint="eastAsia" w:ascii="仿宋" w:hAnsi="仿宋" w:eastAsia="仿宋" w:cs="仿宋"/>
          <w:color w:val="000000" w:themeColor="text1"/>
          <w:sz w:val="32"/>
          <w:szCs w:val="32"/>
          <w:lang w:val="en-US" w:eastAsia="zh-CN"/>
          <w14:textFill>
            <w14:solidFill>
              <w14:schemeClr w14:val="tx1"/>
            </w14:solidFill>
          </w14:textFill>
        </w:rPr>
        <w:t>100</w:t>
      </w:r>
      <w:r>
        <w:rPr>
          <w:rFonts w:hint="eastAsia" w:ascii="仿宋" w:hAnsi="仿宋" w:eastAsia="仿宋" w:cs="仿宋"/>
          <w:color w:val="000000" w:themeColor="text1"/>
          <w:sz w:val="32"/>
          <w:szCs w:val="32"/>
          <w14:textFill>
            <w14:solidFill>
              <w14:schemeClr w14:val="tx1"/>
            </w14:solidFill>
          </w14:textFill>
        </w:rPr>
        <w:t>%。</w:t>
      </w:r>
    </w:p>
    <w:p w14:paraId="6C90C1CF">
      <w:pPr>
        <w:spacing w:line="580" w:lineRule="exact"/>
        <w:ind w:firstLine="640" w:firstLineChars="200"/>
        <w:rPr>
          <w:rFonts w:hint="eastAsia" w:ascii="仿宋" w:hAnsi="仿宋" w:eastAsia="仿宋" w:cs="仿宋"/>
          <w:sz w:val="32"/>
          <w:szCs w:val="32"/>
        </w:rPr>
      </w:pPr>
      <w:bookmarkStart w:id="136" w:name="_Toc32611"/>
      <w:bookmarkStart w:id="137" w:name="_Toc72846140"/>
      <w:bookmarkStart w:id="138" w:name="_Toc72845872"/>
      <w:bookmarkStart w:id="139" w:name="_Toc85202865"/>
      <w:bookmarkStart w:id="140" w:name="_Toc2209"/>
      <w:r>
        <w:rPr>
          <w:rFonts w:hint="eastAsia" w:ascii="仿宋" w:hAnsi="仿宋" w:eastAsia="仿宋" w:cs="仿宋"/>
          <w:sz w:val="32"/>
          <w:szCs w:val="32"/>
        </w:rPr>
        <w:t>3.产出时效</w:t>
      </w:r>
      <w:bookmarkEnd w:id="136"/>
      <w:bookmarkEnd w:id="137"/>
      <w:bookmarkEnd w:id="138"/>
      <w:bookmarkEnd w:id="139"/>
      <w:bookmarkEnd w:id="140"/>
    </w:p>
    <w:p w14:paraId="326F2ED1">
      <w:pPr>
        <w:spacing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该项目实施方案的计划完成时间为2021年8月30日，徐水区教体局</w:t>
      </w:r>
      <w:r>
        <w:rPr>
          <w:rFonts w:hint="eastAsia" w:ascii="仿宋" w:hAnsi="仿宋" w:eastAsia="仿宋" w:cs="仿宋"/>
          <w:sz w:val="32"/>
          <w:szCs w:val="32"/>
        </w:rPr>
        <w:t>与河北</w:t>
      </w:r>
      <w:r>
        <w:rPr>
          <w:rFonts w:hint="eastAsia" w:ascii="仿宋" w:hAnsi="仿宋" w:eastAsia="仿宋" w:cs="仿宋"/>
          <w:sz w:val="32"/>
          <w:szCs w:val="32"/>
          <w:lang w:val="en-US" w:eastAsia="zh-CN"/>
        </w:rPr>
        <w:t>白诺墨轩电子科技有限公司于</w:t>
      </w:r>
      <w:r>
        <w:rPr>
          <w:rFonts w:hint="eastAsia" w:ascii="仿宋" w:hAnsi="仿宋" w:eastAsia="仿宋" w:cs="仿宋"/>
          <w:sz w:val="32"/>
          <w:szCs w:val="32"/>
        </w:rPr>
        <w:t>2021年6月</w:t>
      </w:r>
      <w:r>
        <w:rPr>
          <w:rFonts w:hint="eastAsia" w:ascii="仿宋" w:hAnsi="仿宋" w:eastAsia="仿宋" w:cs="仿宋"/>
          <w:sz w:val="32"/>
          <w:szCs w:val="32"/>
          <w:lang w:val="en-US" w:eastAsia="zh-CN"/>
        </w:rPr>
        <w:t>28日签订了合同，合同约定：签订合同后28日内完成交付。该项目实际于</w:t>
      </w:r>
      <w:r>
        <w:rPr>
          <w:rFonts w:hint="eastAsia" w:ascii="仿宋" w:hAnsi="仿宋" w:eastAsia="仿宋" w:cs="仿宋"/>
          <w:sz w:val="32"/>
          <w:szCs w:val="32"/>
        </w:rPr>
        <w:t>2021年7月25日完成全部课桌椅的交付工作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符合计划要求。</w:t>
      </w:r>
    </w:p>
    <w:p w14:paraId="46E67F2D">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该指标满分8分，得分</w:t>
      </w:r>
      <w:r>
        <w:rPr>
          <w:rFonts w:hint="eastAsia" w:ascii="仿宋" w:hAnsi="仿宋" w:eastAsia="仿宋" w:cs="仿宋"/>
          <w:sz w:val="32"/>
          <w:szCs w:val="32"/>
          <w:lang w:val="en-US" w:eastAsia="zh-CN"/>
        </w:rPr>
        <w:t>8</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w:t>
      </w:r>
      <w:r>
        <w:rPr>
          <w:rFonts w:hint="eastAsia" w:ascii="仿宋" w:hAnsi="仿宋" w:eastAsia="仿宋" w:cs="仿宋"/>
          <w:sz w:val="32"/>
          <w:szCs w:val="32"/>
        </w:rPr>
        <w:t>0%。</w:t>
      </w:r>
    </w:p>
    <w:p w14:paraId="1DE6A521">
      <w:pPr>
        <w:spacing w:line="580" w:lineRule="exact"/>
        <w:ind w:firstLine="640" w:firstLineChars="200"/>
        <w:rPr>
          <w:rFonts w:hint="eastAsia" w:ascii="仿宋" w:hAnsi="仿宋" w:eastAsia="仿宋" w:cs="仿宋"/>
          <w:sz w:val="32"/>
          <w:szCs w:val="32"/>
        </w:rPr>
      </w:pPr>
      <w:bookmarkStart w:id="141" w:name="_Toc17573"/>
      <w:bookmarkStart w:id="142" w:name="_Toc72845873"/>
      <w:bookmarkStart w:id="143" w:name="_Toc85202866"/>
      <w:bookmarkStart w:id="144" w:name="_Toc22429"/>
      <w:bookmarkStart w:id="145" w:name="_Toc72846141"/>
      <w:r>
        <w:rPr>
          <w:rFonts w:hint="eastAsia" w:ascii="仿宋" w:hAnsi="仿宋" w:eastAsia="仿宋" w:cs="仿宋"/>
          <w:sz w:val="32"/>
          <w:szCs w:val="32"/>
        </w:rPr>
        <w:t>4.产出成本</w:t>
      </w:r>
      <w:bookmarkEnd w:id="141"/>
      <w:bookmarkEnd w:id="142"/>
      <w:bookmarkEnd w:id="143"/>
      <w:bookmarkEnd w:id="144"/>
      <w:bookmarkEnd w:id="145"/>
    </w:p>
    <w:p w14:paraId="46F13B70">
      <w:pPr>
        <w:spacing w:line="580" w:lineRule="exact"/>
        <w:ind w:firstLine="640" w:firstLineChars="200"/>
        <w:rPr>
          <w:rFonts w:hint="eastAsia" w:ascii="仿宋" w:hAnsi="仿宋" w:eastAsia="仿宋" w:cs="仿宋"/>
          <w:sz w:val="32"/>
          <w:szCs w:val="32"/>
          <w:lang w:bidi="ar"/>
        </w:rPr>
      </w:pPr>
      <w:r>
        <w:rPr>
          <w:rFonts w:hint="eastAsia" w:ascii="仿宋" w:hAnsi="仿宋" w:eastAsia="仿宋" w:cs="仿宋"/>
          <w:sz w:val="32"/>
          <w:szCs w:val="32"/>
          <w:lang w:bidi="ar"/>
        </w:rPr>
        <w:t>该项目</w:t>
      </w:r>
      <w:r>
        <w:rPr>
          <w:rFonts w:hint="eastAsia" w:ascii="仿宋" w:hAnsi="仿宋" w:eastAsia="仿宋" w:cs="仿宋"/>
          <w:sz w:val="32"/>
          <w:szCs w:val="32"/>
          <w:lang w:val="en-US" w:eastAsia="zh-CN" w:bidi="ar"/>
        </w:rPr>
        <w:t>批复的</w:t>
      </w:r>
      <w:r>
        <w:rPr>
          <w:rFonts w:hint="eastAsia" w:ascii="仿宋" w:hAnsi="仿宋" w:eastAsia="仿宋" w:cs="仿宋"/>
          <w:sz w:val="32"/>
          <w:szCs w:val="32"/>
          <w:lang w:bidi="ar"/>
        </w:rPr>
        <w:t>预算金额为3,301,922.00元，2021年6月通过公开招标确定供应商为河北白诺墨轩电子科技有限公司，中标价为3,125,005.41元</w:t>
      </w:r>
      <w:r>
        <w:rPr>
          <w:rFonts w:hint="eastAsia" w:ascii="仿宋" w:hAnsi="仿宋" w:eastAsia="仿宋" w:cs="仿宋"/>
          <w:sz w:val="32"/>
          <w:szCs w:val="32"/>
          <w:lang w:eastAsia="zh-CN" w:bidi="ar"/>
        </w:rPr>
        <w:t>，</w:t>
      </w:r>
      <w:r>
        <w:rPr>
          <w:rFonts w:hint="eastAsia" w:ascii="仿宋" w:hAnsi="仿宋" w:eastAsia="仿宋" w:cs="仿宋"/>
          <w:sz w:val="32"/>
          <w:szCs w:val="32"/>
          <w:lang w:val="en-US" w:eastAsia="zh-CN" w:bidi="ar"/>
        </w:rPr>
        <w:t>资金节约率为5.36%</w:t>
      </w:r>
      <w:r>
        <w:rPr>
          <w:rFonts w:hint="eastAsia" w:ascii="仿宋" w:hAnsi="仿宋" w:eastAsia="仿宋" w:cs="仿宋"/>
          <w:sz w:val="32"/>
          <w:szCs w:val="32"/>
          <w:lang w:bidi="ar"/>
        </w:rPr>
        <w:t>。</w:t>
      </w:r>
    </w:p>
    <w:p w14:paraId="7C95BCA2">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该指标满分8分，得分8分，得分率100%。</w:t>
      </w:r>
    </w:p>
    <w:p w14:paraId="1BFB1A64">
      <w:pPr>
        <w:spacing w:line="580" w:lineRule="exact"/>
        <w:ind w:firstLine="643" w:firstLineChars="200"/>
        <w:rPr>
          <w:rFonts w:hint="eastAsia" w:ascii="仿宋" w:hAnsi="仿宋" w:eastAsia="仿宋" w:cs="仿宋"/>
          <w:sz w:val="32"/>
          <w:szCs w:val="32"/>
        </w:rPr>
      </w:pPr>
      <w:bookmarkStart w:id="146" w:name="_Toc85202955"/>
      <w:bookmarkStart w:id="147" w:name="_Toc85203160"/>
      <w:bookmarkStart w:id="148" w:name="_Toc89419999"/>
      <w:bookmarkStart w:id="149" w:name="_Toc85202867"/>
      <w:bookmarkStart w:id="150" w:name="_Toc22822"/>
      <w:bookmarkStart w:id="151" w:name="_Toc72846142"/>
      <w:r>
        <w:rPr>
          <w:rStyle w:val="31"/>
          <w:rFonts w:hint="eastAsia" w:ascii="楷体" w:hAnsi="楷体" w:eastAsia="楷体"/>
        </w:rPr>
        <w:t>（四）效益。</w:t>
      </w:r>
      <w:bookmarkEnd w:id="146"/>
      <w:bookmarkEnd w:id="147"/>
      <w:bookmarkEnd w:id="148"/>
      <w:bookmarkEnd w:id="149"/>
      <w:bookmarkEnd w:id="150"/>
      <w:bookmarkEnd w:id="151"/>
      <w:r>
        <w:rPr>
          <w:rFonts w:hint="eastAsia" w:ascii="仿宋" w:hAnsi="仿宋" w:eastAsia="仿宋" w:cs="仿宋"/>
          <w:sz w:val="32"/>
          <w:szCs w:val="32"/>
        </w:rPr>
        <w:t>效益绩效指标满分28分，得分2</w:t>
      </w:r>
      <w:r>
        <w:rPr>
          <w:rFonts w:hint="eastAsia" w:ascii="仿宋" w:hAnsi="仿宋" w:eastAsia="仿宋" w:cs="仿宋"/>
          <w:sz w:val="32"/>
          <w:szCs w:val="32"/>
          <w:lang w:val="en-US" w:eastAsia="zh-CN"/>
        </w:rPr>
        <w:t>8</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14:paraId="068F330E">
      <w:pPr>
        <w:spacing w:line="580" w:lineRule="exact"/>
        <w:ind w:left="640" w:firstLine="200"/>
        <w:rPr>
          <w:rFonts w:hint="eastAsia" w:ascii="仿宋" w:hAnsi="仿宋" w:eastAsia="仿宋" w:cs="仿宋"/>
          <w:sz w:val="32"/>
          <w:szCs w:val="32"/>
        </w:rPr>
      </w:pPr>
      <w:r>
        <w:rPr>
          <w:rFonts w:hint="eastAsia" w:ascii="仿宋" w:hAnsi="仿宋" w:eastAsia="仿宋" w:cs="仿宋"/>
          <w:sz w:val="32"/>
          <w:szCs w:val="32"/>
        </w:rPr>
        <w:t>1.项目效益</w:t>
      </w:r>
    </w:p>
    <w:p w14:paraId="1AF98F45">
      <w:pPr>
        <w:spacing w:line="58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该项目的实施符合徐水区教育发展规划，解决徐水区学生对学习硬件的迫切需求，消除破旧的课桌椅带来的隐患，改善徐水区现有办学条件和学习环境，</w:t>
      </w:r>
      <w:r>
        <w:rPr>
          <w:rFonts w:hint="eastAsia" w:ascii="仿宋" w:hAnsi="仿宋" w:eastAsia="仿宋" w:cs="仿宋"/>
          <w:color w:val="000000" w:themeColor="text1"/>
          <w:sz w:val="32"/>
          <w:szCs w:val="32"/>
          <w:lang w:val="en-US" w:eastAsia="zh-CN"/>
          <w14:textFill>
            <w14:solidFill>
              <w14:schemeClr w14:val="tx1"/>
            </w14:solidFill>
          </w14:textFill>
        </w:rPr>
        <w:t>对</w:t>
      </w:r>
      <w:r>
        <w:rPr>
          <w:rFonts w:hint="eastAsia" w:ascii="仿宋" w:hAnsi="仿宋" w:eastAsia="仿宋" w:cs="仿宋"/>
          <w:color w:val="000000" w:themeColor="text1"/>
          <w:sz w:val="32"/>
          <w:szCs w:val="32"/>
          <w14:textFill>
            <w14:solidFill>
              <w14:schemeClr w14:val="tx1"/>
            </w14:solidFill>
          </w14:textFill>
        </w:rPr>
        <w:t>提升教育公共服务水平等方面有着</w:t>
      </w:r>
      <w:r>
        <w:rPr>
          <w:rFonts w:hint="eastAsia" w:ascii="仿宋" w:hAnsi="仿宋" w:eastAsia="仿宋" w:cs="仿宋"/>
          <w:color w:val="000000" w:themeColor="text1"/>
          <w:sz w:val="32"/>
          <w:szCs w:val="32"/>
          <w:lang w:val="en-US" w:eastAsia="zh-CN"/>
          <w14:textFill>
            <w14:solidFill>
              <w14:schemeClr w14:val="tx1"/>
            </w14:solidFill>
          </w14:textFill>
        </w:rPr>
        <w:t>积极</w:t>
      </w:r>
      <w:r>
        <w:rPr>
          <w:rFonts w:hint="eastAsia" w:ascii="仿宋" w:hAnsi="仿宋" w:eastAsia="仿宋" w:cs="仿宋"/>
          <w:color w:val="000000" w:themeColor="text1"/>
          <w:sz w:val="32"/>
          <w:szCs w:val="32"/>
          <w14:textFill>
            <w14:solidFill>
              <w14:schemeClr w14:val="tx1"/>
            </w14:solidFill>
          </w14:textFill>
        </w:rPr>
        <w:t>意义。</w:t>
      </w:r>
    </w:p>
    <w:p w14:paraId="48D30721">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w:t>
      </w:r>
      <w:r>
        <w:rPr>
          <w:rFonts w:hint="eastAsia" w:ascii="仿宋" w:hAnsi="仿宋" w:eastAsia="仿宋" w:cs="仿宋"/>
          <w:sz w:val="32"/>
          <w:szCs w:val="32"/>
          <w:lang w:val="en-US" w:eastAsia="zh-CN"/>
        </w:rPr>
        <w:t>18</w:t>
      </w:r>
      <w:r>
        <w:rPr>
          <w:rFonts w:hint="eastAsia" w:ascii="仿宋" w:hAnsi="仿宋" w:eastAsia="仿宋" w:cs="仿宋"/>
          <w:sz w:val="32"/>
          <w:szCs w:val="32"/>
        </w:rPr>
        <w:t>分，得分</w:t>
      </w:r>
      <w:r>
        <w:rPr>
          <w:rFonts w:hint="eastAsia" w:ascii="仿宋" w:hAnsi="仿宋" w:eastAsia="仿宋" w:cs="仿宋"/>
          <w:sz w:val="32"/>
          <w:szCs w:val="32"/>
          <w:lang w:val="en-US" w:eastAsia="zh-CN"/>
        </w:rPr>
        <w:t>18</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14:paraId="41A1519F">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2.满意度</w:t>
      </w:r>
    </w:p>
    <w:p w14:paraId="3485420A">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该项目已完成并投入使用，通过向受益群众发放调查问卷，满意度为100%。</w:t>
      </w:r>
    </w:p>
    <w:p w14:paraId="302E9E70">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该指标满分10分，得分10分，得分率100%。</w:t>
      </w:r>
    </w:p>
    <w:p w14:paraId="7E3304CD">
      <w:pPr>
        <w:pStyle w:val="3"/>
        <w:spacing w:line="580" w:lineRule="exact"/>
        <w:rPr>
          <w:rFonts w:eastAsia="黑体"/>
        </w:rPr>
      </w:pPr>
      <w:bookmarkStart w:id="152" w:name="_Toc85203161"/>
      <w:bookmarkStart w:id="153" w:name="_Toc85202868"/>
      <w:bookmarkStart w:id="154" w:name="_Toc8823"/>
      <w:bookmarkStart w:id="155" w:name="_Toc2428"/>
      <w:bookmarkStart w:id="156" w:name="_Toc72846143"/>
      <w:bookmarkStart w:id="157" w:name="_Toc85202956"/>
      <w:bookmarkStart w:id="158" w:name="_Toc89420000"/>
      <w:r>
        <w:rPr>
          <w:rFonts w:eastAsia="黑体"/>
        </w:rPr>
        <w:t>五、存在问题</w:t>
      </w:r>
      <w:bookmarkEnd w:id="152"/>
      <w:bookmarkEnd w:id="153"/>
      <w:bookmarkEnd w:id="154"/>
      <w:bookmarkEnd w:id="155"/>
      <w:bookmarkEnd w:id="156"/>
      <w:bookmarkEnd w:id="157"/>
      <w:bookmarkEnd w:id="158"/>
      <w:bookmarkStart w:id="159" w:name="_Toc38447897"/>
      <w:bookmarkStart w:id="160" w:name="_Toc38452641"/>
    </w:p>
    <w:p w14:paraId="455DEAE8">
      <w:pPr>
        <w:pStyle w:val="4"/>
        <w:spacing w:before="0" w:after="0" w:line="580" w:lineRule="exact"/>
        <w:ind w:firstLine="643" w:firstLineChars="200"/>
        <w:rPr>
          <w:rFonts w:ascii="楷体" w:hAnsi="楷体" w:eastAsia="楷体"/>
          <w:bCs w:val="0"/>
        </w:rPr>
      </w:pPr>
      <w:bookmarkStart w:id="161" w:name="_Toc85202957"/>
      <w:bookmarkStart w:id="162" w:name="_Toc85203162"/>
      <w:bookmarkStart w:id="163" w:name="_Toc89420001"/>
      <w:bookmarkStart w:id="164" w:name="_Toc7160"/>
      <w:bookmarkStart w:id="165" w:name="_Toc9233"/>
      <w:bookmarkStart w:id="166" w:name="_Toc85203241"/>
      <w:bookmarkStart w:id="167" w:name="_Toc85202869"/>
      <w:bookmarkStart w:id="168" w:name="_Toc72845876"/>
      <w:bookmarkStart w:id="169" w:name="_Toc72846144"/>
      <w:bookmarkStart w:id="170" w:name="_Toc3251"/>
      <w:bookmarkStart w:id="171" w:name="_Toc41137195"/>
      <w:bookmarkStart w:id="172" w:name="_Toc19057"/>
      <w:r>
        <w:rPr>
          <w:rFonts w:ascii="楷体" w:hAnsi="楷体" w:eastAsia="楷体"/>
          <w:bCs w:val="0"/>
        </w:rPr>
        <w:t>（一）</w:t>
      </w:r>
      <w:r>
        <w:rPr>
          <w:rFonts w:hint="eastAsia" w:ascii="楷体" w:hAnsi="楷体" w:eastAsia="楷体"/>
          <w:bCs w:val="0"/>
        </w:rPr>
        <w:t>决策方面</w:t>
      </w:r>
      <w:bookmarkEnd w:id="161"/>
      <w:bookmarkEnd w:id="162"/>
      <w:bookmarkEnd w:id="163"/>
      <w:bookmarkEnd w:id="164"/>
      <w:bookmarkEnd w:id="165"/>
      <w:bookmarkEnd w:id="166"/>
      <w:bookmarkEnd w:id="167"/>
      <w:bookmarkEnd w:id="168"/>
      <w:bookmarkEnd w:id="169"/>
    </w:p>
    <w:bookmarkEnd w:id="159"/>
    <w:bookmarkEnd w:id="160"/>
    <w:bookmarkEnd w:id="170"/>
    <w:bookmarkEnd w:id="171"/>
    <w:bookmarkEnd w:id="172"/>
    <w:p w14:paraId="2D790EFA">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1.</w:t>
      </w:r>
      <w:r>
        <w:rPr>
          <w:rFonts w:hint="eastAsia" w:ascii="仿宋" w:hAnsi="仿宋" w:eastAsia="仿宋" w:cs="仿宋"/>
          <w:sz w:val="32"/>
          <w:szCs w:val="32"/>
          <w:u w:color="000000"/>
          <w:lang w:val="en-US" w:eastAsia="zh-CN"/>
        </w:rPr>
        <w:t>绩效目标和</w:t>
      </w:r>
      <w:r>
        <w:rPr>
          <w:rFonts w:hint="eastAsia" w:ascii="仿宋" w:hAnsi="仿宋" w:eastAsia="仿宋" w:cs="仿宋"/>
          <w:sz w:val="32"/>
          <w:szCs w:val="32"/>
          <w:u w:color="000000"/>
        </w:rPr>
        <w:t>部分绩效指标设定不科学。</w:t>
      </w:r>
      <w:r>
        <w:rPr>
          <w:rFonts w:hint="eastAsia" w:ascii="仿宋" w:hAnsi="仿宋" w:eastAsia="仿宋" w:cs="仿宋"/>
          <w:b/>
          <w:bCs/>
          <w:color w:val="auto"/>
          <w:sz w:val="32"/>
          <w:szCs w:val="32"/>
          <w:u w:color="000000"/>
        </w:rPr>
        <w:t>一是</w:t>
      </w:r>
      <w:r>
        <w:rPr>
          <w:rFonts w:hint="eastAsia" w:ascii="仿宋" w:hAnsi="仿宋" w:eastAsia="仿宋" w:cs="仿宋"/>
          <w:b w:val="0"/>
          <w:bCs w:val="0"/>
          <w:color w:val="auto"/>
          <w:sz w:val="32"/>
          <w:szCs w:val="32"/>
          <w:u w:color="000000"/>
        </w:rPr>
        <w:t>绩效目标按照</w:t>
      </w:r>
      <w:r>
        <w:rPr>
          <w:rFonts w:hint="eastAsia" w:ascii="仿宋" w:hAnsi="仿宋" w:eastAsia="仿宋" w:cs="仿宋"/>
          <w:b w:val="0"/>
          <w:bCs w:val="0"/>
          <w:color w:val="auto"/>
          <w:sz w:val="32"/>
          <w:szCs w:val="32"/>
          <w:u w:color="000000"/>
          <w:lang w:val="en-US" w:eastAsia="zh-CN"/>
        </w:rPr>
        <w:t>区</w:t>
      </w:r>
      <w:r>
        <w:rPr>
          <w:rFonts w:hint="eastAsia" w:ascii="仿宋" w:hAnsi="仿宋" w:eastAsia="仿宋" w:cs="仿宋"/>
          <w:b w:val="0"/>
          <w:bCs w:val="0"/>
          <w:color w:val="auto"/>
          <w:sz w:val="32"/>
          <w:szCs w:val="32"/>
          <w:u w:color="000000"/>
        </w:rPr>
        <w:t>级财政下达的革命老区转移支付资金文件分别设定，导</w:t>
      </w:r>
      <w:r>
        <w:rPr>
          <w:rFonts w:hint="eastAsia" w:ascii="仿宋" w:hAnsi="仿宋" w:eastAsia="仿宋" w:cs="仿宋"/>
          <w:b w:val="0"/>
          <w:bCs w:val="0"/>
          <w:sz w:val="32"/>
          <w:szCs w:val="32"/>
          <w:u w:color="000000"/>
        </w:rPr>
        <w:t>致一个项目对应两个绩效目标，且与项目总体绩效目标不匹配。</w:t>
      </w:r>
      <w:r>
        <w:rPr>
          <w:rFonts w:hint="eastAsia" w:ascii="仿宋" w:hAnsi="仿宋" w:eastAsia="仿宋" w:cs="仿宋"/>
          <w:b/>
          <w:bCs/>
          <w:sz w:val="32"/>
          <w:szCs w:val="32"/>
          <w:u w:color="000000"/>
        </w:rPr>
        <w:t>二是</w:t>
      </w:r>
      <w:r>
        <w:rPr>
          <w:rFonts w:hint="eastAsia" w:ascii="仿宋" w:hAnsi="仿宋" w:eastAsia="仿宋" w:cs="仿宋"/>
          <w:sz w:val="32"/>
          <w:szCs w:val="32"/>
          <w:u w:color="000000"/>
        </w:rPr>
        <w:t>部分指标的设定与项目</w:t>
      </w:r>
      <w:r>
        <w:rPr>
          <w:rFonts w:hint="eastAsia" w:ascii="仿宋" w:hAnsi="仿宋" w:eastAsia="仿宋" w:cs="仿宋"/>
          <w:sz w:val="32"/>
          <w:szCs w:val="32"/>
          <w:u w:color="000000"/>
          <w:lang w:val="en-US" w:eastAsia="zh-CN"/>
        </w:rPr>
        <w:t>绩效目标的相关性较差、可衡量性较差</w:t>
      </w:r>
      <w:r>
        <w:rPr>
          <w:rFonts w:hint="eastAsia" w:ascii="仿宋" w:hAnsi="仿宋" w:eastAsia="仿宋" w:cs="仿宋"/>
          <w:sz w:val="32"/>
          <w:szCs w:val="32"/>
          <w:u w:color="000000"/>
        </w:rPr>
        <w:t>，例如质量指标</w:t>
      </w:r>
      <w:r>
        <w:rPr>
          <w:rFonts w:hint="eastAsia" w:ascii="仿宋" w:hAnsi="仿宋" w:eastAsia="仿宋" w:cs="仿宋"/>
          <w:sz w:val="32"/>
          <w:szCs w:val="32"/>
          <w:u w:color="000000"/>
          <w:lang w:val="en-US" w:eastAsia="zh-CN"/>
        </w:rPr>
        <w:t>中的“</w:t>
      </w:r>
      <w:r>
        <w:rPr>
          <w:rFonts w:hint="eastAsia" w:ascii="仿宋" w:hAnsi="仿宋" w:eastAsia="仿宋" w:cs="仿宋"/>
          <w:color w:val="000000" w:themeColor="text1"/>
          <w:sz w:val="32"/>
          <w:szCs w:val="32"/>
          <w:u w:color="000000"/>
          <w14:textFill>
            <w14:solidFill>
              <w14:schemeClr w14:val="tx1"/>
            </w14:solidFill>
          </w14:textFill>
        </w:rPr>
        <w:t>办学成本</w:t>
      </w:r>
      <w:r>
        <w:rPr>
          <w:rFonts w:hint="eastAsia" w:ascii="仿宋" w:hAnsi="仿宋" w:eastAsia="仿宋" w:cs="仿宋"/>
          <w:color w:val="000000" w:themeColor="text1"/>
          <w:sz w:val="32"/>
          <w:szCs w:val="32"/>
          <w:u w:color="000000"/>
          <w:lang w:val="en-US" w:eastAsia="zh-CN"/>
          <w14:textFill>
            <w14:solidFill>
              <w14:schemeClr w14:val="tx1"/>
            </w14:solidFill>
          </w14:textFill>
        </w:rPr>
        <w:t>指标</w:t>
      </w:r>
      <w:r>
        <w:rPr>
          <w:rFonts w:hint="eastAsia" w:ascii="仿宋" w:hAnsi="仿宋" w:eastAsia="仿宋" w:cs="仿宋"/>
          <w:sz w:val="32"/>
          <w:szCs w:val="32"/>
          <w:u w:color="000000"/>
          <w:lang w:val="en-US" w:eastAsia="zh-CN"/>
        </w:rPr>
        <w:t>”</w:t>
      </w:r>
      <w:r>
        <w:rPr>
          <w:rFonts w:hint="eastAsia" w:ascii="仿宋" w:hAnsi="仿宋" w:eastAsia="仿宋" w:cs="仿宋"/>
          <w:sz w:val="32"/>
          <w:szCs w:val="32"/>
          <w:u w:color="000000"/>
        </w:rPr>
        <w:t>与项目实施的相关性较差</w:t>
      </w:r>
      <w:r>
        <w:rPr>
          <w:rFonts w:hint="eastAsia" w:ascii="仿宋" w:hAnsi="仿宋" w:eastAsia="仿宋" w:cs="仿宋"/>
          <w:sz w:val="32"/>
          <w:szCs w:val="32"/>
          <w:u w:color="000000"/>
          <w:lang w:eastAsia="zh-CN"/>
        </w:rPr>
        <w:t>，经济效益指标</w:t>
      </w:r>
      <w:r>
        <w:rPr>
          <w:rFonts w:hint="eastAsia" w:ascii="仿宋" w:hAnsi="仿宋" w:eastAsia="仿宋" w:cs="仿宋"/>
          <w:sz w:val="32"/>
          <w:szCs w:val="32"/>
          <w:u w:color="000000"/>
          <w:lang w:val="en-US" w:eastAsia="zh-CN"/>
        </w:rPr>
        <w:t>中的“</w:t>
      </w:r>
      <w:r>
        <w:rPr>
          <w:rFonts w:hint="eastAsia" w:ascii="仿宋" w:hAnsi="仿宋" w:eastAsia="仿宋" w:cs="仿宋"/>
          <w:sz w:val="32"/>
          <w:szCs w:val="32"/>
          <w:u w:color="000000"/>
          <w:lang w:eastAsia="zh-CN"/>
        </w:rPr>
        <w:t>节能高效完成</w:t>
      </w:r>
      <w:r>
        <w:rPr>
          <w:rFonts w:hint="eastAsia" w:ascii="仿宋" w:hAnsi="仿宋" w:eastAsia="仿宋" w:cs="仿宋"/>
          <w:sz w:val="32"/>
          <w:szCs w:val="32"/>
          <w:u w:color="000000"/>
          <w:lang w:val="en-US" w:eastAsia="zh-CN"/>
        </w:rPr>
        <w:t>指标”的可衡量性较差</w:t>
      </w:r>
      <w:r>
        <w:rPr>
          <w:rFonts w:hint="eastAsia" w:ascii="仿宋" w:hAnsi="仿宋" w:eastAsia="仿宋" w:cs="仿宋"/>
          <w:sz w:val="32"/>
          <w:szCs w:val="32"/>
          <w:u w:color="000000"/>
        </w:rPr>
        <w:t>。</w:t>
      </w:r>
    </w:p>
    <w:p w14:paraId="19A1E1BB">
      <w:pPr>
        <w:pStyle w:val="2"/>
        <w:ind w:firstLine="640" w:firstLineChars="200"/>
        <w:rPr>
          <w:rFonts w:hint="eastAsia"/>
        </w:rPr>
      </w:pPr>
      <w:r>
        <w:rPr>
          <w:rFonts w:hint="eastAsia" w:ascii="仿宋" w:hAnsi="仿宋" w:eastAsia="仿宋" w:cs="仿宋"/>
          <w:sz w:val="32"/>
          <w:szCs w:val="32"/>
          <w:u w:color="000000"/>
          <w:lang w:val="en-US" w:eastAsia="zh-CN"/>
        </w:rPr>
        <w:t>2.</w:t>
      </w:r>
      <w:r>
        <w:rPr>
          <w:rFonts w:hint="eastAsia" w:ascii="仿宋" w:hAnsi="仿宋" w:eastAsia="仿宋" w:cs="仿宋"/>
          <w:color w:val="auto"/>
          <w:sz w:val="32"/>
          <w:szCs w:val="32"/>
          <w:u w:color="000000"/>
          <w:lang w:val="en-US" w:eastAsia="zh-CN"/>
        </w:rPr>
        <w:t>购置数量发生变化，实际规模</w:t>
      </w:r>
      <w:r>
        <w:rPr>
          <w:rFonts w:hint="eastAsia" w:ascii="仿宋" w:hAnsi="仿宋" w:eastAsia="仿宋" w:cs="仿宋"/>
          <w:sz w:val="32"/>
          <w:szCs w:val="32"/>
          <w:u w:color="000000"/>
        </w:rPr>
        <w:t>与项目</w:t>
      </w:r>
      <w:r>
        <w:rPr>
          <w:rFonts w:hint="eastAsia" w:ascii="仿宋" w:hAnsi="仿宋" w:eastAsia="仿宋" w:cs="仿宋"/>
          <w:sz w:val="32"/>
          <w:szCs w:val="32"/>
          <w:u w:color="000000"/>
          <w:lang w:val="en-US" w:eastAsia="zh-CN"/>
        </w:rPr>
        <w:t>可研时不一致</w:t>
      </w:r>
    </w:p>
    <w:p w14:paraId="3409905C">
      <w:pPr>
        <w:spacing w:line="580" w:lineRule="exact"/>
        <w:ind w:firstLine="640" w:firstLineChars="200"/>
        <w:rPr>
          <w:rFonts w:hint="eastAsia" w:ascii="仿宋" w:hAnsi="仿宋" w:eastAsia="仿宋" w:cs="仿宋"/>
          <w:sz w:val="32"/>
          <w:szCs w:val="32"/>
          <w:u w:color="000000"/>
          <w:lang w:val="en-US" w:eastAsia="zh-CN"/>
        </w:rPr>
      </w:pPr>
      <w:r>
        <w:rPr>
          <w:rFonts w:hint="eastAsia" w:ascii="仿宋" w:hAnsi="仿宋" w:eastAsia="仿宋" w:cs="仿宋"/>
          <w:sz w:val="32"/>
          <w:szCs w:val="32"/>
          <w:u w:color="000000"/>
        </w:rPr>
        <w:t>20</w:t>
      </w:r>
      <w:r>
        <w:rPr>
          <w:rFonts w:hint="eastAsia" w:ascii="仿宋" w:hAnsi="仿宋" w:eastAsia="仿宋" w:cs="仿宋"/>
          <w:sz w:val="32"/>
          <w:szCs w:val="32"/>
          <w:u w:color="000000"/>
          <w:lang w:val="en-US" w:eastAsia="zh-CN"/>
        </w:rPr>
        <w:t>20</w:t>
      </w:r>
      <w:r>
        <w:rPr>
          <w:rFonts w:hint="eastAsia" w:ascii="仿宋" w:hAnsi="仿宋" w:eastAsia="仿宋" w:cs="仿宋"/>
          <w:sz w:val="32"/>
          <w:szCs w:val="32"/>
          <w:u w:color="000000"/>
        </w:rPr>
        <w:t>年</w:t>
      </w:r>
      <w:r>
        <w:rPr>
          <w:rFonts w:hint="eastAsia" w:ascii="仿宋" w:hAnsi="仿宋" w:eastAsia="仿宋" w:cs="仿宋"/>
          <w:sz w:val="32"/>
          <w:szCs w:val="32"/>
          <w:u w:color="000000"/>
          <w:lang w:val="en-US" w:eastAsia="zh-CN"/>
        </w:rPr>
        <w:t>9</w:t>
      </w:r>
      <w:r>
        <w:rPr>
          <w:rFonts w:hint="eastAsia" w:ascii="仿宋" w:hAnsi="仿宋" w:eastAsia="仿宋" w:cs="仿宋"/>
          <w:sz w:val="32"/>
          <w:szCs w:val="32"/>
          <w:u w:color="000000"/>
        </w:rPr>
        <w:t>月，徐水区</w:t>
      </w:r>
      <w:r>
        <w:rPr>
          <w:rFonts w:hint="eastAsia" w:ascii="仿宋" w:hAnsi="仿宋" w:eastAsia="仿宋" w:cs="仿宋"/>
          <w:sz w:val="32"/>
          <w:szCs w:val="32"/>
          <w:u w:color="000000"/>
          <w:lang w:val="en-US" w:eastAsia="zh-CN"/>
        </w:rPr>
        <w:t>教育和体育</w:t>
      </w:r>
      <w:r>
        <w:rPr>
          <w:rFonts w:hint="eastAsia" w:ascii="仿宋" w:hAnsi="仿宋" w:eastAsia="仿宋" w:cs="仿宋"/>
          <w:sz w:val="32"/>
          <w:szCs w:val="32"/>
          <w:u w:color="000000"/>
        </w:rPr>
        <w:t>局</w:t>
      </w:r>
      <w:r>
        <w:rPr>
          <w:rFonts w:hint="eastAsia" w:ascii="仿宋" w:hAnsi="仿宋" w:eastAsia="仿宋" w:cs="仿宋"/>
          <w:sz w:val="32"/>
          <w:szCs w:val="32"/>
          <w:u w:color="000000"/>
          <w:lang w:val="en-US" w:eastAsia="zh-CN"/>
        </w:rPr>
        <w:t>编制完成该项目的可研报告</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拟购置学生课桌椅8750套，项目总投资300万元。而</w:t>
      </w:r>
      <w:r>
        <w:rPr>
          <w:rFonts w:hint="eastAsia" w:ascii="仿宋" w:hAnsi="仿宋" w:eastAsia="仿宋" w:cs="仿宋"/>
          <w:sz w:val="32"/>
          <w:szCs w:val="32"/>
        </w:rPr>
        <w:t>2021年5月28日批复的政府采购计划备案表显示项目预算金额为3,301,922.00元，拟课桌椅9769套</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购置数量和金额均与可研报告和前期申报时不一致。</w:t>
      </w:r>
    </w:p>
    <w:p w14:paraId="613E4104">
      <w:pPr>
        <w:pStyle w:val="4"/>
        <w:spacing w:before="0" w:after="0" w:line="580" w:lineRule="exact"/>
        <w:ind w:firstLine="643" w:firstLineChars="200"/>
        <w:rPr>
          <w:rFonts w:ascii="楷体" w:hAnsi="楷体" w:eastAsia="楷体"/>
          <w:bCs w:val="0"/>
        </w:rPr>
      </w:pPr>
      <w:bookmarkStart w:id="173" w:name="_Toc89420002"/>
      <w:bookmarkStart w:id="174" w:name="_Toc8458"/>
      <w:bookmarkStart w:id="175" w:name="_Toc85202870"/>
      <w:bookmarkStart w:id="176" w:name="_Toc85203163"/>
      <w:bookmarkStart w:id="177" w:name="_Toc85203242"/>
      <w:bookmarkStart w:id="178" w:name="_Toc85202958"/>
      <w:r>
        <w:rPr>
          <w:rFonts w:hint="eastAsia" w:ascii="楷体" w:hAnsi="楷体" w:eastAsia="楷体"/>
          <w:bCs w:val="0"/>
        </w:rPr>
        <w:t>（二）过程方面</w:t>
      </w:r>
      <w:bookmarkEnd w:id="173"/>
      <w:bookmarkEnd w:id="174"/>
      <w:bookmarkEnd w:id="175"/>
      <w:bookmarkEnd w:id="176"/>
      <w:bookmarkEnd w:id="177"/>
      <w:bookmarkEnd w:id="178"/>
    </w:p>
    <w:p w14:paraId="3090460D">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1.公告公示地点、</w:t>
      </w:r>
      <w:r>
        <w:rPr>
          <w:rFonts w:hint="eastAsia" w:ascii="仿宋" w:hAnsi="仿宋" w:eastAsia="仿宋" w:cs="仿宋"/>
          <w:sz w:val="32"/>
          <w:szCs w:val="32"/>
          <w:lang w:val="en-US" w:eastAsia="zh-CN"/>
        </w:rPr>
        <w:t>公示</w:t>
      </w:r>
      <w:r>
        <w:rPr>
          <w:rFonts w:hint="eastAsia" w:ascii="仿宋" w:hAnsi="仿宋" w:eastAsia="仿宋" w:cs="仿宋"/>
          <w:sz w:val="32"/>
          <w:szCs w:val="32"/>
        </w:rPr>
        <w:t>内容不全</w:t>
      </w:r>
      <w:r>
        <w:rPr>
          <w:rFonts w:hint="eastAsia" w:ascii="仿宋" w:hAnsi="仿宋" w:eastAsia="仿宋" w:cs="仿宋"/>
          <w:sz w:val="32"/>
          <w:szCs w:val="32"/>
          <w:lang w:eastAsia="zh-CN"/>
        </w:rPr>
        <w:t>。</w:t>
      </w:r>
      <w:r>
        <w:rPr>
          <w:rFonts w:hint="eastAsia" w:ascii="仿宋" w:hAnsi="仿宋" w:eastAsia="仿宋" w:cs="仿宋"/>
          <w:sz w:val="32"/>
          <w:szCs w:val="32"/>
        </w:rPr>
        <w:t>实施前和完工后公示均包含项目名称、实施地点、建设任务、资金来源、实施期限、实施单位、责任人、绩效目标、举报电话</w:t>
      </w:r>
      <w:r>
        <w:rPr>
          <w:rFonts w:hint="eastAsia" w:ascii="仿宋" w:hAnsi="仿宋" w:eastAsia="仿宋" w:cs="仿宋"/>
          <w:sz w:val="32"/>
          <w:szCs w:val="32"/>
          <w:lang w:val="en-US" w:eastAsia="zh-CN"/>
        </w:rPr>
        <w:t>等</w:t>
      </w:r>
      <w:r>
        <w:rPr>
          <w:rFonts w:hint="eastAsia" w:ascii="仿宋" w:hAnsi="仿宋" w:eastAsia="仿宋" w:cs="仿宋"/>
          <w:sz w:val="32"/>
          <w:szCs w:val="32"/>
        </w:rPr>
        <w:t>，但未包含资金规模。同时，该项目的公告公示仅在项目实施单位教体局固定的信息公开栏进行了实施前和完工后公告，未在项目实施地点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项目所涉55所学校</w:t>
      </w:r>
      <w:r>
        <w:rPr>
          <w:rFonts w:hint="eastAsia" w:ascii="仿宋" w:hAnsi="仿宋" w:eastAsia="仿宋" w:cs="仿宋"/>
          <w:sz w:val="32"/>
          <w:szCs w:val="32"/>
          <w:lang w:eastAsia="zh-CN"/>
        </w:rPr>
        <w:t>）</w:t>
      </w:r>
      <w:r>
        <w:rPr>
          <w:rFonts w:hint="eastAsia" w:ascii="仿宋" w:hAnsi="仿宋" w:eastAsia="仿宋" w:cs="仿宋"/>
          <w:sz w:val="32"/>
          <w:szCs w:val="32"/>
        </w:rPr>
        <w:t>进行</w:t>
      </w:r>
      <w:r>
        <w:rPr>
          <w:rFonts w:hint="eastAsia" w:ascii="仿宋" w:hAnsi="仿宋" w:eastAsia="仿宋" w:cs="仿宋"/>
          <w:sz w:val="32"/>
          <w:szCs w:val="32"/>
          <w:lang w:val="en-US" w:eastAsia="zh-CN"/>
        </w:rPr>
        <w:t>公示</w:t>
      </w:r>
      <w:r>
        <w:rPr>
          <w:rFonts w:hint="eastAsia" w:ascii="仿宋" w:hAnsi="仿宋" w:eastAsia="仿宋" w:cs="仿宋"/>
          <w:sz w:val="32"/>
          <w:szCs w:val="32"/>
        </w:rPr>
        <w:t>公告。</w:t>
      </w:r>
    </w:p>
    <w:p w14:paraId="575AA737">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合同内容与</w:t>
      </w:r>
      <w:r>
        <w:rPr>
          <w:rFonts w:hint="eastAsia" w:ascii="仿宋" w:hAnsi="仿宋" w:eastAsia="仿宋" w:cs="仿宋"/>
          <w:sz w:val="32"/>
          <w:szCs w:val="32"/>
        </w:rPr>
        <w:t>招标文件</w:t>
      </w:r>
      <w:r>
        <w:rPr>
          <w:rFonts w:hint="eastAsia" w:ascii="仿宋" w:hAnsi="仿宋" w:eastAsia="仿宋" w:cs="仿宋"/>
          <w:color w:val="000000" w:themeColor="text1"/>
          <w:sz w:val="32"/>
          <w:szCs w:val="32"/>
          <w14:textFill>
            <w14:solidFill>
              <w14:schemeClr w14:val="tx1"/>
            </w14:solidFill>
          </w14:textFill>
        </w:rPr>
        <w:t>的实质性条款</w:t>
      </w:r>
      <w:r>
        <w:rPr>
          <w:rFonts w:hint="eastAsia" w:ascii="仿宋" w:hAnsi="仿宋" w:eastAsia="仿宋" w:cs="仿宋"/>
          <w:color w:val="000000" w:themeColor="text1"/>
          <w:sz w:val="32"/>
          <w:szCs w:val="32"/>
          <w:lang w:val="en-US" w:eastAsia="zh-CN"/>
          <w14:textFill>
            <w14:solidFill>
              <w14:schemeClr w14:val="tx1"/>
            </w14:solidFill>
          </w14:textFill>
        </w:rPr>
        <w:t>不一致</w:t>
      </w:r>
      <w:r>
        <w:rPr>
          <w:rFonts w:hint="eastAsia" w:ascii="仿宋" w:hAnsi="仿宋" w:eastAsia="仿宋" w:cs="仿宋"/>
          <w:sz w:val="32"/>
          <w:szCs w:val="32"/>
        </w:rPr>
        <w:t>。该项目招标文件第二章供应商须知中明确</w:t>
      </w:r>
      <w:r>
        <w:rPr>
          <w:rFonts w:hint="eastAsia" w:ascii="仿宋" w:hAnsi="仿宋" w:eastAsia="仿宋" w:cs="仿宋"/>
          <w:sz w:val="32"/>
          <w:szCs w:val="32"/>
          <w:lang w:eastAsia="zh-CN"/>
        </w:rPr>
        <w:t>，</w:t>
      </w:r>
      <w:r>
        <w:rPr>
          <w:rFonts w:hint="eastAsia" w:ascii="仿宋" w:hAnsi="仿宋" w:eastAsia="仿宋" w:cs="仿宋"/>
          <w:sz w:val="32"/>
          <w:szCs w:val="32"/>
        </w:rPr>
        <w:t>付款方式为货到验收调试合格后支付货款，质保金3%，质保期满后一次性无息付清。而该项目的合同约定，签订合同后预付合同总价的30%，货到安装调试验收合格后支付合同总价的67%，剩余3%为货物质保金，质保期满后一次性无息付清。</w:t>
      </w:r>
    </w:p>
    <w:p w14:paraId="56246A66">
      <w:pPr>
        <w:spacing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县级配套资金不及时</w:t>
      </w:r>
      <w:r>
        <w:rPr>
          <w:rFonts w:hint="eastAsia" w:ascii="仿宋" w:hAnsi="仿宋" w:eastAsia="仿宋" w:cs="仿宋"/>
          <w:sz w:val="32"/>
          <w:szCs w:val="32"/>
        </w:rPr>
        <w:t>。该项目</w:t>
      </w:r>
      <w:r>
        <w:rPr>
          <w:rFonts w:hint="eastAsia" w:ascii="仿宋" w:hAnsi="仿宋" w:eastAsia="仿宋" w:cs="仿宋"/>
          <w:sz w:val="32"/>
          <w:szCs w:val="32"/>
          <w:lang w:val="en-US" w:eastAsia="zh-CN"/>
        </w:rPr>
        <w:t>实际</w:t>
      </w:r>
      <w:r>
        <w:rPr>
          <w:rFonts w:hint="eastAsia" w:ascii="仿宋" w:hAnsi="仿宋" w:eastAsia="仿宋" w:cs="仿宋"/>
          <w:sz w:val="32"/>
          <w:szCs w:val="32"/>
        </w:rPr>
        <w:t>总投资3,125,005.41元，</w:t>
      </w:r>
      <w:r>
        <w:rPr>
          <w:rFonts w:hint="eastAsia" w:ascii="仿宋" w:hAnsi="仿宋" w:eastAsia="仿宋" w:cs="仿宋"/>
          <w:sz w:val="32"/>
          <w:szCs w:val="32"/>
          <w:lang w:val="en-US" w:eastAsia="zh-CN"/>
        </w:rPr>
        <w:t>使用</w:t>
      </w:r>
      <w:r>
        <w:rPr>
          <w:rFonts w:hint="eastAsia" w:ascii="仿宋" w:hAnsi="仿宋" w:eastAsia="仿宋" w:cs="仿宋"/>
          <w:sz w:val="32"/>
          <w:szCs w:val="32"/>
        </w:rPr>
        <w:t>革命老区转移支付资金2,810,000.00元，</w:t>
      </w:r>
      <w:r>
        <w:rPr>
          <w:rFonts w:hint="eastAsia" w:ascii="仿宋" w:hAnsi="仿宋" w:eastAsia="仿宋" w:cs="仿宋"/>
          <w:sz w:val="32"/>
          <w:szCs w:val="32"/>
          <w:lang w:val="en-US" w:eastAsia="zh-CN"/>
        </w:rPr>
        <w:t>区</w:t>
      </w:r>
      <w:r>
        <w:rPr>
          <w:rFonts w:hint="eastAsia" w:ascii="仿宋" w:hAnsi="仿宋" w:eastAsia="仿宋" w:cs="仿宋"/>
          <w:sz w:val="32"/>
          <w:szCs w:val="32"/>
        </w:rPr>
        <w:t>财政</w:t>
      </w:r>
      <w:r>
        <w:rPr>
          <w:rFonts w:hint="eastAsia" w:ascii="仿宋" w:hAnsi="仿宋" w:eastAsia="仿宋" w:cs="仿宋"/>
          <w:sz w:val="32"/>
          <w:szCs w:val="32"/>
          <w:lang w:val="en-US" w:eastAsia="zh-CN"/>
        </w:rPr>
        <w:t>配套</w:t>
      </w:r>
      <w:r>
        <w:rPr>
          <w:rFonts w:hint="eastAsia" w:ascii="仿宋" w:hAnsi="仿宋" w:eastAsia="仿宋" w:cs="仿宋"/>
          <w:sz w:val="32"/>
          <w:szCs w:val="32"/>
        </w:rPr>
        <w:t>资金315,005.41元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截至2021年底，区财政配套资金未到位。</w:t>
      </w:r>
    </w:p>
    <w:p w14:paraId="3FA554A3">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记账不及时</w:t>
      </w:r>
      <w:r>
        <w:rPr>
          <w:rFonts w:hint="eastAsia" w:ascii="仿宋" w:hAnsi="仿宋" w:eastAsia="仿宋" w:cs="仿宋"/>
          <w:sz w:val="32"/>
          <w:szCs w:val="32"/>
        </w:rPr>
        <w:t>。供应商于2021年7月2日-25日将9769套课桌椅全部送到徐水区55所学校，但</w:t>
      </w:r>
      <w:r>
        <w:rPr>
          <w:rFonts w:hint="eastAsia" w:ascii="仿宋" w:hAnsi="仿宋" w:eastAsia="仿宋" w:cs="仿宋"/>
          <w:sz w:val="32"/>
          <w:szCs w:val="32"/>
          <w:lang w:val="en-US" w:eastAsia="zh-CN"/>
        </w:rPr>
        <w:t>徐水区教体局向所涉16个乡镇中心校下达的</w:t>
      </w:r>
      <w:r>
        <w:rPr>
          <w:rFonts w:hint="eastAsia" w:ascii="仿宋" w:hAnsi="仿宋" w:eastAsia="仿宋" w:cs="仿宋"/>
          <w:sz w:val="32"/>
          <w:szCs w:val="32"/>
        </w:rPr>
        <w:t>记账通知单显示</w:t>
      </w:r>
      <w:r>
        <w:rPr>
          <w:rFonts w:hint="eastAsia" w:ascii="仿宋" w:hAnsi="仿宋" w:eastAsia="仿宋" w:cs="仿宋"/>
          <w:sz w:val="32"/>
          <w:szCs w:val="32"/>
          <w:lang w:eastAsia="zh-CN"/>
        </w:rPr>
        <w:t>，</w:t>
      </w:r>
      <w:r>
        <w:rPr>
          <w:rFonts w:hint="eastAsia" w:ascii="仿宋" w:hAnsi="仿宋" w:eastAsia="仿宋" w:cs="仿宋"/>
          <w:sz w:val="32"/>
          <w:szCs w:val="32"/>
        </w:rPr>
        <w:t>通知2021年革命老区转移支付资金所涉及1</w:t>
      </w:r>
      <w:r>
        <w:rPr>
          <w:rFonts w:hint="eastAsia" w:ascii="仿宋" w:hAnsi="仿宋" w:eastAsia="仿宋" w:cs="仿宋"/>
          <w:sz w:val="32"/>
          <w:szCs w:val="32"/>
          <w:lang w:val="en-US" w:eastAsia="zh-CN"/>
        </w:rPr>
        <w:t>6</w:t>
      </w:r>
      <w:r>
        <w:rPr>
          <w:rFonts w:hint="eastAsia" w:ascii="仿宋" w:hAnsi="仿宋" w:eastAsia="仿宋" w:cs="仿宋"/>
          <w:sz w:val="32"/>
          <w:szCs w:val="32"/>
        </w:rPr>
        <w:t>个乡镇中心校记账的时间为2021年10月13日，晚于资产实际交付时间3个月。</w:t>
      </w:r>
    </w:p>
    <w:p w14:paraId="4C985BAD">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val="en-US" w:eastAsia="zh-CN"/>
        </w:rPr>
        <w:t>区教体局</w:t>
      </w:r>
      <w:r>
        <w:rPr>
          <w:rFonts w:hint="eastAsia" w:ascii="仿宋" w:hAnsi="仿宋" w:eastAsia="仿宋" w:cs="仿宋"/>
          <w:sz w:val="32"/>
          <w:szCs w:val="32"/>
        </w:rPr>
        <w:t>未</w:t>
      </w:r>
      <w:r>
        <w:rPr>
          <w:rFonts w:hint="eastAsia" w:ascii="仿宋" w:hAnsi="仿宋" w:eastAsia="仿宋" w:cs="仿宋"/>
          <w:sz w:val="32"/>
          <w:szCs w:val="32"/>
          <w:lang w:val="en-US" w:eastAsia="zh-CN"/>
        </w:rPr>
        <w:t>按照《</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sz w:val="32"/>
          <w:szCs w:val="32"/>
        </w:rPr>
        <w:t>（冀</w:t>
      </w:r>
      <w:r>
        <w:rPr>
          <w:rFonts w:hint="eastAsia" w:ascii="仿宋" w:hAnsi="仿宋" w:eastAsia="仿宋" w:cs="仿宋"/>
          <w:sz w:val="32"/>
          <w:szCs w:val="32"/>
          <w:lang w:val="en-US" w:eastAsia="zh-CN"/>
        </w:rPr>
        <w:t>财预</w:t>
      </w:r>
      <w:r>
        <w:rPr>
          <w:rFonts w:hint="eastAsia" w:ascii="仿宋" w:hAnsi="仿宋" w:eastAsia="仿宋" w:cs="仿宋"/>
          <w:sz w:val="32"/>
          <w:szCs w:val="32"/>
        </w:rPr>
        <w:t>〔201</w:t>
      </w:r>
      <w:r>
        <w:rPr>
          <w:rFonts w:hint="eastAsia" w:ascii="仿宋" w:hAnsi="仿宋" w:eastAsia="仿宋" w:cs="仿宋"/>
          <w:sz w:val="32"/>
          <w:szCs w:val="32"/>
          <w:lang w:val="en-US" w:eastAsia="zh-CN"/>
        </w:rPr>
        <w:t>9</w:t>
      </w:r>
      <w:r>
        <w:rPr>
          <w:rFonts w:hint="eastAsia" w:ascii="仿宋" w:hAnsi="仿宋" w:eastAsia="仿宋" w:cs="仿宋"/>
          <w:sz w:val="32"/>
          <w:szCs w:val="32"/>
        </w:rPr>
        <w:t>〕</w:t>
      </w:r>
      <w:r>
        <w:rPr>
          <w:rFonts w:hint="eastAsia" w:ascii="仿宋" w:hAnsi="仿宋" w:eastAsia="仿宋" w:cs="仿宋"/>
          <w:sz w:val="32"/>
          <w:szCs w:val="32"/>
          <w:lang w:val="en-US" w:eastAsia="zh-CN"/>
        </w:rPr>
        <w:t>59</w:t>
      </w:r>
      <w:r>
        <w:rPr>
          <w:rFonts w:hint="eastAsia" w:ascii="仿宋" w:hAnsi="仿宋" w:eastAsia="仿宋" w:cs="仿宋"/>
          <w:sz w:val="32"/>
          <w:szCs w:val="32"/>
        </w:rPr>
        <w:t>号）</w:t>
      </w:r>
      <w:r>
        <w:rPr>
          <w:rFonts w:hint="eastAsia" w:ascii="仿宋" w:hAnsi="仿宋" w:eastAsia="仿宋" w:cs="仿宋"/>
          <w:sz w:val="32"/>
          <w:szCs w:val="32"/>
          <w:lang w:val="en-US" w:eastAsia="zh-CN"/>
        </w:rPr>
        <w:t>的规定，</w:t>
      </w:r>
      <w:r>
        <w:rPr>
          <w:rFonts w:hint="eastAsia" w:ascii="仿宋" w:hAnsi="仿宋" w:eastAsia="仿宋" w:cs="仿宋"/>
          <w:sz w:val="32"/>
          <w:szCs w:val="32"/>
        </w:rPr>
        <w:t>建立革命老区转移支付资金绩效运行监控机制。</w:t>
      </w:r>
    </w:p>
    <w:p w14:paraId="3E464D94">
      <w:pPr>
        <w:pStyle w:val="3"/>
        <w:spacing w:line="580" w:lineRule="exact"/>
        <w:rPr>
          <w:rFonts w:eastAsia="黑体"/>
        </w:rPr>
      </w:pPr>
      <w:bookmarkStart w:id="179" w:name="_Toc85203165"/>
      <w:bookmarkStart w:id="180" w:name="_Toc85202872"/>
      <w:bookmarkStart w:id="181" w:name="_Toc85202960"/>
      <w:bookmarkStart w:id="182" w:name="_Toc10053"/>
      <w:bookmarkStart w:id="183" w:name="_Toc89420004"/>
      <w:bookmarkStart w:id="184" w:name="_Toc25653"/>
      <w:bookmarkStart w:id="185" w:name="_Toc72846146"/>
      <w:r>
        <w:rPr>
          <w:rFonts w:eastAsia="黑体"/>
        </w:rPr>
        <w:t>六、有关建议</w:t>
      </w:r>
      <w:bookmarkEnd w:id="179"/>
      <w:bookmarkEnd w:id="180"/>
      <w:bookmarkEnd w:id="181"/>
      <w:bookmarkEnd w:id="182"/>
      <w:bookmarkEnd w:id="183"/>
      <w:bookmarkEnd w:id="184"/>
      <w:bookmarkEnd w:id="185"/>
    </w:p>
    <w:p w14:paraId="0B0AE396">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针对上述发现的问题，为进一步提升项目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单位今后的预算和项目管理水平，提出以下建议：</w:t>
      </w:r>
    </w:p>
    <w:p w14:paraId="67B1E4EB">
      <w:pPr>
        <w:spacing w:line="580" w:lineRule="exact"/>
        <w:ind w:firstLine="640" w:firstLineChars="200"/>
        <w:rPr>
          <w:rFonts w:hint="eastAsia" w:ascii="仿宋" w:hAnsi="仿宋" w:eastAsia="仿宋" w:cs="仿宋"/>
          <w:sz w:val="32"/>
          <w:szCs w:val="32"/>
        </w:rPr>
      </w:pPr>
      <w:bookmarkStart w:id="186" w:name="_Toc21934"/>
      <w:bookmarkStart w:id="187" w:name="_Toc89420005"/>
      <w:r>
        <w:rPr>
          <w:rFonts w:hint="eastAsia" w:ascii="仿宋" w:hAnsi="仿宋" w:eastAsia="仿宋" w:cs="仿宋"/>
          <w:sz w:val="32"/>
          <w:szCs w:val="32"/>
        </w:rPr>
        <w:t>1.针对绩效目标和部分绩效指标设定不科学的问题，建议项目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单位</w:t>
      </w:r>
      <w:r>
        <w:rPr>
          <w:rFonts w:hint="eastAsia" w:ascii="仿宋" w:hAnsi="仿宋" w:eastAsia="仿宋" w:cs="仿宋"/>
          <w:sz w:val="32"/>
          <w:szCs w:val="32"/>
          <w:lang w:val="en-US" w:eastAsia="zh-CN"/>
        </w:rPr>
        <w:t>根据项目的总体情况合理设定绩效目标</w:t>
      </w:r>
      <w:r>
        <w:rPr>
          <w:rFonts w:hint="eastAsia" w:ascii="仿宋" w:hAnsi="仿宋" w:eastAsia="仿宋" w:cs="仿宋"/>
          <w:sz w:val="32"/>
          <w:szCs w:val="32"/>
        </w:rPr>
        <w:t>，</w:t>
      </w:r>
      <w:r>
        <w:rPr>
          <w:rFonts w:hint="eastAsia" w:ascii="仿宋" w:hAnsi="仿宋" w:eastAsia="仿宋" w:cs="仿宋"/>
          <w:sz w:val="32"/>
          <w:szCs w:val="32"/>
          <w:lang w:val="en-US" w:eastAsia="zh-CN"/>
        </w:rPr>
        <w:t>保证“一项目一目标”。同时，</w:t>
      </w:r>
      <w:r>
        <w:rPr>
          <w:rFonts w:hint="eastAsia" w:ascii="仿宋" w:hAnsi="仿宋" w:eastAsia="仿宋" w:cs="仿宋"/>
          <w:sz w:val="32"/>
          <w:szCs w:val="32"/>
        </w:rPr>
        <w:t>科学设定绩效指标，注重绩效指标的设定与项目实施内容的</w:t>
      </w:r>
      <w:r>
        <w:rPr>
          <w:rFonts w:hint="eastAsia" w:ascii="仿宋" w:hAnsi="仿宋" w:eastAsia="仿宋" w:cs="仿宋"/>
          <w:sz w:val="32"/>
          <w:szCs w:val="32"/>
          <w:lang w:val="en-US" w:eastAsia="zh-CN"/>
        </w:rPr>
        <w:t>相关</w:t>
      </w:r>
      <w:r>
        <w:rPr>
          <w:rFonts w:hint="eastAsia" w:ascii="仿宋" w:hAnsi="仿宋" w:eastAsia="仿宋" w:cs="仿宋"/>
          <w:sz w:val="32"/>
          <w:szCs w:val="32"/>
        </w:rPr>
        <w:t>性和契合度，增加绩效指标的</w:t>
      </w:r>
      <w:r>
        <w:rPr>
          <w:rFonts w:hint="eastAsia" w:ascii="仿宋" w:hAnsi="仿宋" w:eastAsia="仿宋" w:cs="仿宋"/>
          <w:sz w:val="32"/>
          <w:szCs w:val="32"/>
          <w:lang w:val="en-US" w:eastAsia="zh-CN"/>
        </w:rPr>
        <w:t>可衡量</w:t>
      </w:r>
      <w:r>
        <w:rPr>
          <w:rFonts w:hint="eastAsia" w:ascii="仿宋" w:hAnsi="仿宋" w:eastAsia="仿宋" w:cs="仿宋"/>
          <w:sz w:val="32"/>
          <w:szCs w:val="32"/>
        </w:rPr>
        <w:t>性</w:t>
      </w:r>
      <w:r>
        <w:rPr>
          <w:rFonts w:hint="eastAsia" w:ascii="仿宋" w:hAnsi="仿宋" w:eastAsia="仿宋" w:cs="仿宋"/>
          <w:sz w:val="32"/>
          <w:szCs w:val="32"/>
          <w:lang w:eastAsia="zh-CN"/>
        </w:rPr>
        <w:t>，</w:t>
      </w:r>
      <w:r>
        <w:rPr>
          <w:rFonts w:hint="eastAsia" w:ascii="仿宋" w:hAnsi="仿宋" w:eastAsia="仿宋" w:cs="仿宋"/>
          <w:sz w:val="32"/>
          <w:szCs w:val="32"/>
        </w:rPr>
        <w:t>避免绩效指标的设定流于形式，</w:t>
      </w:r>
      <w:r>
        <w:rPr>
          <w:rFonts w:hint="eastAsia" w:ascii="仿宋" w:hAnsi="仿宋" w:eastAsia="仿宋" w:cs="仿宋"/>
          <w:sz w:val="32"/>
          <w:szCs w:val="32"/>
          <w:lang w:val="en-US" w:eastAsia="zh-CN"/>
        </w:rPr>
        <w:t>充分发挥绩效目标和指标对项目实施的指导、激励作用</w:t>
      </w:r>
      <w:r>
        <w:rPr>
          <w:rFonts w:hint="eastAsia" w:ascii="仿宋" w:hAnsi="仿宋" w:eastAsia="仿宋" w:cs="仿宋"/>
          <w:sz w:val="32"/>
          <w:szCs w:val="32"/>
        </w:rPr>
        <w:t>。</w:t>
      </w:r>
    </w:p>
    <w:p w14:paraId="0A7C6A9A">
      <w:pPr>
        <w:spacing w:line="580" w:lineRule="exact"/>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针对</w:t>
      </w:r>
      <w:r>
        <w:rPr>
          <w:rFonts w:hint="eastAsia" w:ascii="仿宋" w:hAnsi="仿宋" w:eastAsia="仿宋" w:cs="仿宋"/>
          <w:color w:val="auto"/>
          <w:sz w:val="32"/>
          <w:szCs w:val="32"/>
        </w:rPr>
        <w:t>项目管理制度</w:t>
      </w:r>
      <w:r>
        <w:rPr>
          <w:rFonts w:hint="eastAsia" w:ascii="仿宋" w:hAnsi="仿宋" w:eastAsia="仿宋" w:cs="仿宋"/>
          <w:color w:val="auto"/>
          <w:sz w:val="32"/>
          <w:szCs w:val="32"/>
          <w:lang w:val="en-US" w:eastAsia="zh-CN"/>
        </w:rPr>
        <w:t>不健全的问题，项目实施单位应加强制度建设，牢固树立绩效理念，建立绩效运行监控机制，规范过程管控，确保项目规范运行，充分发挥革命老区转移支付资金效益。</w:t>
      </w:r>
    </w:p>
    <w:p w14:paraId="65CC20BE">
      <w:pPr>
        <w:spacing w:line="580" w:lineRule="exact"/>
        <w:ind w:firstLine="640" w:firstLineChars="200"/>
        <w:rPr>
          <w:rFonts w:hint="eastAsia" w:ascii="黑体" w:hAnsi="黑体" w:eastAsia="黑体"/>
          <w:b/>
          <w:bCs/>
          <w:color w:val="auto"/>
          <w:sz w:val="36"/>
          <w:szCs w:val="36"/>
        </w:rPr>
      </w:pPr>
      <w:r>
        <w:rPr>
          <w:rFonts w:hint="eastAsia" w:ascii="仿宋" w:hAnsi="仿宋" w:eastAsia="仿宋" w:cs="仿宋"/>
          <w:color w:val="auto"/>
          <w:sz w:val="32"/>
          <w:szCs w:val="32"/>
          <w:lang w:val="en-US" w:eastAsia="zh-CN"/>
        </w:rPr>
        <w:t>3.针对</w:t>
      </w:r>
      <w:r>
        <w:rPr>
          <w:rFonts w:hint="eastAsia" w:ascii="仿宋" w:hAnsi="仿宋" w:eastAsia="仿宋" w:cs="仿宋"/>
          <w:color w:val="auto"/>
          <w:sz w:val="32"/>
          <w:szCs w:val="32"/>
        </w:rPr>
        <w:t>项目合同管理、资金和资产管理、公告公示</w:t>
      </w:r>
      <w:r>
        <w:rPr>
          <w:rFonts w:hint="eastAsia" w:ascii="仿宋" w:hAnsi="仿宋" w:eastAsia="仿宋" w:cs="仿宋"/>
          <w:color w:val="auto"/>
          <w:sz w:val="32"/>
          <w:szCs w:val="32"/>
          <w:lang w:val="en-US" w:eastAsia="zh-CN"/>
        </w:rPr>
        <w:t>不规范的问题，项目实施单位在项目实施过程中，</w:t>
      </w:r>
      <w:r>
        <w:rPr>
          <w:rFonts w:hint="eastAsia" w:ascii="仿宋" w:hAnsi="仿宋" w:eastAsia="仿宋" w:cs="仿宋"/>
          <w:color w:val="auto"/>
          <w:sz w:val="32"/>
          <w:szCs w:val="32"/>
        </w:rPr>
        <w:t>严格按照</w:t>
      </w:r>
      <w:r>
        <w:rPr>
          <w:rFonts w:hint="eastAsia" w:ascii="仿宋" w:hAnsi="仿宋" w:eastAsia="仿宋" w:cs="仿宋"/>
          <w:color w:val="auto"/>
          <w:sz w:val="32"/>
          <w:szCs w:val="32"/>
          <w:lang w:val="en-US" w:eastAsia="zh-CN"/>
        </w:rPr>
        <w:t>招标文件的要求签订合同，完善财务核算，加强公告公示管理，</w:t>
      </w:r>
      <w:r>
        <w:rPr>
          <w:rFonts w:hint="eastAsia" w:ascii="仿宋" w:hAnsi="仿宋" w:eastAsia="仿宋" w:cs="仿宋"/>
          <w:color w:val="auto"/>
          <w:sz w:val="32"/>
          <w:szCs w:val="32"/>
        </w:rPr>
        <w:t>落实项目组织领导责任和部门、人员责任分工</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做好过程管控</w:t>
      </w:r>
      <w:r>
        <w:rPr>
          <w:rFonts w:hint="eastAsia" w:ascii="仿宋" w:hAnsi="仿宋" w:eastAsia="仿宋" w:cs="仿宋"/>
          <w:color w:val="auto"/>
          <w:sz w:val="32"/>
          <w:szCs w:val="32"/>
        </w:rPr>
        <w:t>，保障项目高效高质量完成。</w:t>
      </w:r>
    </w:p>
    <w:p w14:paraId="5188FA18">
      <w:pPr>
        <w:pStyle w:val="3"/>
        <w:spacing w:line="580" w:lineRule="exact"/>
        <w:rPr>
          <w:rFonts w:eastAsia="黑体"/>
        </w:rPr>
      </w:pPr>
      <w:r>
        <w:rPr>
          <w:rFonts w:hint="eastAsia" w:eastAsia="黑体"/>
        </w:rPr>
        <w:t>七</w:t>
      </w:r>
      <w:r>
        <w:rPr>
          <w:rFonts w:eastAsia="黑体"/>
        </w:rPr>
        <w:t>、</w:t>
      </w:r>
      <w:r>
        <w:rPr>
          <w:rFonts w:hint="eastAsia" w:eastAsia="黑体"/>
        </w:rPr>
        <w:t>绩效评价结果应用</w:t>
      </w:r>
      <w:bookmarkEnd w:id="186"/>
      <w:bookmarkEnd w:id="187"/>
    </w:p>
    <w:p w14:paraId="5650ABA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1.提前谋划项目，保证入库项目的质量。该项目出现数量和投资变化，究其原因，还是前期工作没有谋划好。近年来，革命老区转移支付资金都是提前下达，项目的申报时间相应也要提前，申报时间比较紧张，因此，项目单位要早下手，提前谋划项目，准确测算项目产出和投入，保证项目的有效实施。</w:t>
      </w:r>
    </w:p>
    <w:p w14:paraId="1386120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2.</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i w:val="0"/>
          <w:caps w:val="0"/>
          <w:color w:val="000000"/>
          <w:spacing w:val="0"/>
          <w:sz w:val="32"/>
          <w:szCs w:val="32"/>
          <w:shd w:val="clear" w:color="auto" w:fill="FFFFFF"/>
          <w:lang w:val="en-US" w:eastAsia="zh-CN"/>
        </w:rPr>
        <w:t>的要求，革命老区转移支付项目不要求县级财政资金配套，建议在以后的项目中，科学</w:t>
      </w:r>
      <w:r>
        <w:rPr>
          <w:rFonts w:hint="eastAsia" w:ascii="仿宋" w:hAnsi="仿宋" w:eastAsia="仿宋" w:cs="仿宋"/>
          <w:kern w:val="2"/>
          <w:sz w:val="32"/>
          <w:szCs w:val="32"/>
          <w:lang w:val="en-US" w:eastAsia="zh-CN"/>
        </w:rPr>
        <w:t>安排预算，避免出现资金缺口。</w:t>
      </w:r>
    </w:p>
    <w:p w14:paraId="3A3A7F6B">
      <w:pPr>
        <w:pStyle w:val="2"/>
        <w:rPr>
          <w:rFonts w:hint="eastAsia"/>
          <w:lang w:val="en-US" w:eastAsia="zh-CN"/>
        </w:rPr>
      </w:pPr>
      <w:r>
        <w:rPr>
          <w:rFonts w:hint="eastAsia" w:ascii="仿宋" w:hAnsi="仿宋" w:eastAsia="仿宋" w:cs="仿宋"/>
          <w:kern w:val="2"/>
          <w:sz w:val="32"/>
          <w:szCs w:val="32"/>
          <w:lang w:val="en-US" w:eastAsia="zh-CN"/>
        </w:rPr>
        <w:t xml:space="preserve">    3.该项目整体效果较好，项目的实施达到了既定绩效目标，建议在今后安排预算时，继续加大对教育的投入力度，全面提升徐水区的教育发展水平。</w:t>
      </w:r>
    </w:p>
    <w:p w14:paraId="03E04441">
      <w:pPr>
        <w:pStyle w:val="2"/>
        <w:ind w:firstLine="640" w:firstLineChars="200"/>
        <w:rPr>
          <w:rFonts w:ascii="Times New Roman" w:hAnsi="Times New Roman" w:eastAsia="仿宋_GB2312"/>
          <w:kern w:val="2"/>
          <w:sz w:val="32"/>
          <w:szCs w:val="32"/>
        </w:rPr>
      </w:pPr>
    </w:p>
    <w:p w14:paraId="3432DC3E">
      <w:pPr>
        <w:spacing w:line="580" w:lineRule="exact"/>
        <w:ind w:firstLine="640" w:firstLineChars="200"/>
        <w:rPr>
          <w:rFonts w:hint="eastAsia" w:ascii="仿宋_GB2312" w:eastAsia="仿宋_GB2312"/>
          <w:sz w:val="32"/>
          <w:szCs w:val="32"/>
        </w:rPr>
      </w:pPr>
    </w:p>
    <w:p w14:paraId="149C3821">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附件：1. </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绩效评价体系</w:t>
      </w:r>
    </w:p>
    <w:p w14:paraId="2C74A4A6">
      <w:pPr>
        <w:spacing w:line="580"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2. 关于“</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绩效评价”群众满意度调查问卷</w:t>
      </w:r>
    </w:p>
    <w:p w14:paraId="3CFA10B9">
      <w:pPr>
        <w:spacing w:line="580" w:lineRule="exact"/>
        <w:textAlignment w:val="baseline"/>
        <w:rPr>
          <w:rFonts w:ascii="楷体_GB2312" w:hAnsi="宋体" w:eastAsia="楷体_GB2312"/>
          <w:b/>
          <w:sz w:val="32"/>
          <w:szCs w:val="32"/>
          <w:highlight w:val="yellow"/>
        </w:rPr>
      </w:pPr>
    </w:p>
    <w:p w14:paraId="5B0B302D">
      <w:pPr>
        <w:pStyle w:val="2"/>
        <w:spacing w:line="360" w:lineRule="exact"/>
        <w:ind w:firstLine="3900" w:firstLineChars="1300"/>
        <w:rPr>
          <w:rFonts w:hint="eastAsia" w:ascii="仿宋_GB2312" w:hAnsi="Times New Roman" w:eastAsia="仿宋_GB2312"/>
          <w:sz w:val="30"/>
          <w:szCs w:val="30"/>
        </w:rPr>
      </w:pPr>
    </w:p>
    <w:p w14:paraId="2CD1B7A0">
      <w:pPr>
        <w:pStyle w:val="2"/>
        <w:spacing w:line="360" w:lineRule="exact"/>
        <w:ind w:firstLine="3900" w:firstLineChars="1300"/>
        <w:rPr>
          <w:rFonts w:hint="eastAsia" w:ascii="仿宋_GB2312" w:hAnsi="Times New Roman" w:eastAsia="仿宋_GB2312"/>
          <w:sz w:val="30"/>
          <w:szCs w:val="30"/>
        </w:rPr>
      </w:pPr>
    </w:p>
    <w:p w14:paraId="27561024">
      <w:pPr>
        <w:pStyle w:val="2"/>
        <w:spacing w:line="360" w:lineRule="exact"/>
        <w:ind w:firstLine="4160" w:firstLineChars="1300"/>
        <w:rPr>
          <w:rFonts w:hint="eastAsia" w:ascii="仿宋_GB2312" w:hAnsi="Times New Roman" w:eastAsia="仿宋_GB2312"/>
          <w:sz w:val="32"/>
          <w:szCs w:val="32"/>
        </w:rPr>
      </w:pPr>
    </w:p>
    <w:p w14:paraId="0C19C7E7">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主评人（签字）：</w:t>
      </w:r>
    </w:p>
    <w:p w14:paraId="33A700A9">
      <w:pPr>
        <w:pStyle w:val="2"/>
        <w:spacing w:line="360" w:lineRule="exact"/>
        <w:rPr>
          <w:rFonts w:hint="eastAsia" w:ascii="仿宋" w:hAnsi="仿宋" w:eastAsia="仿宋" w:cs="仿宋"/>
          <w:sz w:val="32"/>
          <w:szCs w:val="32"/>
        </w:rPr>
      </w:pPr>
    </w:p>
    <w:p w14:paraId="48639816">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评价组成员（签字）：</w:t>
      </w:r>
    </w:p>
    <w:p w14:paraId="6250523A">
      <w:pPr>
        <w:pStyle w:val="2"/>
        <w:spacing w:line="360" w:lineRule="exact"/>
        <w:ind w:firstLine="1600" w:firstLineChars="500"/>
        <w:rPr>
          <w:rFonts w:hint="eastAsia" w:ascii="仿宋" w:hAnsi="仿宋" w:eastAsia="仿宋" w:cs="仿宋"/>
          <w:sz w:val="32"/>
          <w:szCs w:val="32"/>
        </w:rPr>
      </w:pPr>
    </w:p>
    <w:p w14:paraId="2BD7DEE4">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评价机构：河北德永会计师事务所有限公司</w:t>
      </w:r>
    </w:p>
    <w:p w14:paraId="79EEE742">
      <w:pPr>
        <w:pStyle w:val="2"/>
        <w:spacing w:line="360" w:lineRule="exact"/>
        <w:ind w:firstLine="3200" w:firstLineChars="1000"/>
        <w:rPr>
          <w:rFonts w:hint="eastAsia" w:ascii="仿宋" w:hAnsi="仿宋" w:eastAsia="仿宋" w:cs="仿宋"/>
          <w:sz w:val="32"/>
          <w:szCs w:val="32"/>
        </w:rPr>
      </w:pPr>
      <w:r>
        <w:rPr>
          <w:rFonts w:hint="eastAsia" w:ascii="仿宋" w:hAnsi="仿宋" w:eastAsia="仿宋" w:cs="仿宋"/>
          <w:sz w:val="32"/>
          <w:szCs w:val="32"/>
        </w:rPr>
        <w:t>（公章）</w:t>
      </w:r>
    </w:p>
    <w:p w14:paraId="6A6F03D6">
      <w:pPr>
        <w:pStyle w:val="2"/>
        <w:spacing w:line="360" w:lineRule="exact"/>
        <w:rPr>
          <w:rFonts w:hint="eastAsia" w:ascii="仿宋" w:hAnsi="仿宋" w:eastAsia="仿宋" w:cs="仿宋"/>
          <w:sz w:val="32"/>
          <w:szCs w:val="32"/>
        </w:rPr>
      </w:pPr>
    </w:p>
    <w:p w14:paraId="4BF5D023">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报告日期：202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9</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w:t>
      </w:r>
    </w:p>
    <w:p w14:paraId="5AAE8387">
      <w:pPr>
        <w:spacing w:line="580" w:lineRule="exact"/>
        <w:rPr>
          <w:rFonts w:hint="eastAsia" w:ascii="仿宋" w:hAnsi="仿宋" w:eastAsia="仿宋" w:cs="仿宋"/>
          <w:sz w:val="32"/>
          <w:szCs w:val="32"/>
          <w:highlight w:val="yellow"/>
        </w:rPr>
        <w:sectPr>
          <w:footerReference r:id="rId4" w:type="default"/>
          <w:pgSz w:w="11906" w:h="16838"/>
          <w:pgMar w:top="2098" w:right="1304" w:bottom="1871" w:left="1531" w:header="851" w:footer="992" w:gutter="0"/>
          <w:pgNumType w:start="1"/>
          <w:cols w:space="425" w:num="1"/>
          <w:docGrid w:type="lines" w:linePitch="312" w:charSpace="0"/>
        </w:sectPr>
      </w:pPr>
    </w:p>
    <w:tbl>
      <w:tblPr>
        <w:tblStyle w:val="19"/>
        <w:tblW w:w="15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7"/>
        <w:gridCol w:w="896"/>
        <w:gridCol w:w="688"/>
        <w:gridCol w:w="613"/>
        <w:gridCol w:w="2310"/>
        <w:gridCol w:w="5412"/>
        <w:gridCol w:w="2607"/>
        <w:gridCol w:w="663"/>
        <w:gridCol w:w="1484"/>
      </w:tblGrid>
      <w:tr w14:paraId="732D2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703" w:type="dxa"/>
            <w:gridSpan w:val="2"/>
            <w:tcBorders>
              <w:top w:val="nil"/>
              <w:left w:val="nil"/>
              <w:bottom w:val="nil"/>
              <w:right w:val="nil"/>
            </w:tcBorders>
            <w:shd w:val="clear" w:color="auto" w:fill="auto"/>
            <w:vAlign w:val="center"/>
          </w:tcPr>
          <w:p w14:paraId="13093E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44"/>
                <w:lang w:val="en-US" w:eastAsia="zh-CN" w:bidi="ar"/>
              </w:rPr>
              <w:t>附件</w:t>
            </w:r>
            <w:r>
              <w:rPr>
                <w:rFonts w:hint="default" w:ascii="Times New Roman" w:hAnsi="Times New Roman" w:eastAsia="宋体" w:cs="Times New Roman"/>
                <w:i w:val="0"/>
                <w:iCs w:val="0"/>
                <w:color w:val="000000"/>
                <w:kern w:val="0"/>
                <w:sz w:val="22"/>
                <w:szCs w:val="22"/>
                <w:u w:val="none"/>
                <w:lang w:val="en-US" w:eastAsia="zh-CN" w:bidi="ar"/>
              </w:rPr>
              <w:t>1</w:t>
            </w:r>
            <w:r>
              <w:rPr>
                <w:rStyle w:val="44"/>
                <w:lang w:val="en-US" w:eastAsia="zh-CN" w:bidi="ar"/>
              </w:rPr>
              <w:t>：</w:t>
            </w:r>
          </w:p>
        </w:tc>
        <w:tc>
          <w:tcPr>
            <w:tcW w:w="688" w:type="dxa"/>
            <w:tcBorders>
              <w:top w:val="nil"/>
              <w:left w:val="nil"/>
              <w:bottom w:val="nil"/>
              <w:right w:val="nil"/>
            </w:tcBorders>
            <w:shd w:val="clear" w:color="auto" w:fill="auto"/>
            <w:vAlign w:val="center"/>
          </w:tcPr>
          <w:p w14:paraId="649D9EC7">
            <w:pPr>
              <w:jc w:val="center"/>
              <w:rPr>
                <w:rFonts w:hint="default" w:ascii="Times New Roman" w:hAnsi="Times New Roman" w:eastAsia="等线" w:cs="Times New Roman"/>
                <w:i w:val="0"/>
                <w:iCs w:val="0"/>
                <w:color w:val="000000"/>
                <w:sz w:val="18"/>
                <w:szCs w:val="18"/>
                <w:u w:val="none"/>
              </w:rPr>
            </w:pPr>
          </w:p>
        </w:tc>
        <w:tc>
          <w:tcPr>
            <w:tcW w:w="613" w:type="dxa"/>
            <w:tcBorders>
              <w:top w:val="nil"/>
              <w:left w:val="nil"/>
              <w:bottom w:val="nil"/>
              <w:right w:val="nil"/>
            </w:tcBorders>
            <w:shd w:val="clear" w:color="auto" w:fill="auto"/>
            <w:noWrap/>
            <w:vAlign w:val="center"/>
          </w:tcPr>
          <w:p w14:paraId="3FF7C2C0">
            <w:pPr>
              <w:jc w:val="center"/>
              <w:rPr>
                <w:rFonts w:hint="default" w:ascii="Times New Roman" w:hAnsi="Times New Roman" w:eastAsia="等线" w:cs="Times New Roman"/>
                <w:i w:val="0"/>
                <w:iCs w:val="0"/>
                <w:color w:val="000000"/>
                <w:sz w:val="18"/>
                <w:szCs w:val="18"/>
                <w:u w:val="none"/>
              </w:rPr>
            </w:pPr>
          </w:p>
        </w:tc>
        <w:tc>
          <w:tcPr>
            <w:tcW w:w="2310" w:type="dxa"/>
            <w:tcBorders>
              <w:top w:val="nil"/>
              <w:left w:val="nil"/>
              <w:bottom w:val="nil"/>
              <w:right w:val="nil"/>
            </w:tcBorders>
            <w:shd w:val="clear" w:color="auto" w:fill="auto"/>
            <w:noWrap/>
            <w:vAlign w:val="center"/>
          </w:tcPr>
          <w:p w14:paraId="71A1A7DE">
            <w:pPr>
              <w:jc w:val="center"/>
              <w:rPr>
                <w:rFonts w:hint="default" w:ascii="Times New Roman" w:hAnsi="Times New Roman" w:eastAsia="等线" w:cs="Times New Roman"/>
                <w:i w:val="0"/>
                <w:iCs w:val="0"/>
                <w:color w:val="000000"/>
                <w:sz w:val="18"/>
                <w:szCs w:val="18"/>
                <w:u w:val="none"/>
              </w:rPr>
            </w:pPr>
          </w:p>
        </w:tc>
        <w:tc>
          <w:tcPr>
            <w:tcW w:w="5412" w:type="dxa"/>
            <w:tcBorders>
              <w:top w:val="nil"/>
              <w:left w:val="nil"/>
              <w:bottom w:val="nil"/>
              <w:right w:val="nil"/>
            </w:tcBorders>
            <w:shd w:val="clear" w:color="auto" w:fill="auto"/>
            <w:noWrap/>
            <w:vAlign w:val="center"/>
          </w:tcPr>
          <w:p w14:paraId="319D8A85">
            <w:pPr>
              <w:rPr>
                <w:rFonts w:hint="default" w:ascii="Times New Roman" w:hAnsi="Times New Roman" w:eastAsia="等线" w:cs="Times New Roman"/>
                <w:i w:val="0"/>
                <w:iCs w:val="0"/>
                <w:color w:val="000000"/>
                <w:sz w:val="18"/>
                <w:szCs w:val="18"/>
                <w:u w:val="none"/>
              </w:rPr>
            </w:pPr>
          </w:p>
        </w:tc>
        <w:tc>
          <w:tcPr>
            <w:tcW w:w="2607" w:type="dxa"/>
            <w:tcBorders>
              <w:top w:val="nil"/>
              <w:left w:val="nil"/>
              <w:bottom w:val="nil"/>
              <w:right w:val="nil"/>
            </w:tcBorders>
            <w:shd w:val="clear" w:color="auto" w:fill="auto"/>
            <w:noWrap/>
            <w:vAlign w:val="center"/>
          </w:tcPr>
          <w:p w14:paraId="747D0915">
            <w:pPr>
              <w:rPr>
                <w:rFonts w:hint="default" w:ascii="Times New Roman" w:hAnsi="Times New Roman" w:eastAsia="等线" w:cs="Times New Roman"/>
                <w:i w:val="0"/>
                <w:iCs w:val="0"/>
                <w:color w:val="000000"/>
                <w:sz w:val="18"/>
                <w:szCs w:val="18"/>
                <w:u w:val="none"/>
              </w:rPr>
            </w:pPr>
          </w:p>
        </w:tc>
        <w:tc>
          <w:tcPr>
            <w:tcW w:w="663" w:type="dxa"/>
            <w:tcBorders>
              <w:top w:val="nil"/>
              <w:left w:val="nil"/>
              <w:bottom w:val="nil"/>
              <w:right w:val="nil"/>
            </w:tcBorders>
            <w:shd w:val="clear" w:color="auto" w:fill="auto"/>
            <w:noWrap/>
            <w:vAlign w:val="center"/>
          </w:tcPr>
          <w:p w14:paraId="3162E13D">
            <w:pPr>
              <w:jc w:val="center"/>
              <w:rPr>
                <w:rFonts w:hint="default" w:ascii="Times New Roman" w:hAnsi="Times New Roman" w:eastAsia="等线" w:cs="Times New Roman"/>
                <w:i w:val="0"/>
                <w:iCs w:val="0"/>
                <w:color w:val="000000"/>
                <w:sz w:val="18"/>
                <w:szCs w:val="18"/>
                <w:u w:val="none"/>
              </w:rPr>
            </w:pPr>
          </w:p>
        </w:tc>
        <w:tc>
          <w:tcPr>
            <w:tcW w:w="1484" w:type="dxa"/>
            <w:tcBorders>
              <w:top w:val="nil"/>
              <w:left w:val="nil"/>
              <w:bottom w:val="nil"/>
              <w:right w:val="nil"/>
            </w:tcBorders>
            <w:shd w:val="clear" w:color="auto" w:fill="auto"/>
            <w:vAlign w:val="center"/>
          </w:tcPr>
          <w:p w14:paraId="0E4822BE">
            <w:pPr>
              <w:rPr>
                <w:rFonts w:hint="default" w:ascii="Times New Roman" w:hAnsi="Times New Roman" w:eastAsia="等线" w:cs="Times New Roman"/>
                <w:i w:val="0"/>
                <w:iCs w:val="0"/>
                <w:color w:val="000000"/>
                <w:sz w:val="18"/>
                <w:szCs w:val="18"/>
                <w:u w:val="none"/>
              </w:rPr>
            </w:pPr>
          </w:p>
        </w:tc>
      </w:tr>
      <w:tr w14:paraId="52FD9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15480" w:type="dxa"/>
            <w:gridSpan w:val="9"/>
            <w:tcBorders>
              <w:top w:val="nil"/>
              <w:left w:val="nil"/>
              <w:bottom w:val="nil"/>
              <w:right w:val="nil"/>
            </w:tcBorders>
            <w:shd w:val="clear" w:color="auto" w:fill="auto"/>
            <w:vAlign w:val="center"/>
          </w:tcPr>
          <w:p w14:paraId="59ED89F3">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徐水区教育和体育局学生课桌椅购置项目绩效评价体系</w:t>
            </w:r>
          </w:p>
        </w:tc>
      </w:tr>
      <w:tr w14:paraId="0533A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5314" w:type="dxa"/>
            <w:gridSpan w:val="5"/>
            <w:tcBorders>
              <w:top w:val="nil"/>
              <w:left w:val="nil"/>
              <w:bottom w:val="nil"/>
              <w:right w:val="nil"/>
            </w:tcBorders>
            <w:shd w:val="clear" w:color="auto" w:fill="auto"/>
            <w:vAlign w:val="center"/>
          </w:tcPr>
          <w:p w14:paraId="18EF37CE">
            <w:pPr>
              <w:jc w:val="left"/>
              <w:rPr>
                <w:rFonts w:hint="eastAsia" w:ascii="黑体" w:hAnsi="宋体" w:eastAsia="黑体" w:cs="黑体"/>
                <w:i w:val="0"/>
                <w:iCs w:val="0"/>
                <w:color w:val="000000"/>
                <w:sz w:val="24"/>
                <w:szCs w:val="24"/>
                <w:u w:val="none"/>
              </w:rPr>
            </w:pPr>
            <w:r>
              <w:rPr>
                <w:rFonts w:hint="eastAsia" w:ascii="宋体" w:hAnsi="宋体" w:eastAsia="宋体" w:cs="宋体"/>
                <w:b/>
                <w:bCs/>
                <w:i w:val="0"/>
                <w:iCs w:val="0"/>
                <w:color w:val="000000"/>
                <w:kern w:val="0"/>
                <w:sz w:val="20"/>
                <w:szCs w:val="20"/>
                <w:u w:val="none"/>
                <w:lang w:val="en-US" w:eastAsia="zh-CN" w:bidi="ar"/>
              </w:rPr>
              <w:t>被评价单位:徐水区教育和体育局</w:t>
            </w:r>
          </w:p>
        </w:tc>
        <w:tc>
          <w:tcPr>
            <w:tcW w:w="5412" w:type="dxa"/>
            <w:tcBorders>
              <w:top w:val="nil"/>
              <w:left w:val="nil"/>
              <w:bottom w:val="nil"/>
              <w:right w:val="nil"/>
            </w:tcBorders>
            <w:shd w:val="clear" w:color="auto" w:fill="auto"/>
            <w:noWrap/>
            <w:vAlign w:val="center"/>
          </w:tcPr>
          <w:p w14:paraId="34ABC507">
            <w:pPr>
              <w:rPr>
                <w:rFonts w:hint="default" w:ascii="Times New Roman" w:hAnsi="Times New Roman" w:eastAsia="等线" w:cs="Times New Roman"/>
                <w:i w:val="0"/>
                <w:iCs w:val="0"/>
                <w:color w:val="000000"/>
                <w:sz w:val="18"/>
                <w:szCs w:val="18"/>
                <w:u w:val="none"/>
              </w:rPr>
            </w:pPr>
          </w:p>
        </w:tc>
        <w:tc>
          <w:tcPr>
            <w:tcW w:w="2607" w:type="dxa"/>
            <w:tcBorders>
              <w:top w:val="nil"/>
              <w:left w:val="nil"/>
              <w:bottom w:val="nil"/>
              <w:right w:val="nil"/>
            </w:tcBorders>
            <w:shd w:val="clear" w:color="auto" w:fill="auto"/>
            <w:noWrap/>
            <w:vAlign w:val="center"/>
          </w:tcPr>
          <w:p w14:paraId="0CEC61E2">
            <w:pPr>
              <w:rPr>
                <w:rFonts w:hint="default" w:ascii="Times New Roman" w:hAnsi="Times New Roman" w:eastAsia="等线" w:cs="Times New Roman"/>
                <w:i w:val="0"/>
                <w:iCs w:val="0"/>
                <w:color w:val="000000"/>
                <w:sz w:val="18"/>
                <w:szCs w:val="18"/>
                <w:u w:val="none"/>
              </w:rPr>
            </w:pPr>
          </w:p>
        </w:tc>
        <w:tc>
          <w:tcPr>
            <w:tcW w:w="663" w:type="dxa"/>
            <w:tcBorders>
              <w:top w:val="nil"/>
              <w:left w:val="nil"/>
              <w:bottom w:val="nil"/>
              <w:right w:val="nil"/>
            </w:tcBorders>
            <w:shd w:val="clear" w:color="auto" w:fill="auto"/>
            <w:noWrap/>
            <w:vAlign w:val="center"/>
          </w:tcPr>
          <w:p w14:paraId="35E6BACA">
            <w:pPr>
              <w:jc w:val="center"/>
              <w:rPr>
                <w:rFonts w:hint="default" w:ascii="Times New Roman" w:hAnsi="Times New Roman" w:eastAsia="等线" w:cs="Times New Roman"/>
                <w:i w:val="0"/>
                <w:iCs w:val="0"/>
                <w:color w:val="000000"/>
                <w:sz w:val="18"/>
                <w:szCs w:val="18"/>
                <w:u w:val="none"/>
              </w:rPr>
            </w:pPr>
          </w:p>
        </w:tc>
        <w:tc>
          <w:tcPr>
            <w:tcW w:w="1484" w:type="dxa"/>
            <w:tcBorders>
              <w:top w:val="nil"/>
              <w:left w:val="nil"/>
              <w:bottom w:val="nil"/>
              <w:right w:val="nil"/>
            </w:tcBorders>
            <w:shd w:val="clear" w:color="auto" w:fill="auto"/>
            <w:vAlign w:val="center"/>
          </w:tcPr>
          <w:p w14:paraId="01558CD1">
            <w:pPr>
              <w:rPr>
                <w:rFonts w:hint="default" w:ascii="Times New Roman" w:hAnsi="Times New Roman" w:eastAsia="等线" w:cs="Times New Roman"/>
                <w:i w:val="0"/>
                <w:iCs w:val="0"/>
                <w:color w:val="000000"/>
                <w:sz w:val="18"/>
                <w:szCs w:val="18"/>
                <w:u w:val="none"/>
              </w:rPr>
            </w:pPr>
          </w:p>
        </w:tc>
      </w:tr>
      <w:tr w14:paraId="1FEDB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300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94F8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评价指标</w:t>
            </w:r>
          </w:p>
        </w:tc>
        <w:tc>
          <w:tcPr>
            <w:tcW w:w="2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DC4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指标解释</w:t>
            </w:r>
          </w:p>
        </w:tc>
        <w:tc>
          <w:tcPr>
            <w:tcW w:w="5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1029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指标说明</w:t>
            </w:r>
          </w:p>
        </w:tc>
        <w:tc>
          <w:tcPr>
            <w:tcW w:w="26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2F4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评分标准</w:t>
            </w:r>
          </w:p>
        </w:tc>
        <w:tc>
          <w:tcPr>
            <w:tcW w:w="6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5FA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评分</w:t>
            </w:r>
          </w:p>
        </w:tc>
        <w:tc>
          <w:tcPr>
            <w:tcW w:w="1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2911D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390D0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41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04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w:t>
            </w:r>
            <w:r>
              <w:rPr>
                <w:rStyle w:val="45"/>
                <w:rFonts w:eastAsia="宋体"/>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指标</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B4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三级    指标</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42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分值</w:t>
            </w:r>
          </w:p>
        </w:tc>
        <w:tc>
          <w:tcPr>
            <w:tcW w:w="2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0FCD3">
            <w:pPr>
              <w:jc w:val="center"/>
              <w:rPr>
                <w:rFonts w:hint="eastAsia" w:ascii="宋体" w:hAnsi="宋体" w:eastAsia="宋体" w:cs="宋体"/>
                <w:b/>
                <w:bCs/>
                <w:i w:val="0"/>
                <w:iCs w:val="0"/>
                <w:color w:val="000000"/>
                <w:sz w:val="20"/>
                <w:szCs w:val="20"/>
                <w:u w:val="none"/>
              </w:rPr>
            </w:pPr>
          </w:p>
        </w:tc>
        <w:tc>
          <w:tcPr>
            <w:tcW w:w="5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8BFA7">
            <w:pPr>
              <w:jc w:val="center"/>
              <w:rPr>
                <w:rFonts w:hint="eastAsia" w:ascii="宋体" w:hAnsi="宋体" w:eastAsia="宋体" w:cs="宋体"/>
                <w:b/>
                <w:bCs/>
                <w:i w:val="0"/>
                <w:iCs w:val="0"/>
                <w:color w:val="000000"/>
                <w:sz w:val="20"/>
                <w:szCs w:val="20"/>
                <w:u w:val="none"/>
              </w:rPr>
            </w:pPr>
          </w:p>
        </w:tc>
        <w:tc>
          <w:tcPr>
            <w:tcW w:w="26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A20B4">
            <w:pPr>
              <w:jc w:val="center"/>
              <w:rPr>
                <w:rFonts w:hint="eastAsia" w:ascii="宋体" w:hAnsi="宋体" w:eastAsia="宋体" w:cs="宋体"/>
                <w:b/>
                <w:bCs/>
                <w:i w:val="0"/>
                <w:iCs w:val="0"/>
                <w:color w:val="000000"/>
                <w:sz w:val="20"/>
                <w:szCs w:val="20"/>
                <w:u w:val="none"/>
              </w:rPr>
            </w:pP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0CEEE">
            <w:pPr>
              <w:jc w:val="center"/>
              <w:rPr>
                <w:rFonts w:hint="eastAsia" w:ascii="宋体" w:hAnsi="宋体" w:eastAsia="宋体" w:cs="宋体"/>
                <w:b/>
                <w:bCs/>
                <w:i w:val="0"/>
                <w:iCs w:val="0"/>
                <w:color w:val="000000"/>
                <w:sz w:val="20"/>
                <w:szCs w:val="20"/>
                <w:u w:val="none"/>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8F1AC">
            <w:pPr>
              <w:jc w:val="center"/>
              <w:rPr>
                <w:rFonts w:hint="eastAsia" w:ascii="宋体" w:hAnsi="宋体" w:eastAsia="宋体" w:cs="宋体"/>
                <w:b/>
                <w:bCs/>
                <w:i w:val="0"/>
                <w:iCs w:val="0"/>
                <w:color w:val="000000"/>
                <w:sz w:val="18"/>
                <w:szCs w:val="18"/>
                <w:u w:val="none"/>
              </w:rPr>
            </w:pPr>
          </w:p>
        </w:tc>
      </w:tr>
      <w:tr w14:paraId="63528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F3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决策</w:t>
            </w: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（18分）</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1E8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项目立项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516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立项依据充分性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32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1489">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项目立项是否符合法律法规、相关政策、发展规划以及部门职责，用以反映和考核项目申请依据情况。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3C4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①项目立项是否符合国家法律法规和相关政策；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②项目立项是否符合行业发展规划和政策要求；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③项目立项是否与部门职责相符，属于部门履职所需；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④项目是否属于公共财政支持范围，是否符合中央、地方事权支出责任划分原则；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⑤项目是否与相关部门同类项目或部门内部相关项目重复。</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2D4B">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根据被评价单位提供项目申请相关资料，符合法律法规、相关政策、发展规划以及部门职责等相关要求的得满分，缺一项扣0.6分，扣完为止。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FAA1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6814">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6DB9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C412E">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AAB4A">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02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立项程序规范性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D15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9F2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项目申请、立项过程是否符合相关要求，用以反映和考核项目申请的规范情况。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0F93">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①项目是否按照规定程序申请设立；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②申请文件、资料是否符合相关要求；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③项目是否经过必要的可行性研究及</w:t>
            </w:r>
            <w:r>
              <w:rPr>
                <w:rFonts w:hint="eastAsia" w:ascii="宋体" w:hAnsi="宋体" w:cs="宋体"/>
                <w:i w:val="0"/>
                <w:iCs w:val="0"/>
                <w:color w:val="000000"/>
                <w:kern w:val="0"/>
                <w:sz w:val="20"/>
                <w:szCs w:val="20"/>
                <w:u w:val="none"/>
                <w:lang w:val="en-US" w:eastAsia="zh-CN" w:bidi="ar"/>
              </w:rPr>
              <w:t>区</w:t>
            </w:r>
            <w:r>
              <w:rPr>
                <w:rFonts w:hint="eastAsia" w:ascii="宋体" w:hAnsi="宋体" w:eastAsia="宋体" w:cs="宋体"/>
                <w:i w:val="0"/>
                <w:iCs w:val="0"/>
                <w:color w:val="000000"/>
                <w:kern w:val="0"/>
                <w:sz w:val="20"/>
                <w:szCs w:val="20"/>
                <w:u w:val="none"/>
                <w:lang w:val="en-US" w:eastAsia="zh-CN" w:bidi="ar"/>
              </w:rPr>
              <w:t>财政投资评审并公示入库。</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5E9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根据被评价单位提供项目申请资料，完全符合得满分，缺一项扣</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937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6244">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项目入库程序不规范，</w:t>
            </w:r>
            <w:r>
              <w:rPr>
                <w:rFonts w:hint="default" w:ascii="Times New Roman" w:hAnsi="Times New Roman" w:eastAsia="宋体" w:cs="Times New Roman"/>
                <w:i w:val="0"/>
                <w:iCs w:val="0"/>
                <w:color w:val="000000"/>
                <w:kern w:val="0"/>
                <w:sz w:val="18"/>
                <w:szCs w:val="18"/>
                <w:u w:val="none"/>
                <w:lang w:val="en-US" w:eastAsia="zh-CN" w:bidi="ar"/>
              </w:rPr>
              <w:t>86</w:t>
            </w:r>
            <w:r>
              <w:rPr>
                <w:rFonts w:hint="eastAsia" w:ascii="宋体" w:hAnsi="宋体" w:eastAsia="宋体" w:cs="宋体"/>
                <w:i w:val="0"/>
                <w:iCs w:val="0"/>
                <w:color w:val="000000"/>
                <w:kern w:val="0"/>
                <w:sz w:val="18"/>
                <w:szCs w:val="18"/>
                <w:u w:val="none"/>
                <w:lang w:val="en-US" w:eastAsia="zh-CN" w:bidi="ar"/>
              </w:rPr>
              <w:t>万元的革命老区转移支付资金未批复预算</w:t>
            </w:r>
            <w:r>
              <w:rPr>
                <w:rFonts w:hint="eastAsia" w:ascii="宋体" w:hAnsi="宋体" w:cs="宋体"/>
                <w:i w:val="0"/>
                <w:iCs w:val="0"/>
                <w:color w:val="000000"/>
                <w:kern w:val="0"/>
                <w:sz w:val="18"/>
                <w:szCs w:val="18"/>
                <w:u w:val="none"/>
                <w:lang w:val="en-US" w:eastAsia="zh-CN" w:bidi="ar"/>
              </w:rPr>
              <w:t>，且未</w:t>
            </w:r>
            <w:r>
              <w:rPr>
                <w:rFonts w:hint="eastAsia" w:ascii="宋体" w:hAnsi="宋体" w:eastAsia="宋体" w:cs="宋体"/>
                <w:i w:val="0"/>
                <w:iCs w:val="0"/>
                <w:color w:val="000000"/>
                <w:kern w:val="0"/>
                <w:sz w:val="18"/>
                <w:szCs w:val="18"/>
                <w:u w:val="none"/>
                <w:lang w:val="en-US" w:eastAsia="zh-CN" w:bidi="ar"/>
              </w:rPr>
              <w:t>公开公示。</w:t>
            </w:r>
          </w:p>
        </w:tc>
      </w:tr>
      <w:tr w14:paraId="6048C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83750">
            <w:pPr>
              <w:jc w:val="center"/>
              <w:rPr>
                <w:rFonts w:hint="eastAsia" w:ascii="宋体" w:hAnsi="宋体" w:eastAsia="宋体" w:cs="宋体"/>
                <w:i w:val="0"/>
                <w:iCs w:val="0"/>
                <w:color w:val="000000"/>
                <w:sz w:val="20"/>
                <w:szCs w:val="20"/>
                <w:u w:val="none"/>
              </w:rPr>
            </w:pP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DE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C3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绩效目标合理性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978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ABB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项目所设定的绩效目标是否依据充分，是否符合客观实际，用以反映和考核项目绩效目标与项目实施的相符情况。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3F5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①项目是否有绩效目标；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②项目绩效目标与实际工作内容是否具有相关性；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③项目预期产出效益和效果是否符合正常的业绩水平；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④是否与预算确定的项目投资额或资金量相匹配。</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791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根据被评价单位提供项目申请资料，完全符合得满分，缺一项扣</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51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C529">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项目绩效目标按照县级财政下达的革命老区转移支付资金文件分别设定，导致一个项目对应两个绩效目标。</w:t>
            </w:r>
          </w:p>
        </w:tc>
      </w:tr>
      <w:tr w14:paraId="70A7A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D7E02">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29A2A">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33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绩效指标明确性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7A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68BC">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依据绩效目标设定的绩效指标是否清晰、细化、可衡量等，用以反映和考核项目绩效目标的明细化情况。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EBE8">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①是否将项目绩效目标细化分解为具体的绩效指标；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②是否通过清晰、可衡量的指标值予以体现；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③是否与项目目标任务数或计划数相对应。</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8F5B">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根据被评价单位提供项目申请资料，完全符合得满分，缺一项扣</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7F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eastAsia"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07D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部分绩效指标设置不合理，可衡量性和相关性较差。</w:t>
            </w:r>
          </w:p>
        </w:tc>
      </w:tr>
      <w:tr w14:paraId="64E27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C6EE3">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A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资金投入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03E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预算编制科学性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5A5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12DC">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项目资金投入是否经过科学论证、有明确标准，资金额度与年度目标是否相适应，用以反映和考核项目预算编制科学性、合理性情况。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5F80">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①预算编制是否经过科学论证；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②预算编制内容是否与项目内容相匹配；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③预算额度测算依据是否充分，是否有相应标准；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④确定的项目投资额或资金量是否与工作任务相匹配，项目资金投入是否符合地方实际。</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DD7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根据被评价单位提供项目相关资料，符合全部要求得满分，缺一项扣1分，扣完为止。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105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DF8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预算编制与项目实际实施的资金额度和建设规模均存在不一致</w:t>
            </w:r>
            <w:r>
              <w:rPr>
                <w:rFonts w:hint="eastAsia" w:ascii="宋体" w:hAnsi="宋体" w:cs="宋体"/>
                <w:i w:val="0"/>
                <w:iCs w:val="0"/>
                <w:color w:val="000000"/>
                <w:kern w:val="0"/>
                <w:sz w:val="20"/>
                <w:szCs w:val="20"/>
                <w:u w:val="none"/>
                <w:lang w:val="en-US" w:eastAsia="zh-CN" w:bidi="ar"/>
              </w:rPr>
              <w:t>，当年度预算存在缺口</w:t>
            </w:r>
            <w:r>
              <w:rPr>
                <w:rFonts w:hint="eastAsia" w:ascii="宋体" w:hAnsi="宋体" w:eastAsia="宋体" w:cs="宋体"/>
                <w:i w:val="0"/>
                <w:iCs w:val="0"/>
                <w:color w:val="000000"/>
                <w:kern w:val="0"/>
                <w:sz w:val="20"/>
                <w:szCs w:val="20"/>
                <w:u w:val="none"/>
                <w:lang w:val="en-US" w:eastAsia="zh-CN" w:bidi="ar"/>
              </w:rPr>
              <w:t>。</w:t>
            </w:r>
          </w:p>
        </w:tc>
      </w:tr>
      <w:tr w14:paraId="6894D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5D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t>22</w:t>
            </w:r>
            <w:r>
              <w:rPr>
                <w:rFonts w:hint="eastAsia" w:ascii="宋体" w:hAnsi="宋体" w:eastAsia="宋体" w:cs="宋体"/>
                <w:i w:val="0"/>
                <w:iCs w:val="0"/>
                <w:color w:val="000000"/>
                <w:kern w:val="0"/>
                <w:sz w:val="20"/>
                <w:szCs w:val="20"/>
                <w:u w:val="none"/>
                <w:lang w:val="en-US" w:eastAsia="zh-CN" w:bidi="ar"/>
              </w:rPr>
              <w:t>分）</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F3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94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D5B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35C6">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实际到位资金与预算资金的比率，用以反映和考核资金落实情况对项目实施的总体保障程度。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029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（实际到位资金</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预算资金）</w:t>
            </w:r>
            <w:r>
              <w:rPr>
                <w:rFonts w:hint="default" w:ascii="Times New Roman" w:hAnsi="Times New Roman" w:eastAsia="宋体" w:cs="Times New Roman"/>
                <w:i w:val="0"/>
                <w:iCs w:val="0"/>
                <w:color w:val="000000"/>
                <w:kern w:val="0"/>
                <w:sz w:val="20"/>
                <w:szCs w:val="20"/>
                <w:u w:val="none"/>
                <w:lang w:val="en-US" w:eastAsia="zh-CN" w:bidi="ar"/>
              </w:rPr>
              <w:t>*100%</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DAA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资金到位率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E5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DD2A">
            <w:pPr>
              <w:keepNext w:val="0"/>
              <w:keepLines w:val="0"/>
              <w:pageBreakBefore w:val="0"/>
              <w:kinsoku/>
              <w:wordWrap/>
              <w:overflowPunct/>
              <w:topLinePunct w:val="0"/>
              <w:autoSpaceDE/>
              <w:autoSpaceDN/>
              <w:bidi w:val="0"/>
              <w:adjustRightInd/>
              <w:snapToGrid/>
              <w:spacing w:line="240" w:lineRule="atLeast"/>
              <w:rPr>
                <w:rFonts w:hint="eastAsia" w:ascii="宋体" w:hAnsi="宋体" w:eastAsia="宋体" w:cs="宋体"/>
                <w:i w:val="0"/>
                <w:iCs w:val="0"/>
                <w:color w:val="000000"/>
                <w:sz w:val="20"/>
                <w:szCs w:val="20"/>
                <w:u w:val="none"/>
              </w:rPr>
            </w:pPr>
          </w:p>
        </w:tc>
      </w:tr>
      <w:tr w14:paraId="1B463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428A2">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F97B4">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A0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316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06C8">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项目预算资金是否按照计划执行，用以反映或考核项目预算执行情况。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25B3">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（实际支出资金</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实际到位资金）</w:t>
            </w:r>
            <w:r>
              <w:rPr>
                <w:rFonts w:hint="default" w:ascii="Times New Roman" w:hAnsi="Times New Roman" w:eastAsia="宋体" w:cs="Times New Roman"/>
                <w:i w:val="0"/>
                <w:iCs w:val="0"/>
                <w:color w:val="000000"/>
                <w:kern w:val="0"/>
                <w:sz w:val="20"/>
                <w:szCs w:val="20"/>
                <w:u w:val="none"/>
                <w:lang w:val="en-US" w:eastAsia="zh-CN" w:bidi="ar"/>
              </w:rPr>
              <w:t>*100%</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B04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预算执行率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AA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F4C6">
            <w:pPr>
              <w:keepNext w:val="0"/>
              <w:keepLines w:val="0"/>
              <w:pageBreakBefore w:val="0"/>
              <w:kinsoku/>
              <w:wordWrap/>
              <w:overflowPunct/>
              <w:topLinePunct w:val="0"/>
              <w:autoSpaceDE/>
              <w:autoSpaceDN/>
              <w:bidi w:val="0"/>
              <w:adjustRightInd/>
              <w:snapToGrid/>
              <w:spacing w:line="240" w:lineRule="atLeast"/>
              <w:rPr>
                <w:rFonts w:hint="eastAsia" w:ascii="宋体" w:hAnsi="宋体" w:eastAsia="宋体" w:cs="宋体"/>
                <w:i w:val="0"/>
                <w:iCs w:val="0"/>
                <w:color w:val="000000"/>
                <w:sz w:val="20"/>
                <w:szCs w:val="20"/>
                <w:u w:val="none"/>
              </w:rPr>
            </w:pPr>
          </w:p>
        </w:tc>
      </w:tr>
      <w:tr w14:paraId="4FCCC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2A6A3">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87951">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9E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资金使用合规性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943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248B">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项目资金使用是否符合相关的财务管理制度规定，用以反映和考核项目资金的规范运行情况。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404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①是否符合国家财经和财务管理制度以及有关专项资金管理办法规定；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②资金的拨付是否有完整的审批程序和手续；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③是否符合预算批复或合同规定的用途；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④是否存在截留、挤占、挪用、虚列支出等情况。</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B46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完全符合得满分，一项不符合扣</w:t>
            </w:r>
            <w:r>
              <w:rPr>
                <w:rFonts w:hint="default" w:ascii="Times New Roman" w:hAnsi="Times New Roman" w:eastAsia="宋体" w:cs="Times New Roman"/>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CE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AC1B">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财务核算不规范。教体局通过其他应付款对项目资金进行核算。</w:t>
            </w:r>
          </w:p>
        </w:tc>
      </w:tr>
      <w:tr w14:paraId="6DBCB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5D901">
            <w:pPr>
              <w:jc w:val="center"/>
              <w:rPr>
                <w:rFonts w:hint="eastAsia" w:ascii="宋体" w:hAnsi="宋体" w:eastAsia="宋体" w:cs="宋体"/>
                <w:i w:val="0"/>
                <w:iCs w:val="0"/>
                <w:color w:val="000000"/>
                <w:sz w:val="20"/>
                <w:szCs w:val="20"/>
                <w:u w:val="none"/>
              </w:rPr>
            </w:pP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DF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组织实施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317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管理制度健全性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82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A7A0">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项目实施单位的财务、业务管理、绩效管理制度是否健全，用以反映和考核财务、业务、绩效管理制度对项目顺利实施的保障情况。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8DD6">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①是否已制定或具有相应项目实施方案或实施计划；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②实施方案或相关管理制度是否合法、合规、完整。</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5CD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已制定或具有相应制度或方案、计划且合法、合规、完整得满分，缺一项扣</w:t>
            </w:r>
            <w:r>
              <w:rPr>
                <w:rFonts w:hint="default" w:ascii="Times New Roman"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D0D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5E5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未建立革命老区转移支付资金绩效运行监控机制</w:t>
            </w:r>
          </w:p>
        </w:tc>
      </w:tr>
      <w:tr w14:paraId="61471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34E26">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85146">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F7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制度执行有效性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4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DEFA">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项目实施是否符合相关管理规定，用以反映和考核相关管理制度的有效执行情况。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782E">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①是否遵守相关法律法规和相关管理规定；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②项目是否按核准的采购程序进行采购；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③项目合同书、验收报告、技术鉴定、后续管理等资料是否齐全并及时归档；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④资金支付是否与合同约定一致；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⑤项目实施的人员条件、场地设备、信息支撑等是否都落实到位。</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D8E6">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完全符合得满分，一项不符合扣1分，扣完为止。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BA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06C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公告公示地点、内容不全。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违反招标文件的实质性条款订立合同。</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未按照招标文件的要求落实项目资金。</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未及时完成资产移交。</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资产的产权移交、登记不规范。</w:t>
            </w:r>
          </w:p>
        </w:tc>
      </w:tr>
      <w:tr w14:paraId="7B4F6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57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（32分）</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B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CE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E07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CC1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项目实际购置数量与计划购置数量的比率，用以反映和考核项目产出数量目标的实现程度。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E99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实际完成率=（实际购置数量/计划购置数量）*</w:t>
            </w:r>
            <w:r>
              <w:rPr>
                <w:rFonts w:hint="default" w:ascii="Times New Roman"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实际购置数量：一定时期（本年度或项目期）内实际购置的课桌椅数量。</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计划购置数量：项目绩效目标确定的在一定时期（本年度或项目期）内计划购置的课桌椅数量。</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34C7">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实际完成率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396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9FE9">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5A780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5B0D8">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4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产出质量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05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质量达标率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55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0B06">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项目完成的质量达标产出数量与实际产出数的比率，用以反映和考核项目产出质量目标的实现程度。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3CF7">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质量达标率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（完成的合格工程量</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实际完成工程量）</w:t>
            </w:r>
            <w:r>
              <w:rPr>
                <w:rFonts w:hint="default" w:ascii="Times New Roman"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质量达标产出数：一定时期（本年度或项目期）内实际达到既定质量的产品数或服务数量。既定质量标准是指项目实施单位设立绩效目标时效依据计划标准、行业标准、历史标准或其他标准而设定的绩效指标值。</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96B0">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工程合格率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45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64FF">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19758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BB0A3">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E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产出时效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A2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完成及时性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F0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6514">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项目实际完成时间与计划或合同约定时间的比较，用以反映和考核项目产出时效目标的实现程度。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3B17">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实际完成时间：项目实施单位完成该项目的时间。</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合同规定时间：项目计划或合同规定完成该项目的时间。</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6730">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按时完成得满分，未按时完成，酌情扣分。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51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AC33">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3DB86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3E280">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7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产出成本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A7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成本节约率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49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1B8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完成项目计划工作目标的实际节约成本与计划成本的比率，用以反映和考核项目的成本节约程度。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917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成本节约率=[（计划成本-实际成本）/计划成本]*</w:t>
            </w:r>
            <w:r>
              <w:rPr>
                <w:rFonts w:hint="default" w:ascii="Times New Roman"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实际成本：项目实施单位如期、保质、保量完成既定工作目标实际所耗费的支出。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计划成本：项目实施单位为完成工作目标计划安排的支出。</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6526">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成本节约率大于等于</w:t>
            </w:r>
            <w:r>
              <w:rPr>
                <w:rFonts w:hint="default" w:ascii="Times New Roman"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，得满分；小于</w:t>
            </w:r>
            <w:r>
              <w:rPr>
                <w:rFonts w:hint="default" w:ascii="Times New Roman"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，则按每降低</w:t>
            </w:r>
            <w:r>
              <w:rPr>
                <w:rFonts w:hint="default" w:ascii="Times New Roman"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扣1分，扣完为止。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56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F717">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7D0E0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E0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（28分）</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11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81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346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87A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项目实施所产生的社会效益。</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6BA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评价要点：考察实施的项目是否满足了教学需求，改善了办学条件，增强了教育保障能力。</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54EB">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达到目标值得满分，否则酌情扣分。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8C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3B2F">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3CEDA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4871A">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E9BE2">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08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0AB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551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项目实施所产生的可持续影响。</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E69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评价要点：考察实施的项目是否符合徐水区整体规划，是否有效缓解破旧的桌椅不能满足学生的学习需求及课余时间的安全隐患问题，是否满足人民群众对优质教育的需求，有效提升城区教育公共服务水平。</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7C24">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达到目标值得满分，否则酌情扣分。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D69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4C07">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0D26C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2F0BE">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1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E31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E7B2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7F0B">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社会公众或服务对象对项目实施效果的满意程度。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F478">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社会公众或服务对象是指因该项目实施而受到影响的部门（单位）、群体或个人。一般采取社会调查的方式。</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358A">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满意度≥90%，优；90%＞满意度 ≥80%，良；80＞满意度 ≥60，中；满意度＜60%，差。按优、良、中、差四等级进行评价，优得10分、良得7分、中得4分、差得0分。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A4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3C33">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14:paraId="573F1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74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8B89">
            <w:pPr>
              <w:jc w:val="center"/>
              <w:rPr>
                <w:rFonts w:hint="default" w:ascii="Times New Roman" w:hAnsi="Times New Roman" w:eastAsia="等线" w:cs="Times New Roman"/>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09F0">
            <w:pPr>
              <w:jc w:val="center"/>
              <w:rPr>
                <w:rFonts w:hint="default" w:ascii="Times New Roman" w:hAnsi="Times New Roman" w:eastAsia="等线" w:cs="Times New Roman"/>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8012">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100</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0894">
            <w:pPr>
              <w:jc w:val="center"/>
              <w:rPr>
                <w:rFonts w:hint="default" w:ascii="Times New Roman" w:hAnsi="Times New Roman" w:eastAsia="等线" w:cs="Times New Roman"/>
                <w:i w:val="0"/>
                <w:iCs w:val="0"/>
                <w:color w:val="000000"/>
                <w:sz w:val="20"/>
                <w:szCs w:val="20"/>
                <w:u w:val="none"/>
              </w:rPr>
            </w:pPr>
          </w:p>
        </w:tc>
        <w:tc>
          <w:tcPr>
            <w:tcW w:w="5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22DF">
            <w:pPr>
              <w:rPr>
                <w:rFonts w:hint="default" w:ascii="Times New Roman" w:hAnsi="Times New Roman" w:eastAsia="等线" w:cs="Times New Roman"/>
                <w:i w:val="0"/>
                <w:iCs w:val="0"/>
                <w:color w:val="000000"/>
                <w:sz w:val="20"/>
                <w:szCs w:val="20"/>
                <w:u w:val="none"/>
              </w:rPr>
            </w:pP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EA376">
            <w:pPr>
              <w:rPr>
                <w:rFonts w:hint="default" w:ascii="Times New Roman" w:hAnsi="Times New Roman" w:eastAsia="等线" w:cs="Times New Roman"/>
                <w:i w:val="0"/>
                <w:iCs w:val="0"/>
                <w:color w:val="000000"/>
                <w:sz w:val="20"/>
                <w:szCs w:val="20"/>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A0F4">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lang w:val="en-US"/>
              </w:rPr>
            </w:pPr>
            <w:r>
              <w:rPr>
                <w:rFonts w:hint="eastAsia" w:eastAsia="等线" w:cs="Times New Roman"/>
                <w:i w:val="0"/>
                <w:iCs w:val="0"/>
                <w:color w:val="000000"/>
                <w:kern w:val="0"/>
                <w:sz w:val="20"/>
                <w:szCs w:val="20"/>
                <w:u w:val="none"/>
                <w:lang w:val="en-US" w:eastAsia="zh-CN" w:bidi="ar"/>
              </w:rPr>
              <w:t>90</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6249">
            <w:pPr>
              <w:rPr>
                <w:rFonts w:hint="default" w:ascii="Times New Roman" w:hAnsi="Times New Roman" w:eastAsia="等线" w:cs="Times New Roman"/>
                <w:i w:val="0"/>
                <w:iCs w:val="0"/>
                <w:color w:val="000000"/>
                <w:sz w:val="18"/>
                <w:szCs w:val="18"/>
                <w:u w:val="none"/>
              </w:rPr>
            </w:pPr>
          </w:p>
        </w:tc>
      </w:tr>
    </w:tbl>
    <w:p w14:paraId="56F1D3B0">
      <w:pPr>
        <w:spacing w:line="580" w:lineRule="exact"/>
        <w:rPr>
          <w:rFonts w:eastAsia="仿宋_GB2312"/>
          <w:sz w:val="32"/>
          <w:szCs w:val="32"/>
          <w:highlight w:val="yellow"/>
        </w:rPr>
      </w:pPr>
    </w:p>
    <w:p w14:paraId="3102BBAD">
      <w:pPr>
        <w:spacing w:line="580" w:lineRule="exact"/>
        <w:ind w:firstLine="640" w:firstLineChars="200"/>
        <w:rPr>
          <w:rFonts w:eastAsia="仿宋_GB2312"/>
          <w:sz w:val="32"/>
          <w:szCs w:val="32"/>
          <w:highlight w:val="yellow"/>
        </w:rPr>
      </w:pPr>
    </w:p>
    <w:p w14:paraId="2B3A7084">
      <w:pPr>
        <w:spacing w:line="580" w:lineRule="exact"/>
        <w:ind w:firstLine="640" w:firstLineChars="200"/>
        <w:rPr>
          <w:rFonts w:eastAsia="仿宋_GB2312"/>
          <w:sz w:val="32"/>
          <w:szCs w:val="32"/>
          <w:highlight w:val="yellow"/>
        </w:rPr>
        <w:sectPr>
          <w:pgSz w:w="16838" w:h="11906" w:orient="landscape"/>
          <w:pgMar w:top="1134" w:right="851" w:bottom="1134" w:left="851" w:header="851" w:footer="992" w:gutter="0"/>
          <w:pgNumType w:start="1"/>
          <w:cols w:space="425" w:num="1"/>
          <w:docGrid w:type="linesAndChars" w:linePitch="312" w:charSpace="0"/>
        </w:sectPr>
      </w:pPr>
    </w:p>
    <w:p w14:paraId="182DAACB">
      <w:pPr>
        <w:pStyle w:val="35"/>
        <w:spacing w:line="500" w:lineRule="exact"/>
        <w:ind w:left="0" w:right="334"/>
        <w:rPr>
          <w:rStyle w:val="44"/>
          <w:color w:val="000000"/>
          <w:kern w:val="2"/>
          <w:lang w:val="en-US" w:eastAsia="zh-CN" w:bidi="ar"/>
        </w:rPr>
      </w:pPr>
      <w:bookmarkStart w:id="188" w:name="_Toc17105"/>
      <w:r>
        <w:rPr>
          <w:rStyle w:val="44"/>
          <w:rFonts w:hint="eastAsia"/>
          <w:color w:val="000000"/>
          <w:kern w:val="2"/>
          <w:lang w:val="en-US" w:eastAsia="zh-CN" w:bidi="ar"/>
        </w:rPr>
        <w:t>附件2：</w:t>
      </w:r>
      <w:bookmarkEnd w:id="188"/>
    </w:p>
    <w:p w14:paraId="1645670B">
      <w:pPr>
        <w:pStyle w:val="35"/>
        <w:spacing w:line="500" w:lineRule="exact"/>
        <w:ind w:left="0" w:right="334"/>
        <w:jc w:val="center"/>
        <w:rPr>
          <w:rFonts w:asciiTheme="minorEastAsia" w:hAnsiTheme="minorEastAsia" w:eastAsiaTheme="minorEastAsia" w:cstheme="minorEastAsia"/>
          <w:b/>
          <w:bCs/>
          <w:spacing w:val="-1"/>
          <w:sz w:val="36"/>
          <w:szCs w:val="36"/>
          <w:lang w:eastAsia="zh-CN"/>
        </w:rPr>
      </w:pPr>
      <w:bookmarkStart w:id="189" w:name="_Toc7997"/>
      <w:r>
        <w:rPr>
          <w:rFonts w:hint="eastAsia" w:asciiTheme="minorEastAsia" w:hAnsiTheme="minorEastAsia" w:eastAsiaTheme="minorEastAsia" w:cstheme="minorEastAsia"/>
          <w:b/>
          <w:bCs/>
          <w:spacing w:val="-1"/>
          <w:sz w:val="36"/>
          <w:szCs w:val="36"/>
          <w:lang w:eastAsia="zh-CN"/>
        </w:rPr>
        <w:t>关于“徐水区</w:t>
      </w:r>
      <w:r>
        <w:rPr>
          <w:rFonts w:hint="eastAsia" w:asciiTheme="minorEastAsia" w:hAnsiTheme="minorEastAsia" w:eastAsiaTheme="minorEastAsia" w:cstheme="minorEastAsia"/>
          <w:b/>
          <w:bCs/>
          <w:spacing w:val="-1"/>
          <w:sz w:val="36"/>
          <w:szCs w:val="36"/>
          <w:lang w:val="en-US" w:eastAsia="zh-CN"/>
        </w:rPr>
        <w:t>教育和体育局学生课桌椅购置</w:t>
      </w:r>
      <w:r>
        <w:rPr>
          <w:rFonts w:hint="eastAsia" w:asciiTheme="minorEastAsia" w:hAnsiTheme="minorEastAsia" w:eastAsiaTheme="minorEastAsia" w:cstheme="minorEastAsia"/>
          <w:b/>
          <w:bCs/>
          <w:spacing w:val="-1"/>
          <w:sz w:val="36"/>
          <w:szCs w:val="36"/>
          <w:lang w:eastAsia="zh-CN"/>
        </w:rPr>
        <w:t>项目”</w:t>
      </w:r>
      <w:bookmarkEnd w:id="189"/>
    </w:p>
    <w:p w14:paraId="7E8E5DDB">
      <w:pPr>
        <w:pStyle w:val="35"/>
        <w:spacing w:line="500" w:lineRule="exact"/>
        <w:ind w:left="0" w:right="334"/>
        <w:jc w:val="center"/>
        <w:rPr>
          <w:rFonts w:asciiTheme="minorEastAsia" w:hAnsiTheme="minorEastAsia" w:eastAsiaTheme="minorEastAsia" w:cstheme="minorEastAsia"/>
          <w:b/>
          <w:bCs/>
          <w:sz w:val="36"/>
          <w:szCs w:val="36"/>
          <w:lang w:eastAsia="zh-CN"/>
        </w:rPr>
      </w:pPr>
      <w:bookmarkStart w:id="190" w:name="_Toc14252"/>
      <w:r>
        <w:rPr>
          <w:rFonts w:hint="eastAsia" w:asciiTheme="minorEastAsia" w:hAnsiTheme="minorEastAsia" w:eastAsiaTheme="minorEastAsia" w:cstheme="minorEastAsia"/>
          <w:b/>
          <w:bCs/>
          <w:spacing w:val="-1"/>
          <w:sz w:val="36"/>
          <w:szCs w:val="36"/>
          <w:lang w:eastAsia="zh-CN"/>
        </w:rPr>
        <w:t>群众满意度调查问卷</w:t>
      </w:r>
      <w:bookmarkEnd w:id="190"/>
    </w:p>
    <w:p w14:paraId="714D53A3">
      <w:pPr>
        <w:spacing w:line="400" w:lineRule="exact"/>
        <w:jc w:val="center"/>
        <w:rPr>
          <w:rFonts w:asciiTheme="minorEastAsia" w:hAnsiTheme="minorEastAsia" w:cstheme="minorEastAsia"/>
          <w:b/>
          <w:bCs/>
          <w:sz w:val="28"/>
          <w:szCs w:val="28"/>
          <w:lang w:eastAsia="zh-CN"/>
        </w:rPr>
      </w:pPr>
    </w:p>
    <w:p w14:paraId="4D2F7541">
      <w:pPr>
        <w:spacing w:line="480" w:lineRule="exact"/>
        <w:ind w:left="102" w:right="113" w:firstLine="568" w:firstLineChars="200"/>
        <w:jc w:val="both"/>
        <w:rPr>
          <w:rFonts w:asciiTheme="minorEastAsia" w:hAnsiTheme="minorEastAsia" w:cstheme="minorEastAsia"/>
          <w:b/>
          <w:bCs/>
          <w:sz w:val="18"/>
          <w:szCs w:val="18"/>
          <w:lang w:eastAsia="zh-CN"/>
        </w:rPr>
      </w:pPr>
      <w:r>
        <w:rPr>
          <w:rFonts w:hint="eastAsia" w:asciiTheme="minorEastAsia" w:hAnsiTheme="minorEastAsia" w:cstheme="minorEastAsia"/>
          <w:spacing w:val="2"/>
          <w:sz w:val="28"/>
          <w:szCs w:val="28"/>
          <w:lang w:eastAsia="zh-CN"/>
        </w:rPr>
        <w:t>您好！我们是河北德永会计师事务所安排的调查员。为做好“徐水区</w:t>
      </w:r>
      <w:r>
        <w:rPr>
          <w:rFonts w:hint="eastAsia" w:asciiTheme="minorEastAsia" w:hAnsiTheme="minorEastAsia" w:cstheme="minorEastAsia"/>
          <w:spacing w:val="2"/>
          <w:sz w:val="28"/>
          <w:szCs w:val="28"/>
          <w:lang w:val="en-US" w:eastAsia="zh-CN"/>
        </w:rPr>
        <w:t>教育和体育局学生课桌椅购置项目</w:t>
      </w:r>
      <w:r>
        <w:rPr>
          <w:rFonts w:hint="eastAsia" w:asciiTheme="minorEastAsia" w:hAnsiTheme="minorEastAsia" w:cstheme="minorEastAsia"/>
          <w:spacing w:val="2"/>
          <w:sz w:val="28"/>
          <w:szCs w:val="28"/>
          <w:lang w:eastAsia="zh-CN"/>
        </w:rPr>
        <w:t>”绩效评价，</w:t>
      </w:r>
      <w:r>
        <w:rPr>
          <w:rFonts w:hint="eastAsia" w:asciiTheme="minorEastAsia" w:hAnsiTheme="minorEastAsia" w:cstheme="minorEastAsia"/>
          <w:sz w:val="28"/>
          <w:szCs w:val="28"/>
          <w:lang w:eastAsia="zh-CN"/>
        </w:rPr>
        <w:t>了解受益</w:t>
      </w:r>
      <w:r>
        <w:rPr>
          <w:rFonts w:hint="eastAsia" w:asciiTheme="minorEastAsia" w:hAnsiTheme="minorEastAsia" w:cstheme="minorEastAsia"/>
          <w:sz w:val="28"/>
          <w:szCs w:val="28"/>
          <w:lang w:val="en-US" w:eastAsia="zh-CN"/>
        </w:rPr>
        <w:t>师生</w:t>
      </w:r>
      <w:r>
        <w:rPr>
          <w:rFonts w:hint="eastAsia" w:asciiTheme="minorEastAsia" w:hAnsiTheme="minorEastAsia" w:cstheme="minorEastAsia"/>
          <w:sz w:val="28"/>
          <w:szCs w:val="28"/>
          <w:lang w:eastAsia="zh-CN"/>
        </w:rPr>
        <w:t>对该项目的</w:t>
      </w:r>
      <w:r>
        <w:rPr>
          <w:rFonts w:hint="eastAsia" w:asciiTheme="minorEastAsia" w:hAnsiTheme="minorEastAsia" w:cstheme="minorEastAsia"/>
          <w:spacing w:val="-1"/>
          <w:sz w:val="28"/>
          <w:szCs w:val="28"/>
          <w:lang w:eastAsia="zh-CN"/>
        </w:rPr>
        <w:t>满意度，我们做了调</w:t>
      </w:r>
      <w:r>
        <w:rPr>
          <w:rFonts w:hint="eastAsia" w:asciiTheme="minorEastAsia" w:hAnsiTheme="minorEastAsia" w:cstheme="minorEastAsia"/>
          <w:spacing w:val="2"/>
          <w:sz w:val="28"/>
          <w:szCs w:val="28"/>
          <w:lang w:eastAsia="zh-CN"/>
        </w:rPr>
        <w:t>查问卷。您所填的问卷将是匿名的，对于您的问卷内</w:t>
      </w:r>
      <w:r>
        <w:rPr>
          <w:rFonts w:hint="eastAsia" w:asciiTheme="minorEastAsia" w:hAnsiTheme="minorEastAsia" w:cstheme="minorEastAsia"/>
          <w:sz w:val="28"/>
          <w:szCs w:val="28"/>
          <w:lang w:eastAsia="zh-CN"/>
        </w:rPr>
        <w:t>容我们将严格予以保密。</w:t>
      </w:r>
      <w:r>
        <w:rPr>
          <w:rFonts w:hint="eastAsia" w:asciiTheme="minorEastAsia" w:hAnsiTheme="minorEastAsia" w:cstheme="minorEastAsia"/>
          <w:b/>
          <w:bCs/>
          <w:sz w:val="32"/>
          <w:szCs w:val="32"/>
          <w:lang w:eastAsia="zh-CN"/>
        </w:rPr>
        <w:t>谢谢您的合作！</w:t>
      </w:r>
    </w:p>
    <w:p w14:paraId="5C2291F5">
      <w:pPr>
        <w:spacing w:line="480" w:lineRule="exact"/>
        <w:ind w:left="102" w:right="113" w:firstLine="556" w:firstLineChars="200"/>
        <w:jc w:val="both"/>
        <w:rPr>
          <w:rFonts w:asciiTheme="minorEastAsia" w:hAnsiTheme="minorEastAsia" w:cstheme="minorEastAsia"/>
          <w:spacing w:val="-1"/>
          <w:sz w:val="28"/>
          <w:szCs w:val="28"/>
          <w:lang w:eastAsia="zh-CN"/>
        </w:rPr>
      </w:pPr>
      <w:r>
        <w:rPr>
          <w:rFonts w:hint="eastAsia" w:asciiTheme="minorEastAsia" w:hAnsiTheme="minorEastAsia" w:cstheme="minorEastAsia"/>
          <w:spacing w:val="-1"/>
          <w:sz w:val="28"/>
          <w:szCs w:val="28"/>
          <w:lang w:eastAsia="zh-CN"/>
        </w:rPr>
        <w:t>请在您认为符合的选项打“√”</w:t>
      </w:r>
    </w:p>
    <w:p w14:paraId="4CE54439">
      <w:pPr>
        <w:spacing w:line="480" w:lineRule="exact"/>
        <w:ind w:right="113" w:firstLine="568" w:firstLineChars="200"/>
        <w:jc w:val="both"/>
        <w:rPr>
          <w:rFonts w:hint="eastAsia" w:asciiTheme="minorEastAsia" w:hAnsiTheme="minorEastAsia" w:cstheme="minorEastAsia"/>
          <w:spacing w:val="2"/>
          <w:sz w:val="28"/>
          <w:szCs w:val="28"/>
          <w:lang w:eastAsia="zh-CN"/>
        </w:rPr>
      </w:pPr>
    </w:p>
    <w:p w14:paraId="43DA1295">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1、</w:t>
      </w:r>
      <w:r>
        <w:rPr>
          <w:rFonts w:hint="eastAsia" w:asciiTheme="minorEastAsia" w:hAnsiTheme="minorEastAsia" w:cstheme="minorEastAsia"/>
          <w:spacing w:val="2"/>
          <w:sz w:val="28"/>
          <w:szCs w:val="28"/>
          <w:lang w:val="en-US" w:eastAsia="zh-CN"/>
        </w:rPr>
        <w:t>徐水区教育和体育局购置的学生课桌椅</w:t>
      </w:r>
      <w:r>
        <w:rPr>
          <w:rFonts w:hint="eastAsia" w:asciiTheme="minorEastAsia" w:hAnsiTheme="minorEastAsia" w:cstheme="minorEastAsia"/>
          <w:spacing w:val="2"/>
          <w:sz w:val="28"/>
          <w:szCs w:val="28"/>
          <w:lang w:eastAsia="zh-CN"/>
        </w:rPr>
        <w:t>是否</w:t>
      </w:r>
      <w:r>
        <w:rPr>
          <w:rFonts w:hint="eastAsia" w:asciiTheme="minorEastAsia" w:hAnsiTheme="minorEastAsia" w:cstheme="minorEastAsia"/>
          <w:spacing w:val="2"/>
          <w:sz w:val="28"/>
          <w:szCs w:val="28"/>
          <w:lang w:val="en-US" w:eastAsia="zh-CN"/>
        </w:rPr>
        <w:t>有异味</w:t>
      </w:r>
      <w:r>
        <w:rPr>
          <w:rFonts w:hint="eastAsia" w:asciiTheme="minorEastAsia" w:hAnsiTheme="minorEastAsia" w:cstheme="minorEastAsia"/>
          <w:spacing w:val="2"/>
          <w:sz w:val="28"/>
          <w:szCs w:val="28"/>
          <w:lang w:eastAsia="zh-CN"/>
        </w:rPr>
        <w:t>：</w:t>
      </w:r>
    </w:p>
    <w:p w14:paraId="3AC33688">
      <w:pPr>
        <w:spacing w:line="480" w:lineRule="exact"/>
        <w:ind w:right="113" w:firstLine="568" w:firstLineChars="200"/>
        <w:jc w:val="both"/>
        <w:rPr>
          <w:rFonts w:hint="eastAsia"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①</w:t>
      </w:r>
      <w:r>
        <w:rPr>
          <w:rFonts w:hint="eastAsia" w:asciiTheme="minorEastAsia" w:hAnsiTheme="minorEastAsia" w:cstheme="minorEastAsia"/>
          <w:spacing w:val="2"/>
          <w:sz w:val="28"/>
          <w:szCs w:val="28"/>
          <w:lang w:val="en-US" w:eastAsia="zh-CN"/>
        </w:rPr>
        <w:t>完全没有异味</w:t>
      </w:r>
      <w:r>
        <w:rPr>
          <w:rFonts w:hint="eastAsia" w:asciiTheme="minorEastAsia" w:hAnsiTheme="minorEastAsia" w:cstheme="minorEastAsia"/>
          <w:spacing w:val="2"/>
          <w:sz w:val="28"/>
          <w:szCs w:val="28"/>
          <w:lang w:eastAsia="zh-CN"/>
        </w:rPr>
        <w:t xml:space="preserve">         ② </w:t>
      </w:r>
      <w:r>
        <w:rPr>
          <w:rFonts w:hint="eastAsia" w:asciiTheme="minorEastAsia" w:hAnsiTheme="minorEastAsia" w:cstheme="minorEastAsia"/>
          <w:spacing w:val="2"/>
          <w:sz w:val="28"/>
          <w:szCs w:val="28"/>
          <w:lang w:val="en-US" w:eastAsia="zh-CN"/>
        </w:rPr>
        <w:t>一般</w:t>
      </w:r>
      <w:r>
        <w:rPr>
          <w:rFonts w:hint="eastAsia" w:asciiTheme="minorEastAsia" w:hAnsiTheme="minorEastAsia" w:cstheme="minorEastAsia"/>
          <w:spacing w:val="2"/>
          <w:sz w:val="28"/>
          <w:szCs w:val="28"/>
          <w:lang w:eastAsia="zh-CN"/>
        </w:rPr>
        <w:t xml:space="preserve">       ③</w:t>
      </w:r>
      <w:r>
        <w:rPr>
          <w:rFonts w:hint="eastAsia" w:asciiTheme="minorEastAsia" w:hAnsiTheme="minorEastAsia" w:cstheme="minorEastAsia"/>
          <w:spacing w:val="2"/>
          <w:sz w:val="28"/>
          <w:szCs w:val="28"/>
          <w:lang w:val="en-US" w:eastAsia="zh-CN"/>
        </w:rPr>
        <w:t>有非常大的异味</w:t>
      </w:r>
      <w:r>
        <w:rPr>
          <w:rFonts w:hint="eastAsia" w:asciiTheme="minorEastAsia" w:hAnsiTheme="minorEastAsia" w:cstheme="minorEastAsia"/>
          <w:spacing w:val="2"/>
          <w:sz w:val="28"/>
          <w:szCs w:val="28"/>
          <w:lang w:eastAsia="zh-CN"/>
        </w:rPr>
        <w:t xml:space="preserve">  </w:t>
      </w:r>
    </w:p>
    <w:p w14:paraId="5FAA87C5">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2、您对徐水区</w:t>
      </w:r>
      <w:r>
        <w:rPr>
          <w:rFonts w:hint="eastAsia" w:asciiTheme="minorEastAsia" w:hAnsiTheme="minorEastAsia" w:cstheme="minorEastAsia"/>
          <w:spacing w:val="2"/>
          <w:sz w:val="28"/>
          <w:szCs w:val="28"/>
          <w:lang w:val="en-US" w:eastAsia="zh-CN"/>
        </w:rPr>
        <w:t>教育和体育局购置的学生课桌椅</w:t>
      </w:r>
      <w:r>
        <w:rPr>
          <w:rFonts w:hint="eastAsia" w:asciiTheme="minorEastAsia" w:hAnsiTheme="minorEastAsia" w:cstheme="minorEastAsia"/>
          <w:spacing w:val="2"/>
          <w:sz w:val="28"/>
          <w:szCs w:val="28"/>
          <w:lang w:eastAsia="zh-CN"/>
        </w:rPr>
        <w:t xml:space="preserve">是否满意：     </w:t>
      </w:r>
    </w:p>
    <w:p w14:paraId="2F3C5B61">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 xml:space="preserve">①满意         ② 一般       ③不满意       </w:t>
      </w:r>
    </w:p>
    <w:p w14:paraId="4C7AA932">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3、您</w:t>
      </w:r>
      <w:r>
        <w:rPr>
          <w:rFonts w:hint="eastAsia" w:asciiTheme="minorEastAsia" w:hAnsiTheme="minorEastAsia" w:cstheme="minorEastAsia"/>
          <w:spacing w:val="2"/>
          <w:sz w:val="28"/>
          <w:szCs w:val="28"/>
          <w:lang w:val="en-US" w:eastAsia="zh-CN"/>
        </w:rPr>
        <w:t>认为徐水区教育和体育局实施的该项目是否能够满足学生们的当下学习需求</w:t>
      </w:r>
      <w:r>
        <w:rPr>
          <w:rFonts w:hint="eastAsia" w:asciiTheme="minorEastAsia" w:hAnsiTheme="minorEastAsia" w:cstheme="minorEastAsia"/>
          <w:spacing w:val="2"/>
          <w:sz w:val="28"/>
          <w:szCs w:val="28"/>
          <w:lang w:eastAsia="zh-CN"/>
        </w:rPr>
        <w:t>：</w:t>
      </w:r>
    </w:p>
    <w:p w14:paraId="6FF44ED3">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①</w:t>
      </w:r>
      <w:r>
        <w:rPr>
          <w:rFonts w:hint="eastAsia" w:asciiTheme="minorEastAsia" w:hAnsiTheme="minorEastAsia" w:cstheme="minorEastAsia"/>
          <w:spacing w:val="2"/>
          <w:sz w:val="28"/>
          <w:szCs w:val="28"/>
          <w:lang w:val="en-US" w:eastAsia="zh-CN"/>
        </w:rPr>
        <w:t>能</w:t>
      </w:r>
      <w:r>
        <w:rPr>
          <w:rFonts w:hint="eastAsia" w:asciiTheme="minorEastAsia" w:hAnsiTheme="minorEastAsia" w:cstheme="minorEastAsia"/>
          <w:spacing w:val="2"/>
          <w:sz w:val="28"/>
          <w:szCs w:val="28"/>
          <w:lang w:eastAsia="zh-CN"/>
        </w:rPr>
        <w:t xml:space="preserve">         ② </w:t>
      </w:r>
      <w:r>
        <w:rPr>
          <w:rFonts w:hint="eastAsia" w:asciiTheme="minorEastAsia" w:hAnsiTheme="minorEastAsia" w:cstheme="minorEastAsia"/>
          <w:spacing w:val="2"/>
          <w:sz w:val="28"/>
          <w:szCs w:val="28"/>
          <w:lang w:val="en-US" w:eastAsia="zh-CN"/>
        </w:rPr>
        <w:t xml:space="preserve">一般         </w:t>
      </w:r>
      <w:r>
        <w:rPr>
          <w:rFonts w:hint="eastAsia" w:asciiTheme="minorEastAsia" w:hAnsiTheme="minorEastAsia" w:cstheme="minorEastAsia"/>
          <w:spacing w:val="2"/>
          <w:sz w:val="28"/>
          <w:szCs w:val="28"/>
          <w:lang w:eastAsia="zh-CN"/>
        </w:rPr>
        <w:t>③</w:t>
      </w:r>
      <w:r>
        <w:rPr>
          <w:rFonts w:hint="eastAsia" w:asciiTheme="minorEastAsia" w:hAnsiTheme="minorEastAsia" w:cstheme="minorEastAsia"/>
          <w:spacing w:val="2"/>
          <w:sz w:val="28"/>
          <w:szCs w:val="28"/>
          <w:lang w:val="en-US" w:eastAsia="zh-CN"/>
        </w:rPr>
        <w:t>不能</w:t>
      </w:r>
      <w:r>
        <w:rPr>
          <w:rFonts w:hint="eastAsia" w:asciiTheme="minorEastAsia" w:hAnsiTheme="minorEastAsia" w:cstheme="minorEastAsia"/>
          <w:spacing w:val="2"/>
          <w:sz w:val="28"/>
          <w:szCs w:val="28"/>
          <w:lang w:eastAsia="zh-CN"/>
        </w:rPr>
        <w:t xml:space="preserve"> </w:t>
      </w:r>
    </w:p>
    <w:p w14:paraId="725CF1D7">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4、您对</w:t>
      </w:r>
      <w:r>
        <w:rPr>
          <w:rFonts w:hint="eastAsia" w:asciiTheme="minorEastAsia" w:hAnsiTheme="minorEastAsia" w:cstheme="minorEastAsia"/>
          <w:spacing w:val="2"/>
          <w:sz w:val="28"/>
          <w:szCs w:val="28"/>
          <w:lang w:val="en-US" w:eastAsia="zh-CN"/>
        </w:rPr>
        <w:t>教育和体育局购置的学生课桌椅项目改善学校办学条件、解决学生课余时间的安全隐患结果是否满意</w:t>
      </w:r>
      <w:r>
        <w:rPr>
          <w:rFonts w:hint="eastAsia" w:asciiTheme="minorEastAsia" w:hAnsiTheme="minorEastAsia" w:cstheme="minorEastAsia"/>
          <w:spacing w:val="2"/>
          <w:sz w:val="28"/>
          <w:szCs w:val="28"/>
          <w:lang w:eastAsia="zh-CN"/>
        </w:rPr>
        <w:t>：</w:t>
      </w:r>
    </w:p>
    <w:p w14:paraId="4BF7C87A">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 xml:space="preserve">①满意         ② 一般       ③不满意  </w:t>
      </w:r>
    </w:p>
    <w:p w14:paraId="2C5731AF">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5、您对</w:t>
      </w:r>
      <w:r>
        <w:rPr>
          <w:rFonts w:hint="eastAsia" w:asciiTheme="minorEastAsia" w:hAnsiTheme="minorEastAsia" w:cstheme="minorEastAsia"/>
          <w:spacing w:val="2"/>
          <w:sz w:val="28"/>
          <w:szCs w:val="28"/>
          <w:lang w:val="en-US" w:eastAsia="zh-CN"/>
        </w:rPr>
        <w:t>徐水区教育和体育局改善学校硬件水平、优化学校教育资源方面</w:t>
      </w:r>
      <w:r>
        <w:rPr>
          <w:rFonts w:hint="eastAsia" w:asciiTheme="minorEastAsia" w:hAnsiTheme="minorEastAsia" w:cstheme="minorEastAsia"/>
          <w:spacing w:val="2"/>
          <w:sz w:val="28"/>
          <w:szCs w:val="28"/>
          <w:lang w:eastAsia="zh-CN"/>
        </w:rPr>
        <w:t>还有哪些意见和建议：</w:t>
      </w:r>
    </w:p>
    <w:p w14:paraId="2E4934AE">
      <w:pPr>
        <w:spacing w:line="480" w:lineRule="exact"/>
        <w:ind w:left="102" w:right="113" w:firstLine="556" w:firstLineChars="200"/>
        <w:jc w:val="both"/>
        <w:rPr>
          <w:rFonts w:asciiTheme="minorEastAsia" w:hAnsiTheme="minorEastAsia" w:cstheme="minorEastAsia"/>
          <w:spacing w:val="-1"/>
          <w:sz w:val="28"/>
          <w:szCs w:val="28"/>
          <w:lang w:eastAsia="zh-CN"/>
        </w:rPr>
      </w:pPr>
    </w:p>
    <w:p w14:paraId="4C4E5829">
      <w:pPr>
        <w:spacing w:line="480" w:lineRule="exact"/>
        <w:ind w:left="102" w:right="113" w:firstLine="556" w:firstLineChars="200"/>
        <w:jc w:val="both"/>
        <w:rPr>
          <w:rFonts w:asciiTheme="minorEastAsia" w:hAnsiTheme="minorEastAsia" w:cstheme="minorEastAsia"/>
          <w:spacing w:val="-1"/>
          <w:sz w:val="28"/>
          <w:szCs w:val="28"/>
          <w:lang w:eastAsia="zh-CN"/>
        </w:rPr>
      </w:pPr>
    </w:p>
    <w:p w14:paraId="13BD4E90">
      <w:pPr>
        <w:spacing w:line="480" w:lineRule="exact"/>
        <w:ind w:right="113" w:firstLine="648" w:firstLineChars="200"/>
        <w:rPr>
          <w:rFonts w:ascii="仿宋_GB2312" w:hAnsi="宋体" w:eastAsia="仿宋_GB2312" w:cs="宋体"/>
          <w:spacing w:val="2"/>
          <w:sz w:val="32"/>
          <w:szCs w:val="32"/>
        </w:rPr>
      </w:pPr>
    </w:p>
    <w:p w14:paraId="5AC430B0">
      <w:pPr>
        <w:spacing w:line="580" w:lineRule="exact"/>
        <w:rPr>
          <w:rFonts w:eastAsia="仿宋_GB2312"/>
          <w:sz w:val="32"/>
          <w:szCs w:val="32"/>
        </w:rPr>
      </w:pP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D5A1C6-C941-4798-8480-B776FF5B6452}"/>
  </w:font>
  <w:font w:name="Arial">
    <w:panose1 w:val="020B0604020202020204"/>
    <w:charset w:val="01"/>
    <w:family w:val="swiss"/>
    <w:pitch w:val="default"/>
    <w:sig w:usb0="E0002EFF" w:usb1="C000785B" w:usb2="00000009" w:usb3="00000000" w:csb0="400001FF" w:csb1="FFFF0000"/>
    <w:embedRegular r:id="rId2" w:fontKey="{B2207853-7439-4CCB-BAA0-1A0181E98AF0}"/>
  </w:font>
  <w:font w:name="黑体">
    <w:panose1 w:val="02010609060101010101"/>
    <w:charset w:val="86"/>
    <w:family w:val="auto"/>
    <w:pitch w:val="default"/>
    <w:sig w:usb0="800002BF" w:usb1="38CF7CFA" w:usb2="00000016" w:usb3="00000000" w:csb0="00040001" w:csb1="00000000"/>
    <w:embedRegular r:id="rId3" w:fontKey="{9D85F38D-C045-4610-A5BC-1668919C9B6F}"/>
  </w:font>
  <w:font w:name="Courier New">
    <w:panose1 w:val="02070309020205020404"/>
    <w:charset w:val="01"/>
    <w:family w:val="modern"/>
    <w:pitch w:val="default"/>
    <w:sig w:usb0="E0002EFF" w:usb1="C0007843" w:usb2="00000009" w:usb3="00000000" w:csb0="400001FF" w:csb1="FFFF0000"/>
    <w:embedRegular r:id="rId4" w:fontKey="{16A0E6FE-46EB-4586-8D8F-F5A65921B92B}"/>
  </w:font>
  <w:font w:name="Symbol">
    <w:panose1 w:val="05050102010706020507"/>
    <w:charset w:val="02"/>
    <w:family w:val="roman"/>
    <w:pitch w:val="default"/>
    <w:sig w:usb0="00000000" w:usb1="00000000" w:usb2="00000000" w:usb3="00000000" w:csb0="80000000" w:csb1="00000000"/>
    <w:embedRegular r:id="rId5" w:fontKey="{69206E20-FBA2-46F2-B1B8-C89D1788591D}"/>
  </w:font>
  <w:font w:name="Calibri">
    <w:panose1 w:val="020F0502020204030204"/>
    <w:charset w:val="00"/>
    <w:family w:val="swiss"/>
    <w:pitch w:val="default"/>
    <w:sig w:usb0="E4002EFF" w:usb1="C000247B" w:usb2="00000009" w:usb3="00000000" w:csb0="200001FF" w:csb1="00000000"/>
    <w:embedRegular r:id="rId6" w:fontKey="{EB13013E-344F-4344-A654-D00306B3BD44}"/>
  </w:font>
  <w:font w:name="等线 Light">
    <w:panose1 w:val="02010600030101010101"/>
    <w:charset w:val="86"/>
    <w:family w:val="auto"/>
    <w:pitch w:val="default"/>
    <w:sig w:usb0="A00002BF" w:usb1="38CF7CFA" w:usb2="00000016" w:usb3="00000000" w:csb0="0004000F" w:csb1="00000000"/>
    <w:embedRegular r:id="rId7" w:fontKey="{A160132B-AC86-4ABC-BCB2-205FE1964FA8}"/>
  </w:font>
  <w:font w:name="??_GB2312">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8" w:fontKey="{CBE8B2FC-8856-4809-BA5C-5D0AFE05B666}"/>
  </w:font>
  <w:font w:name="仿宋_GB2312">
    <w:panose1 w:val="02010609030101010101"/>
    <w:charset w:val="86"/>
    <w:family w:val="modern"/>
    <w:pitch w:val="default"/>
    <w:sig w:usb0="00000001" w:usb1="080E0000" w:usb2="00000000" w:usb3="00000000" w:csb0="00040000" w:csb1="00000000"/>
    <w:embedRegular r:id="rId9" w:fontKey="{D9D620F3-3291-4878-8B9A-09A32A9AA896}"/>
  </w:font>
  <w:font w:name="Cambria">
    <w:panose1 w:val="02040503050406030204"/>
    <w:charset w:val="00"/>
    <w:family w:val="roman"/>
    <w:pitch w:val="default"/>
    <w:sig w:usb0="E00006FF" w:usb1="420024FF" w:usb2="02000000" w:usb3="00000000" w:csb0="2000019F" w:csb1="00000000"/>
    <w:embedRegular r:id="rId10" w:fontKey="{0E8D213F-B29E-44DB-A207-127E85103CB2}"/>
  </w:font>
  <w:font w:name="仿宋">
    <w:panose1 w:val="02010609060101010101"/>
    <w:charset w:val="86"/>
    <w:family w:val="modern"/>
    <w:pitch w:val="default"/>
    <w:sig w:usb0="800002BF" w:usb1="38CF7CFA" w:usb2="00000016" w:usb3="00000000" w:csb0="00040001" w:csb1="00000000"/>
    <w:embedRegular r:id="rId11" w:fontKey="{857FBD7D-8A03-42BA-BD6C-CE80ABACA412}"/>
  </w:font>
  <w:font w:name="方正小标宋_GBK">
    <w:panose1 w:val="03000509000000000000"/>
    <w:charset w:val="86"/>
    <w:family w:val="script"/>
    <w:pitch w:val="default"/>
    <w:sig w:usb0="00000001" w:usb1="080E0000" w:usb2="00000000" w:usb3="00000000" w:csb0="00040000" w:csb1="00000000"/>
    <w:embedRegular r:id="rId12" w:fontKey="{2953115C-586D-44B3-B0CC-7574F641A08E}"/>
  </w:font>
  <w:font w:name="楷体">
    <w:panose1 w:val="02010609060101010101"/>
    <w:charset w:val="86"/>
    <w:family w:val="modern"/>
    <w:pitch w:val="default"/>
    <w:sig w:usb0="800002BF" w:usb1="38CF7CFA" w:usb2="00000016" w:usb3="00000000" w:csb0="00040001" w:csb1="00000000"/>
    <w:embedRegular r:id="rId13" w:fontKey="{10CF1198-516A-420D-8B21-00C7C3FDE90B}"/>
  </w:font>
  <w:font w:name="楷体_GB2312">
    <w:panose1 w:val="02010609030101010101"/>
    <w:charset w:val="86"/>
    <w:family w:val="modern"/>
    <w:pitch w:val="default"/>
    <w:sig w:usb0="00000001" w:usb1="080E0000" w:usb2="00000000" w:usb3="00000000" w:csb0="00040000" w:csb1="00000000"/>
    <w:embedRegular r:id="rId14" w:fontKey="{2C87512D-AE16-4D71-ABD0-CB780124002A}"/>
  </w:font>
  <w:font w:name="新宋体">
    <w:panose1 w:val="02010609030101010101"/>
    <w:charset w:val="86"/>
    <w:family w:val="modern"/>
    <w:pitch w:val="default"/>
    <w:sig w:usb0="00000283" w:usb1="288F0000" w:usb2="00000006" w:usb3="00000000" w:csb0="00040001" w:csb1="00000000"/>
    <w:embedRegular r:id="rId15" w:fontKey="{71602C1B-11A7-4833-9A13-BC335C625200}"/>
  </w:font>
  <w:font w:name="幼圆">
    <w:panose1 w:val="02010509060101010101"/>
    <w:charset w:val="86"/>
    <w:family w:val="modern"/>
    <w:pitch w:val="default"/>
    <w:sig w:usb0="00000001" w:usb1="080E0000" w:usb2="00000000" w:usb3="00000000" w:csb0="00040000" w:csb1="00000000"/>
    <w:embedRegular r:id="rId16" w:fontKey="{E9A24552-63AE-4564-89DB-2BF7591B577A}"/>
  </w:font>
  <w:font w:name="WPSEMBED2">
    <w:panose1 w:val="03000509000000000000"/>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005B8">
    <w:pPr>
      <w:pStyle w:val="11"/>
      <w:jc w:val="center"/>
    </w:pPr>
  </w:p>
  <w:p w14:paraId="784A69D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sdtPr>
    <w:sdtContent>
      <w:p w14:paraId="3459DC67">
        <w:pPr>
          <w:pStyle w:val="11"/>
          <w:jc w:val="center"/>
        </w:pPr>
        <w:r>
          <w:fldChar w:fldCharType="begin"/>
        </w:r>
        <w:r>
          <w:instrText xml:space="preserve">PAGE   \* MERGEFORMAT</w:instrText>
        </w:r>
        <w:r>
          <w:fldChar w:fldCharType="separate"/>
        </w:r>
        <w:r>
          <w:rPr>
            <w:lang w:val="zh-CN"/>
          </w:rPr>
          <w:t>2</w:t>
        </w:r>
        <w:r>
          <w:fldChar w:fldCharType="end"/>
        </w:r>
      </w:p>
    </w:sdtContent>
  </w:sdt>
  <w:p w14:paraId="21AA3A1B">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1NGYwMjFmMTU3ZDMzMjVjMDUyNTI5ZDY3MTU3MjUifQ=="/>
  </w:docVars>
  <w:rsids>
    <w:rsidRoot w:val="00A47530"/>
    <w:rsid w:val="00005922"/>
    <w:rsid w:val="0005099A"/>
    <w:rsid w:val="00050D26"/>
    <w:rsid w:val="00055A49"/>
    <w:rsid w:val="00060EEC"/>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55DF"/>
    <w:rsid w:val="00117B67"/>
    <w:rsid w:val="00120CEC"/>
    <w:rsid w:val="00123CEA"/>
    <w:rsid w:val="0012568D"/>
    <w:rsid w:val="0014546E"/>
    <w:rsid w:val="001478B3"/>
    <w:rsid w:val="00172B54"/>
    <w:rsid w:val="0018505A"/>
    <w:rsid w:val="001972CC"/>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5A0E"/>
    <w:rsid w:val="002071E7"/>
    <w:rsid w:val="0021169D"/>
    <w:rsid w:val="002223B7"/>
    <w:rsid w:val="0022241B"/>
    <w:rsid w:val="00224AC5"/>
    <w:rsid w:val="00225F07"/>
    <w:rsid w:val="00225F2A"/>
    <w:rsid w:val="00226B90"/>
    <w:rsid w:val="00226DB5"/>
    <w:rsid w:val="00234093"/>
    <w:rsid w:val="002343ED"/>
    <w:rsid w:val="0023467C"/>
    <w:rsid w:val="00237249"/>
    <w:rsid w:val="00245463"/>
    <w:rsid w:val="0024621F"/>
    <w:rsid w:val="002516DE"/>
    <w:rsid w:val="00253DC1"/>
    <w:rsid w:val="00257F97"/>
    <w:rsid w:val="00261D7D"/>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2EA"/>
    <w:rsid w:val="003A4636"/>
    <w:rsid w:val="003A6993"/>
    <w:rsid w:val="003C458B"/>
    <w:rsid w:val="003C4A5B"/>
    <w:rsid w:val="003C55D9"/>
    <w:rsid w:val="003E444D"/>
    <w:rsid w:val="003F0456"/>
    <w:rsid w:val="003F5A13"/>
    <w:rsid w:val="003F6B79"/>
    <w:rsid w:val="00406158"/>
    <w:rsid w:val="004107F2"/>
    <w:rsid w:val="00414633"/>
    <w:rsid w:val="00421DE3"/>
    <w:rsid w:val="00422E45"/>
    <w:rsid w:val="00441B17"/>
    <w:rsid w:val="0045211C"/>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5A23"/>
    <w:rsid w:val="004F7608"/>
    <w:rsid w:val="00510992"/>
    <w:rsid w:val="00546457"/>
    <w:rsid w:val="00546A7E"/>
    <w:rsid w:val="005528D0"/>
    <w:rsid w:val="005537A0"/>
    <w:rsid w:val="00554D44"/>
    <w:rsid w:val="00561770"/>
    <w:rsid w:val="00570F5F"/>
    <w:rsid w:val="005714B9"/>
    <w:rsid w:val="00582C68"/>
    <w:rsid w:val="0059059D"/>
    <w:rsid w:val="00590803"/>
    <w:rsid w:val="00591021"/>
    <w:rsid w:val="00594670"/>
    <w:rsid w:val="005A6361"/>
    <w:rsid w:val="005B10F8"/>
    <w:rsid w:val="005B3DC7"/>
    <w:rsid w:val="005B538B"/>
    <w:rsid w:val="005C2A90"/>
    <w:rsid w:val="005C61E5"/>
    <w:rsid w:val="005E2DD3"/>
    <w:rsid w:val="005E53CA"/>
    <w:rsid w:val="005F07DE"/>
    <w:rsid w:val="005F1B5A"/>
    <w:rsid w:val="005F4AD4"/>
    <w:rsid w:val="005F6AC7"/>
    <w:rsid w:val="006135D6"/>
    <w:rsid w:val="00617501"/>
    <w:rsid w:val="006227B8"/>
    <w:rsid w:val="00624772"/>
    <w:rsid w:val="0063078C"/>
    <w:rsid w:val="00634C6B"/>
    <w:rsid w:val="00636145"/>
    <w:rsid w:val="00642AF3"/>
    <w:rsid w:val="0065029F"/>
    <w:rsid w:val="00650550"/>
    <w:rsid w:val="00650C03"/>
    <w:rsid w:val="00661DE2"/>
    <w:rsid w:val="0066614C"/>
    <w:rsid w:val="00666374"/>
    <w:rsid w:val="0067562A"/>
    <w:rsid w:val="006810EF"/>
    <w:rsid w:val="00681D43"/>
    <w:rsid w:val="00687DD6"/>
    <w:rsid w:val="006945DF"/>
    <w:rsid w:val="006B0E89"/>
    <w:rsid w:val="006D699B"/>
    <w:rsid w:val="006E336E"/>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654C0"/>
    <w:rsid w:val="00765DD6"/>
    <w:rsid w:val="0077254C"/>
    <w:rsid w:val="00776FD2"/>
    <w:rsid w:val="00780457"/>
    <w:rsid w:val="00783E7D"/>
    <w:rsid w:val="00790682"/>
    <w:rsid w:val="0079274B"/>
    <w:rsid w:val="007979F0"/>
    <w:rsid w:val="007A2EA6"/>
    <w:rsid w:val="007A3653"/>
    <w:rsid w:val="007A3819"/>
    <w:rsid w:val="007B1E95"/>
    <w:rsid w:val="007C0904"/>
    <w:rsid w:val="007C0B1D"/>
    <w:rsid w:val="007C5C3D"/>
    <w:rsid w:val="007D02E9"/>
    <w:rsid w:val="007D1E78"/>
    <w:rsid w:val="007D3CDF"/>
    <w:rsid w:val="007D6926"/>
    <w:rsid w:val="007E439A"/>
    <w:rsid w:val="007F1135"/>
    <w:rsid w:val="007F2D7F"/>
    <w:rsid w:val="007F4695"/>
    <w:rsid w:val="0080679D"/>
    <w:rsid w:val="00811BCE"/>
    <w:rsid w:val="00817376"/>
    <w:rsid w:val="00821CF6"/>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6CE6"/>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50552"/>
    <w:rsid w:val="00954A52"/>
    <w:rsid w:val="00961B7E"/>
    <w:rsid w:val="009650DC"/>
    <w:rsid w:val="009670D1"/>
    <w:rsid w:val="00976116"/>
    <w:rsid w:val="00983025"/>
    <w:rsid w:val="00983AB4"/>
    <w:rsid w:val="009853B0"/>
    <w:rsid w:val="0098568A"/>
    <w:rsid w:val="00993716"/>
    <w:rsid w:val="009942A8"/>
    <w:rsid w:val="009A3DD6"/>
    <w:rsid w:val="009B34A0"/>
    <w:rsid w:val="009B73D8"/>
    <w:rsid w:val="009C3694"/>
    <w:rsid w:val="009C49B3"/>
    <w:rsid w:val="009C7BA9"/>
    <w:rsid w:val="009E09E4"/>
    <w:rsid w:val="009E34CE"/>
    <w:rsid w:val="009E40C9"/>
    <w:rsid w:val="009E538C"/>
    <w:rsid w:val="009E5DBD"/>
    <w:rsid w:val="009F6D4A"/>
    <w:rsid w:val="00A054C1"/>
    <w:rsid w:val="00A06515"/>
    <w:rsid w:val="00A109DF"/>
    <w:rsid w:val="00A12374"/>
    <w:rsid w:val="00A17736"/>
    <w:rsid w:val="00A17E26"/>
    <w:rsid w:val="00A30BCC"/>
    <w:rsid w:val="00A32FF2"/>
    <w:rsid w:val="00A41C1B"/>
    <w:rsid w:val="00A47530"/>
    <w:rsid w:val="00A51D9F"/>
    <w:rsid w:val="00A5547A"/>
    <w:rsid w:val="00A56C97"/>
    <w:rsid w:val="00A64153"/>
    <w:rsid w:val="00A67E49"/>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BF4F1F"/>
    <w:rsid w:val="00C0118A"/>
    <w:rsid w:val="00C04E45"/>
    <w:rsid w:val="00C12E77"/>
    <w:rsid w:val="00C167C3"/>
    <w:rsid w:val="00C223F1"/>
    <w:rsid w:val="00C32AB0"/>
    <w:rsid w:val="00C3546C"/>
    <w:rsid w:val="00C355D1"/>
    <w:rsid w:val="00C40AE7"/>
    <w:rsid w:val="00C4269B"/>
    <w:rsid w:val="00C42987"/>
    <w:rsid w:val="00C4476E"/>
    <w:rsid w:val="00C4514F"/>
    <w:rsid w:val="00C5067A"/>
    <w:rsid w:val="00C56F5C"/>
    <w:rsid w:val="00C57129"/>
    <w:rsid w:val="00C57314"/>
    <w:rsid w:val="00C70402"/>
    <w:rsid w:val="00C720A1"/>
    <w:rsid w:val="00C76A35"/>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06028"/>
    <w:rsid w:val="00D202A7"/>
    <w:rsid w:val="00D226E5"/>
    <w:rsid w:val="00D270A2"/>
    <w:rsid w:val="00D4067C"/>
    <w:rsid w:val="00D41FDD"/>
    <w:rsid w:val="00D439B4"/>
    <w:rsid w:val="00D53296"/>
    <w:rsid w:val="00D639DE"/>
    <w:rsid w:val="00D76B7D"/>
    <w:rsid w:val="00DA62E0"/>
    <w:rsid w:val="00DB2B20"/>
    <w:rsid w:val="00DB4A96"/>
    <w:rsid w:val="00DB7785"/>
    <w:rsid w:val="00DC4347"/>
    <w:rsid w:val="00DD633C"/>
    <w:rsid w:val="00DE54E0"/>
    <w:rsid w:val="00DF5418"/>
    <w:rsid w:val="00DF57C1"/>
    <w:rsid w:val="00E02B37"/>
    <w:rsid w:val="00E25E4E"/>
    <w:rsid w:val="00E26CDF"/>
    <w:rsid w:val="00E3158B"/>
    <w:rsid w:val="00E31E9F"/>
    <w:rsid w:val="00E353EA"/>
    <w:rsid w:val="00E36AA4"/>
    <w:rsid w:val="00E40FB1"/>
    <w:rsid w:val="00E413DC"/>
    <w:rsid w:val="00E42260"/>
    <w:rsid w:val="00E42DB3"/>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1368"/>
    <w:rsid w:val="00EA052C"/>
    <w:rsid w:val="00EA5514"/>
    <w:rsid w:val="00EA7878"/>
    <w:rsid w:val="00EB1960"/>
    <w:rsid w:val="00EB3FC8"/>
    <w:rsid w:val="00EC769D"/>
    <w:rsid w:val="00EE5E54"/>
    <w:rsid w:val="00EF0CDD"/>
    <w:rsid w:val="00EF689C"/>
    <w:rsid w:val="00EF78B8"/>
    <w:rsid w:val="00F03817"/>
    <w:rsid w:val="00F0451E"/>
    <w:rsid w:val="00F1054F"/>
    <w:rsid w:val="00F13554"/>
    <w:rsid w:val="00F25064"/>
    <w:rsid w:val="00F36C0C"/>
    <w:rsid w:val="00F404D4"/>
    <w:rsid w:val="00F4430C"/>
    <w:rsid w:val="00F45A09"/>
    <w:rsid w:val="00F5563D"/>
    <w:rsid w:val="00F55D7F"/>
    <w:rsid w:val="00F674B9"/>
    <w:rsid w:val="00F70CA5"/>
    <w:rsid w:val="00F76D7E"/>
    <w:rsid w:val="00F77FB8"/>
    <w:rsid w:val="00F8711E"/>
    <w:rsid w:val="00FA1F31"/>
    <w:rsid w:val="00FA5E48"/>
    <w:rsid w:val="00FA65D9"/>
    <w:rsid w:val="00FB3F9E"/>
    <w:rsid w:val="00FD3AE7"/>
    <w:rsid w:val="00FE003D"/>
    <w:rsid w:val="00FE6BDE"/>
    <w:rsid w:val="00FF3DEF"/>
    <w:rsid w:val="00FF7970"/>
    <w:rsid w:val="01B95145"/>
    <w:rsid w:val="028D2D85"/>
    <w:rsid w:val="03D13C1F"/>
    <w:rsid w:val="055B519E"/>
    <w:rsid w:val="0667694F"/>
    <w:rsid w:val="06B57C8E"/>
    <w:rsid w:val="0B836C00"/>
    <w:rsid w:val="0BFA23C4"/>
    <w:rsid w:val="0C725585"/>
    <w:rsid w:val="0E294374"/>
    <w:rsid w:val="0E8A1768"/>
    <w:rsid w:val="0EE45637"/>
    <w:rsid w:val="0FD77244"/>
    <w:rsid w:val="104E7C49"/>
    <w:rsid w:val="12D4411A"/>
    <w:rsid w:val="130E1B0A"/>
    <w:rsid w:val="140456C1"/>
    <w:rsid w:val="1491543F"/>
    <w:rsid w:val="14D02CCD"/>
    <w:rsid w:val="156E7C14"/>
    <w:rsid w:val="161573D8"/>
    <w:rsid w:val="16266269"/>
    <w:rsid w:val="166213F2"/>
    <w:rsid w:val="16E57AAE"/>
    <w:rsid w:val="18083971"/>
    <w:rsid w:val="190E4769"/>
    <w:rsid w:val="191B0EE1"/>
    <w:rsid w:val="198E59A0"/>
    <w:rsid w:val="1A140049"/>
    <w:rsid w:val="1BD23C9F"/>
    <w:rsid w:val="1CC6131B"/>
    <w:rsid w:val="1FC17F6B"/>
    <w:rsid w:val="201C615C"/>
    <w:rsid w:val="212529B0"/>
    <w:rsid w:val="22D10647"/>
    <w:rsid w:val="23894183"/>
    <w:rsid w:val="23BA4F98"/>
    <w:rsid w:val="23D94F43"/>
    <w:rsid w:val="24660D84"/>
    <w:rsid w:val="261D215F"/>
    <w:rsid w:val="26363969"/>
    <w:rsid w:val="265D1008"/>
    <w:rsid w:val="26A81059"/>
    <w:rsid w:val="27E51190"/>
    <w:rsid w:val="283F26BC"/>
    <w:rsid w:val="28F506B3"/>
    <w:rsid w:val="298918B2"/>
    <w:rsid w:val="2C660348"/>
    <w:rsid w:val="2E3825C0"/>
    <w:rsid w:val="30364ED5"/>
    <w:rsid w:val="317F31DC"/>
    <w:rsid w:val="31C109BB"/>
    <w:rsid w:val="31F0467F"/>
    <w:rsid w:val="34262836"/>
    <w:rsid w:val="350D0D67"/>
    <w:rsid w:val="36B53DEF"/>
    <w:rsid w:val="36BA12C9"/>
    <w:rsid w:val="37125A1E"/>
    <w:rsid w:val="38151BEF"/>
    <w:rsid w:val="38D07670"/>
    <w:rsid w:val="39234591"/>
    <w:rsid w:val="3A356FE5"/>
    <w:rsid w:val="3A8D3E37"/>
    <w:rsid w:val="3B0A709B"/>
    <w:rsid w:val="3B8B5737"/>
    <w:rsid w:val="3BBB6E26"/>
    <w:rsid w:val="3DE10083"/>
    <w:rsid w:val="3E255DEE"/>
    <w:rsid w:val="3E7E7A5A"/>
    <w:rsid w:val="3EF24EC7"/>
    <w:rsid w:val="40E349BC"/>
    <w:rsid w:val="41145BD9"/>
    <w:rsid w:val="41B7186C"/>
    <w:rsid w:val="427A7117"/>
    <w:rsid w:val="449E1677"/>
    <w:rsid w:val="45632B76"/>
    <w:rsid w:val="463C6706"/>
    <w:rsid w:val="46C52970"/>
    <w:rsid w:val="47F44868"/>
    <w:rsid w:val="48605A86"/>
    <w:rsid w:val="48D673CD"/>
    <w:rsid w:val="48DF612C"/>
    <w:rsid w:val="499875AE"/>
    <w:rsid w:val="4A410120"/>
    <w:rsid w:val="4AFE4834"/>
    <w:rsid w:val="4B6E2208"/>
    <w:rsid w:val="4F9B65F3"/>
    <w:rsid w:val="50032CB0"/>
    <w:rsid w:val="52705D4F"/>
    <w:rsid w:val="54133360"/>
    <w:rsid w:val="55524EC9"/>
    <w:rsid w:val="59870C00"/>
    <w:rsid w:val="5AF6795B"/>
    <w:rsid w:val="5BAF07A8"/>
    <w:rsid w:val="5C4D133E"/>
    <w:rsid w:val="5E933209"/>
    <w:rsid w:val="5E990CEE"/>
    <w:rsid w:val="5F544981"/>
    <w:rsid w:val="6006663D"/>
    <w:rsid w:val="611747E5"/>
    <w:rsid w:val="61DA5E53"/>
    <w:rsid w:val="625C73EB"/>
    <w:rsid w:val="625F2D3B"/>
    <w:rsid w:val="62933261"/>
    <w:rsid w:val="667B60EF"/>
    <w:rsid w:val="66BE7240"/>
    <w:rsid w:val="6ABD448B"/>
    <w:rsid w:val="6B0E1A49"/>
    <w:rsid w:val="6B243968"/>
    <w:rsid w:val="6B477F55"/>
    <w:rsid w:val="6B8D19AD"/>
    <w:rsid w:val="6D0C3490"/>
    <w:rsid w:val="6D116327"/>
    <w:rsid w:val="6D6E3C73"/>
    <w:rsid w:val="70F920FC"/>
    <w:rsid w:val="73116555"/>
    <w:rsid w:val="73A95062"/>
    <w:rsid w:val="73B62373"/>
    <w:rsid w:val="73DF5373"/>
    <w:rsid w:val="74AB2903"/>
    <w:rsid w:val="75F21AEB"/>
    <w:rsid w:val="75F6337F"/>
    <w:rsid w:val="764A507B"/>
    <w:rsid w:val="7B121788"/>
    <w:rsid w:val="7B64508F"/>
    <w:rsid w:val="7CCE084E"/>
    <w:rsid w:val="7DCD6372"/>
    <w:rsid w:val="7E74073A"/>
    <w:rsid w:val="7E8F2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8"/>
    <w:qFormat/>
    <w:uiPriority w:val="0"/>
    <w:pPr>
      <w:spacing w:line="360" w:lineRule="auto"/>
      <w:ind w:firstLine="643" w:firstLineChars="200"/>
      <w:jc w:val="left"/>
      <w:outlineLvl w:val="0"/>
    </w:pPr>
    <w:rPr>
      <w:rFonts w:ascii="宋体" w:hAnsi="宋体" w:cs="宋体"/>
      <w:b/>
      <w:kern w:val="44"/>
      <w:sz w:val="32"/>
      <w:szCs w:val="32"/>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_GB2312" w:hAnsi="Calibri" w:eastAsia="Times New Roman" w:cs="Times New Roman"/>
      <w:sz w:val="24"/>
      <w:szCs w:val="22"/>
      <w:lang w:val="en-US" w:eastAsia="zh-CN" w:bidi="ar-SA"/>
    </w:r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annotation text"/>
    <w:basedOn w:val="1"/>
    <w:semiHidden/>
    <w:unhideWhenUsed/>
    <w:qFormat/>
    <w:uiPriority w:val="99"/>
    <w:pPr>
      <w:jc w:val="left"/>
    </w:pPr>
  </w:style>
  <w:style w:type="paragraph" w:styleId="7">
    <w:name w:val="toc 5"/>
    <w:basedOn w:val="1"/>
    <w:next w:val="1"/>
    <w:unhideWhenUsed/>
    <w:qFormat/>
    <w:uiPriority w:val="39"/>
    <w:pPr>
      <w:ind w:left="840"/>
      <w:jc w:val="left"/>
    </w:pPr>
    <w:rPr>
      <w:rFonts w:asciiTheme="minorHAnsi" w:eastAsiaTheme="minorHAnsi"/>
      <w:sz w:val="18"/>
      <w:szCs w:val="18"/>
    </w:rPr>
  </w:style>
  <w:style w:type="paragraph" w:styleId="8">
    <w:name w:val="toc 3"/>
    <w:basedOn w:val="1"/>
    <w:next w:val="1"/>
    <w:unhideWhenUsed/>
    <w:qFormat/>
    <w:uiPriority w:val="39"/>
    <w:pPr>
      <w:ind w:left="420"/>
      <w:jc w:val="left"/>
    </w:pPr>
    <w:rPr>
      <w:rFonts w:asciiTheme="minorHAnsi" w:eastAsiaTheme="minorHAnsi"/>
      <w:i/>
      <w:iCs/>
      <w:sz w:val="20"/>
      <w:szCs w:val="20"/>
    </w:rPr>
  </w:style>
  <w:style w:type="paragraph" w:styleId="9">
    <w:name w:val="Plain Text"/>
    <w:basedOn w:val="1"/>
    <w:link w:val="32"/>
    <w:qFormat/>
    <w:uiPriority w:val="0"/>
    <w:rPr>
      <w:rFonts w:ascii="宋体" w:hAnsi="Courier New" w:eastAsia="仿宋_GB2312" w:cs="Courier New"/>
      <w:sz w:val="30"/>
      <w:szCs w:val="21"/>
    </w:rPr>
  </w:style>
  <w:style w:type="paragraph" w:styleId="10">
    <w:name w:val="toc 8"/>
    <w:basedOn w:val="1"/>
    <w:next w:val="1"/>
    <w:unhideWhenUsed/>
    <w:qFormat/>
    <w:uiPriority w:val="39"/>
    <w:pPr>
      <w:ind w:left="1470"/>
      <w:jc w:val="left"/>
    </w:pPr>
    <w:rPr>
      <w:rFonts w:asciiTheme="minorHAnsi" w:eastAsiaTheme="minorHAnsi"/>
      <w:sz w:val="18"/>
      <w:szCs w:val="18"/>
    </w:rPr>
  </w:style>
  <w:style w:type="paragraph" w:styleId="11">
    <w:name w:val="footer"/>
    <w:basedOn w:val="1"/>
    <w:link w:val="2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unhideWhenUsed/>
    <w:qFormat/>
    <w:uiPriority w:val="39"/>
    <w:pPr>
      <w:ind w:left="630"/>
      <w:jc w:val="left"/>
    </w:pPr>
    <w:rPr>
      <w:rFonts w:asciiTheme="minorHAnsi" w:eastAsiaTheme="minorHAnsi"/>
      <w:sz w:val="18"/>
      <w:szCs w:val="18"/>
    </w:rPr>
  </w:style>
  <w:style w:type="paragraph" w:styleId="15">
    <w:name w:val="toc 6"/>
    <w:basedOn w:val="1"/>
    <w:next w:val="1"/>
    <w:unhideWhenUsed/>
    <w:qFormat/>
    <w:uiPriority w:val="39"/>
    <w:pPr>
      <w:ind w:left="1050"/>
      <w:jc w:val="left"/>
    </w:pPr>
    <w:rPr>
      <w:rFonts w:asciiTheme="minorHAnsi" w:eastAsiaTheme="minorHAnsi"/>
      <w:sz w:val="18"/>
      <w:szCs w:val="18"/>
    </w:rPr>
  </w:style>
  <w:style w:type="paragraph" w:styleId="16">
    <w:name w:val="toc 2"/>
    <w:basedOn w:val="1"/>
    <w:next w:val="1"/>
    <w:unhideWhenUsed/>
    <w:qFormat/>
    <w:uiPriority w:val="39"/>
    <w:pPr>
      <w:ind w:left="210"/>
      <w:jc w:val="left"/>
    </w:pPr>
    <w:rPr>
      <w:rFonts w:asciiTheme="minorHAnsi" w:eastAsiaTheme="minorHAnsi"/>
      <w:smallCaps/>
      <w:sz w:val="20"/>
      <w:szCs w:val="20"/>
    </w:rPr>
  </w:style>
  <w:style w:type="paragraph" w:styleId="17">
    <w:name w:val="toc 9"/>
    <w:basedOn w:val="1"/>
    <w:next w:val="1"/>
    <w:unhideWhenUsed/>
    <w:qFormat/>
    <w:uiPriority w:val="39"/>
    <w:pPr>
      <w:ind w:left="1680"/>
      <w:jc w:val="left"/>
    </w:pPr>
    <w:rPr>
      <w:rFonts w:asciiTheme="minorHAnsi" w:eastAsiaTheme="minorHAnsi"/>
      <w:sz w:val="18"/>
      <w:szCs w:val="18"/>
    </w:rPr>
  </w:style>
  <w:style w:type="paragraph" w:styleId="18">
    <w:name w:val="Title"/>
    <w:basedOn w:val="1"/>
    <w:next w:val="1"/>
    <w:link w:val="30"/>
    <w:qFormat/>
    <w:uiPriority w:val="0"/>
    <w:pPr>
      <w:spacing w:before="240" w:after="60"/>
      <w:jc w:val="center"/>
      <w:outlineLvl w:val="0"/>
    </w:pPr>
    <w:rPr>
      <w:rFonts w:ascii="Cambria" w:hAnsi="Cambria"/>
      <w:b/>
      <w:bCs/>
      <w:kern w:val="0"/>
      <w:sz w:val="32"/>
      <w:szCs w:val="32"/>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2"/>
    <w:qFormat/>
    <w:uiPriority w:val="99"/>
    <w:rPr>
      <w:sz w:val="18"/>
      <w:szCs w:val="18"/>
    </w:rPr>
  </w:style>
  <w:style w:type="character" w:customStyle="1" w:styleId="24">
    <w:name w:val="页脚 字符"/>
    <w:basedOn w:val="20"/>
    <w:link w:val="11"/>
    <w:qFormat/>
    <w:uiPriority w:val="99"/>
    <w:rPr>
      <w:sz w:val="18"/>
      <w:szCs w:val="18"/>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标题 1 字符"/>
    <w:basedOn w:val="20"/>
    <w:link w:val="3"/>
    <w:qFormat/>
    <w:uiPriority w:val="0"/>
    <w:rPr>
      <w:rFonts w:ascii="宋体" w:hAnsi="宋体" w:eastAsia="宋体" w:cs="宋体"/>
      <w:b/>
      <w:kern w:val="44"/>
      <w:sz w:val="32"/>
      <w:szCs w:val="32"/>
    </w:rPr>
  </w:style>
  <w:style w:type="paragraph" w:styleId="29">
    <w:name w:val="List Paragraph"/>
    <w:basedOn w:val="1"/>
    <w:qFormat/>
    <w:uiPriority w:val="34"/>
    <w:pPr>
      <w:ind w:firstLine="420" w:firstLineChars="200"/>
    </w:pPr>
  </w:style>
  <w:style w:type="character" w:customStyle="1" w:styleId="30">
    <w:name w:val="标题 字符"/>
    <w:basedOn w:val="20"/>
    <w:link w:val="18"/>
    <w:qFormat/>
    <w:uiPriority w:val="0"/>
    <w:rPr>
      <w:rFonts w:ascii="Cambria" w:hAnsi="Cambria" w:eastAsia="宋体" w:cs="Times New Roman"/>
      <w:b/>
      <w:bCs/>
      <w:kern w:val="0"/>
      <w:sz w:val="32"/>
      <w:szCs w:val="32"/>
    </w:rPr>
  </w:style>
  <w:style w:type="character" w:customStyle="1" w:styleId="31">
    <w:name w:val="标题 2 字符"/>
    <w:basedOn w:val="20"/>
    <w:link w:val="4"/>
    <w:qFormat/>
    <w:uiPriority w:val="9"/>
    <w:rPr>
      <w:rFonts w:asciiTheme="majorHAnsi" w:hAnsiTheme="majorHAnsi" w:eastAsiaTheme="majorEastAsia" w:cstheme="majorBidi"/>
      <w:b/>
      <w:bCs/>
      <w:sz w:val="32"/>
      <w:szCs w:val="32"/>
    </w:rPr>
  </w:style>
  <w:style w:type="character" w:customStyle="1" w:styleId="32">
    <w:name w:val="纯文本 字符"/>
    <w:basedOn w:val="20"/>
    <w:link w:val="9"/>
    <w:qFormat/>
    <w:uiPriority w:val="0"/>
    <w:rPr>
      <w:rFonts w:ascii="宋体" w:hAnsi="Courier New" w:eastAsia="仿宋_GB2312" w:cs="Courier New"/>
      <w:sz w:val="30"/>
      <w:szCs w:val="21"/>
    </w:rPr>
  </w:style>
  <w:style w:type="paragraph" w:customStyle="1" w:styleId="33">
    <w:name w:val="TOC 标题1"/>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4">
    <w:name w:val="TOC 标题2"/>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5">
    <w:name w:val="标题 11"/>
    <w:basedOn w:val="1"/>
    <w:qFormat/>
    <w:uiPriority w:val="1"/>
    <w:pPr>
      <w:ind w:left="226"/>
      <w:outlineLvl w:val="1"/>
    </w:pPr>
    <w:rPr>
      <w:rFonts w:ascii="仿宋_GB2312" w:hAnsi="仿宋_GB2312" w:eastAsia="仿宋_GB2312"/>
      <w:sz w:val="32"/>
      <w:szCs w:val="32"/>
    </w:rPr>
  </w:style>
  <w:style w:type="character" w:customStyle="1" w:styleId="36">
    <w:name w:val="font11"/>
    <w:basedOn w:val="20"/>
    <w:qFormat/>
    <w:uiPriority w:val="0"/>
    <w:rPr>
      <w:rFonts w:hint="eastAsia" w:ascii="宋体" w:hAnsi="宋体" w:eastAsia="宋体" w:cs="宋体"/>
      <w:color w:val="000000"/>
      <w:sz w:val="22"/>
      <w:szCs w:val="22"/>
      <w:u w:val="none"/>
    </w:rPr>
  </w:style>
  <w:style w:type="character" w:customStyle="1" w:styleId="37">
    <w:name w:val="font01"/>
    <w:basedOn w:val="20"/>
    <w:qFormat/>
    <w:uiPriority w:val="0"/>
    <w:rPr>
      <w:rFonts w:hint="default" w:ascii="Times New Roman" w:hAnsi="Times New Roman" w:cs="Times New Roman"/>
      <w:color w:val="000000"/>
      <w:sz w:val="22"/>
      <w:szCs w:val="22"/>
      <w:u w:val="none"/>
    </w:rPr>
  </w:style>
  <w:style w:type="character" w:customStyle="1" w:styleId="38">
    <w:name w:val="font71"/>
    <w:basedOn w:val="20"/>
    <w:qFormat/>
    <w:uiPriority w:val="0"/>
    <w:rPr>
      <w:rFonts w:hint="eastAsia" w:ascii="宋体" w:hAnsi="宋体" w:eastAsia="宋体" w:cs="宋体"/>
      <w:b/>
      <w:bCs/>
      <w:color w:val="000000"/>
      <w:sz w:val="20"/>
      <w:szCs w:val="20"/>
      <w:u w:val="none"/>
    </w:rPr>
  </w:style>
  <w:style w:type="character" w:customStyle="1" w:styleId="39">
    <w:name w:val="font121"/>
    <w:basedOn w:val="20"/>
    <w:qFormat/>
    <w:uiPriority w:val="0"/>
    <w:rPr>
      <w:rFonts w:hint="default" w:ascii="Times New Roman" w:hAnsi="Times New Roman" w:cs="Times New Roman"/>
      <w:b/>
      <w:bCs/>
      <w:color w:val="000000"/>
      <w:sz w:val="20"/>
      <w:szCs w:val="20"/>
      <w:u w:val="none"/>
    </w:rPr>
  </w:style>
  <w:style w:type="character" w:customStyle="1" w:styleId="40">
    <w:name w:val="font41"/>
    <w:basedOn w:val="20"/>
    <w:qFormat/>
    <w:uiPriority w:val="0"/>
    <w:rPr>
      <w:rFonts w:hint="eastAsia" w:ascii="宋体" w:hAnsi="宋体" w:eastAsia="宋体" w:cs="宋体"/>
      <w:color w:val="000000"/>
      <w:sz w:val="20"/>
      <w:szCs w:val="20"/>
      <w:u w:val="none"/>
    </w:rPr>
  </w:style>
  <w:style w:type="character" w:customStyle="1" w:styleId="41">
    <w:name w:val="font91"/>
    <w:basedOn w:val="20"/>
    <w:qFormat/>
    <w:uiPriority w:val="0"/>
    <w:rPr>
      <w:rFonts w:hint="default" w:ascii="Times New Roman" w:hAnsi="Times New Roman" w:cs="Times New Roman"/>
      <w:color w:val="000000"/>
      <w:sz w:val="20"/>
      <w:szCs w:val="20"/>
      <w:u w:val="none"/>
    </w:rPr>
  </w:style>
  <w:style w:type="character" w:customStyle="1" w:styleId="42">
    <w:name w:val="font112"/>
    <w:basedOn w:val="20"/>
    <w:qFormat/>
    <w:uiPriority w:val="0"/>
    <w:rPr>
      <w:rFonts w:hint="eastAsia" w:ascii="宋体" w:hAnsi="宋体" w:eastAsia="宋体" w:cs="宋体"/>
      <w:color w:val="000000"/>
      <w:sz w:val="18"/>
      <w:szCs w:val="18"/>
      <w:u w:val="none"/>
    </w:rPr>
  </w:style>
  <w:style w:type="character" w:customStyle="1" w:styleId="43">
    <w:name w:val="font51"/>
    <w:basedOn w:val="20"/>
    <w:qFormat/>
    <w:uiPriority w:val="0"/>
    <w:rPr>
      <w:rFonts w:hint="default" w:ascii="Times New Roman" w:hAnsi="Times New Roman" w:cs="Times New Roman"/>
      <w:color w:val="000000"/>
      <w:sz w:val="18"/>
      <w:szCs w:val="18"/>
      <w:u w:val="none"/>
    </w:rPr>
  </w:style>
  <w:style w:type="character" w:customStyle="1" w:styleId="44">
    <w:name w:val="font13"/>
    <w:basedOn w:val="20"/>
    <w:qFormat/>
    <w:uiPriority w:val="0"/>
    <w:rPr>
      <w:rFonts w:hint="eastAsia" w:ascii="宋体" w:hAnsi="宋体" w:eastAsia="宋体" w:cs="宋体"/>
      <w:color w:val="000000"/>
      <w:sz w:val="22"/>
      <w:szCs w:val="22"/>
      <w:u w:val="none"/>
    </w:rPr>
  </w:style>
  <w:style w:type="character" w:customStyle="1" w:styleId="45">
    <w:name w:val="font111"/>
    <w:basedOn w:val="20"/>
    <w:qFormat/>
    <w:uiPriority w:val="0"/>
    <w:rPr>
      <w:rFonts w:hint="default" w:ascii="Times New Roman" w:hAnsi="Times New Roman" w:cs="Times New Roman"/>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F3E7D5-30CD-40E5-88CA-9BF81E365507}">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12820</Words>
  <Characters>13698</Characters>
  <Lines>115</Lines>
  <Paragraphs>32</Paragraphs>
  <TotalTime>37</TotalTime>
  <ScaleCrop>false</ScaleCrop>
  <LinksUpToDate>false</LinksUpToDate>
  <CharactersWithSpaces>13934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Am</cp:lastModifiedBy>
  <dcterms:modified xsi:type="dcterms:W3CDTF">2026-02-03T01:07:26Z</dcterms:modified>
  <cp:revision>547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72948B910DDE444E9046CD0085B2986B</vt:lpwstr>
  </property>
  <property fmtid="{D5CDD505-2E9C-101B-9397-08002B2CF9AE}" pid="4" name="KSOSaveFontToCloudKey">
    <vt:lpwstr>473270224_embed</vt:lpwstr>
  </property>
  <property fmtid="{D5CDD505-2E9C-101B-9397-08002B2CF9AE}" pid="5" name="KSOTemplateDocerSaveRecord">
    <vt:lpwstr>eyJoZGlkIjoiYjZkOTdiNmRlNjVjYTc0MzZmZTVjZTVmMjZhMTMyMmMiLCJ1c2VySWQiOiIxMjI0Mjk2Nzk5In0=</vt:lpwstr>
  </property>
</Properties>
</file>