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DF566">
      <w:pPr>
        <w:widowControl w:val="0"/>
        <w:adjustRightInd/>
        <w:snapToGrid/>
        <w:spacing w:after="0" w:line="540" w:lineRule="exact"/>
        <w:rPr>
          <w:rFonts w:ascii="Times New Roman" w:hAnsi="Times New Roman" w:eastAsia="宋体" w:cs="Times New Roman"/>
          <w:bCs/>
          <w:kern w:val="2"/>
          <w:sz w:val="32"/>
          <w:szCs w:val="32"/>
        </w:rPr>
      </w:pPr>
      <w:r>
        <w:rPr>
          <w:rFonts w:hint="eastAsia" w:ascii="黑体" w:hAnsi="黑体" w:eastAsia="黑体" w:cs="黑体"/>
          <w:bCs/>
          <w:kern w:val="2"/>
          <w:sz w:val="32"/>
          <w:szCs w:val="32"/>
        </w:rPr>
        <w:t>徐政财字〔2022〕96号附件</w:t>
      </w:r>
      <w:r>
        <w:rPr>
          <w:rFonts w:ascii="黑体" w:hAnsi="黑体" w:eastAsia="黑体" w:cs="黑体"/>
          <w:bCs/>
          <w:kern w:val="2"/>
          <w:sz w:val="32"/>
          <w:szCs w:val="32"/>
        </w:rPr>
        <w:t>2</w:t>
      </w:r>
    </w:p>
    <w:p w14:paraId="2829ECC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CE409E0">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保定市徐水区人力资源和社会保</w:t>
      </w:r>
      <w:bookmarkStart w:id="80" w:name="_GoBack"/>
      <w:bookmarkEnd w:id="80"/>
      <w:r>
        <w:rPr>
          <w:rFonts w:hint="eastAsia" w:ascii="黑体" w:hAnsi="黑体" w:eastAsia="黑体" w:cs="Times New Roman"/>
          <w:bCs/>
          <w:kern w:val="2"/>
          <w:sz w:val="48"/>
          <w:szCs w:val="48"/>
        </w:rPr>
        <w:t>障局2021年部门整体支出绩效评价自评报告</w:t>
      </w:r>
    </w:p>
    <w:p w14:paraId="77849C1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25369F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107947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31279B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9C53D2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6A06CB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F50EB6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124E22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18928E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55BC5C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8B4092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A9198A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7DDCAA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6E3422E">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22</w:t>
      </w:r>
      <w:r>
        <w:rPr>
          <w:rFonts w:hint="eastAsia" w:cs="Times New Roman" w:asciiTheme="minorEastAsia" w:hAnsiTheme="minorEastAsia" w:eastAsiaTheme="minorEastAsia"/>
          <w:bCs/>
          <w:kern w:val="2"/>
          <w:sz w:val="36"/>
          <w:szCs w:val="36"/>
        </w:rPr>
        <w:t>年11月15日</w:t>
      </w:r>
    </w:p>
    <w:p w14:paraId="79AAAB5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30A0A6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76CA31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BF2CED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3F73F97D">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4F1B6951">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C915BD5">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1191784">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一、保定市徐水区XXX基本情况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57216D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517E05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1AA7F6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F7FD4E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7D78BD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F1A6A44">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AA7075B">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E14B94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8D8E78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4DE75B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F5C47E8">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0FA4C3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236114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5980EA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009998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3D88CC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3485C9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E79CD4D">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104FBF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444762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330830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4B7112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A2683B2">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5AB43FF">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32C76A4">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309CCA07">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5B04A7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2021</w:t>
      </w:r>
      <w:r>
        <w:rPr>
          <w:rFonts w:hint="eastAsia" w:ascii="仿宋_GB2312" w:eastAsia="仿宋_GB2312" w:cs="DengXian-Regular"/>
          <w:sz w:val="32"/>
          <w:szCs w:val="32"/>
        </w:rPr>
        <w:t>年部门整体支出情况开展了绩效自评价工作。</w:t>
      </w:r>
    </w:p>
    <w:p w14:paraId="0484A8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保定市徐水区人力资源和社会保障局为正科级行政单位，经费保障形式为财政拨款，下设4个股室，分别为办公室、事业单位管理股、工资福利保险股、劳动保障股，主要职责有主要职责有负责促进</w:t>
      </w:r>
      <w:r>
        <w:rPr>
          <w:rFonts w:hint="eastAsia" w:ascii="仿宋_GB2312" w:hAnsi="仿宋" w:eastAsia="仿宋_GB2312"/>
          <w:sz w:val="32"/>
          <w:szCs w:val="32"/>
        </w:rPr>
        <w:t>就业工作，拟定统筹城乡的就业发展规划和政策，完善公共就业服务体系，落实就业援助制度；牵头拟定高校毕业生就业政策；会同有关部门拟定高技能人才、农村实用人才的培养和激励政策；按规定实施机关企事业单位人员福利和离退休政策；完善最低工资制度和工资支付保障机制；统筹实施劳动争议、人事仲裁制度；完善劳动关系协调机制；督促落实消除非法使用童工政策和女工、未成年工的特殊劳动保护政策；组织实施劳动监察，协调劳动者维权工作，依法查处重大案件；负责拟定工伤保险。　</w:t>
      </w:r>
    </w:p>
    <w:p w14:paraId="4FA04A8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733244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7B3B3B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人社局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年部门整体支出绩效评价工作。</w:t>
      </w:r>
    </w:p>
    <w:p w14:paraId="1D8693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区人社局202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指标体系共设置4个一级指标、7个二级指标、27个三级指标，从投入、过程、产出、效果四个方面对区人社局部门整体支出情况评分定级。指标体系设定满分为100分，绩效评价分值≥90为“优”；80≤分值＜90为“良”；60≤分值＜80为“合格”；60分以下为“差”。</w:t>
      </w:r>
    </w:p>
    <w:p w14:paraId="708D82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区人社局202</w:t>
      </w:r>
      <w:r>
        <w:rPr>
          <w:rFonts w:ascii="仿宋_GB2312" w:eastAsia="仿宋_GB2312" w:cs="DengXian-Regular"/>
          <w:sz w:val="32"/>
          <w:szCs w:val="32"/>
        </w:rPr>
        <w:t>1</w:t>
      </w:r>
      <w:r>
        <w:rPr>
          <w:rFonts w:hint="eastAsia" w:ascii="仿宋_GB2312" w:eastAsia="仿宋_GB2312" w:cs="DengXian-Regular"/>
          <w:sz w:val="32"/>
          <w:szCs w:val="32"/>
        </w:rPr>
        <w:t>年部门整体支出综合评价得分为95分，评价等级为“优”。</w:t>
      </w:r>
    </w:p>
    <w:p w14:paraId="1C9EE0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经评价，区人社局202</w:t>
      </w:r>
      <w:r>
        <w:rPr>
          <w:rFonts w:ascii="仿宋_GB2312" w:eastAsia="仿宋_GB2312" w:cs="DengXian-Regular"/>
          <w:sz w:val="32"/>
          <w:szCs w:val="32"/>
        </w:rPr>
        <w:t>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1143E4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2FB963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1.绩效指标方面：细化不够明确，有的没有化分进来。</w:t>
      </w:r>
    </w:p>
    <w:p w14:paraId="3B1571CA">
      <w:pPr>
        <w:spacing w:after="0" w:line="360" w:lineRule="auto"/>
        <w:ind w:left="660" w:leftChars="3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2.预算决算比较：本部门</w:t>
      </w:r>
      <w:r>
        <w:rPr>
          <w:rFonts w:ascii="仿宋_GB2312" w:eastAsia="仿宋_GB2312" w:cs="DengXian-Regular"/>
          <w:sz w:val="32"/>
          <w:szCs w:val="32"/>
        </w:rPr>
        <w:t>202</w:t>
      </w:r>
      <w:r>
        <w:rPr>
          <w:rFonts w:hint="eastAsia" w:ascii="仿宋_GB2312" w:eastAsia="仿宋_GB2312" w:cs="DengXian-Regular"/>
          <w:sz w:val="32"/>
          <w:szCs w:val="32"/>
        </w:rPr>
        <w:t>1年度一般公共预算财政拨款收入2713.41万元，完成年初预算的111.11%,比年初预算增加274.42万元，决算数大于预算数主要原因是追加了中央就业补助资金及政法稳定工作经费；本年支出2829.86万元，完成年初预算的115.89%,比年初预算增加387.97万元，决算数大于预算数主要原因是追加了中央就业补助资金及政法稳定工作经费。</w:t>
      </w:r>
    </w:p>
    <w:p w14:paraId="2D8EC3C6">
      <w:pPr>
        <w:spacing w:after="0" w:line="360" w:lineRule="auto"/>
        <w:ind w:left="660" w:leftChars="3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追加项目共4项，下达2021年省级财政城乡居民养老、就业公共服务村级代办员补助资金14万元；关于调整下达2021年中央就业补助资金（直达资金）296万元；下达2021年中央就业补助资金预算141万元；第二季度政法稳定工作经费15.74万元。</w:t>
      </w:r>
    </w:p>
    <w:p w14:paraId="06C1A0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4.政府采购方面：无政府采购</w:t>
      </w:r>
    </w:p>
    <w:p w14:paraId="611E8624">
      <w:pPr>
        <w:spacing w:after="0" w:line="360" w:lineRule="auto"/>
        <w:ind w:left="660" w:leftChars="300" w:right="396" w:rightChars="18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5.项目资金使用率：养老保险、城居保、仲裁工作经费支付率略低一些，做下一年度预算时，争取更精准些。</w:t>
      </w:r>
    </w:p>
    <w:p w14:paraId="382A1B34">
      <w:pPr>
        <w:spacing w:after="0" w:line="360" w:lineRule="auto"/>
        <w:ind w:left="708" w:leftChars="322" w:right="396" w:rightChars="18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6.部分基础数据信息方面：一些信息不太完善，做的不够详细。</w:t>
      </w:r>
    </w:p>
    <w:p w14:paraId="6780E0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64E03A7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5D9B8B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7999C5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7C8B40F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09614D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66ED7E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14:paraId="47D644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2BCD2E5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人社局对项目资金进行梳理，督促项目进度和资金拨付进度，应拨付的资金及时拨付，不具备条件的资金及时收回，同时，对于按规定可以结转至下年的中央及省级项目资金，在下年的项目安排时优先考虑。</w:t>
      </w:r>
    </w:p>
    <w:p w14:paraId="32EB34F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122CB35E">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6AAE21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6CB752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202</w:t>
      </w:r>
      <w:r>
        <w:rPr>
          <w:rFonts w:hint="eastAsia" w:ascii="仿宋_GB2312" w:eastAsia="仿宋_GB2312" w:cs="DengXian-Regular"/>
          <w:sz w:val="32"/>
          <w:szCs w:val="32"/>
        </w:rPr>
        <w:t>1</w:t>
      </w:r>
      <w:r>
        <w:rPr>
          <w:rFonts w:ascii="仿宋_GB2312" w:eastAsia="仿宋_GB2312" w:cs="DengXian-Regular"/>
          <w:sz w:val="32"/>
          <w:szCs w:val="32"/>
        </w:rPr>
        <w:t>年基本支出决算数较预算数增加比例较大，主要原因</w:t>
      </w:r>
      <w:r>
        <w:rPr>
          <w:rFonts w:hint="eastAsia" w:ascii="仿宋_GB2312" w:eastAsia="仿宋_GB2312" w:cs="DengXian-Regular"/>
          <w:sz w:val="32"/>
          <w:szCs w:val="32"/>
        </w:rPr>
        <w:t>新招录24名人员</w:t>
      </w:r>
      <w:r>
        <w:rPr>
          <w:rFonts w:ascii="仿宋_GB2312" w:eastAsia="仿宋_GB2312" w:cs="DengXian-Regular"/>
          <w:sz w:val="32"/>
          <w:szCs w:val="32"/>
        </w:rPr>
        <w:t>增加人员经费支出，建议202</w:t>
      </w:r>
      <w:r>
        <w:rPr>
          <w:rFonts w:hint="eastAsia" w:ascii="仿宋_GB2312" w:eastAsia="仿宋_GB2312" w:cs="DengXian-Regular"/>
          <w:sz w:val="32"/>
          <w:szCs w:val="32"/>
        </w:rPr>
        <w:t>2</w:t>
      </w:r>
      <w:r>
        <w:rPr>
          <w:rFonts w:ascii="仿宋_GB2312" w:eastAsia="仿宋_GB2312" w:cs="DengXian-Regular"/>
          <w:sz w:val="32"/>
          <w:szCs w:val="32"/>
        </w:rPr>
        <w:t>年预算根据</w:t>
      </w:r>
      <w:r>
        <w:rPr>
          <w:rFonts w:hint="eastAsia" w:ascii="仿宋_GB2312" w:eastAsia="仿宋_GB2312" w:cs="DengXian-Regular"/>
          <w:sz w:val="32"/>
          <w:szCs w:val="32"/>
        </w:rPr>
        <w:t>2021年实际发生人员经费支出、人员数量和工资标准适当安排人员经费预算。</w:t>
      </w:r>
    </w:p>
    <w:p w14:paraId="092B3C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202</w:t>
      </w:r>
      <w:r>
        <w:rPr>
          <w:rFonts w:hint="eastAsia" w:ascii="仿宋_GB2312" w:eastAsia="仿宋_GB2312" w:cs="DengXian-Regular"/>
          <w:sz w:val="32"/>
          <w:szCs w:val="32"/>
        </w:rPr>
        <w:t>1</w:t>
      </w:r>
      <w:r>
        <w:rPr>
          <w:rFonts w:ascii="仿宋_GB2312" w:eastAsia="仿宋_GB2312" w:cs="DengXian-Regular"/>
          <w:sz w:val="32"/>
          <w:szCs w:val="32"/>
        </w:rPr>
        <w:t>年项目支出资金使用率</w:t>
      </w:r>
      <w:r>
        <w:rPr>
          <w:rFonts w:hint="eastAsia" w:ascii="仿宋_GB2312" w:eastAsia="仿宋_GB2312" w:cs="DengXian-Regular"/>
          <w:sz w:val="32"/>
          <w:szCs w:val="32"/>
        </w:rPr>
        <w:t>较高</w:t>
      </w:r>
      <w:r>
        <w:rPr>
          <w:rFonts w:ascii="仿宋_GB2312" w:eastAsia="仿宋_GB2312" w:cs="DengXian-Regular"/>
          <w:sz w:val="32"/>
          <w:szCs w:val="32"/>
        </w:rPr>
        <w:t>，</w:t>
      </w:r>
      <w:r>
        <w:rPr>
          <w:rFonts w:hint="eastAsia" w:ascii="仿宋_GB2312" w:eastAsia="仿宋_GB2312" w:cs="DengXian-Regular"/>
          <w:sz w:val="32"/>
          <w:szCs w:val="32"/>
        </w:rPr>
        <w:t>原因是有中央就业补助资金以及政法稳定工作经费等项目追加，建议</w:t>
      </w:r>
      <w:r>
        <w:rPr>
          <w:rFonts w:ascii="仿宋_GB2312" w:eastAsia="仿宋_GB2312" w:cs="DengXian-Regular"/>
          <w:sz w:val="32"/>
          <w:szCs w:val="32"/>
        </w:rPr>
        <w:t>202</w:t>
      </w:r>
      <w:r>
        <w:rPr>
          <w:rFonts w:hint="eastAsia" w:ascii="仿宋_GB2312" w:eastAsia="仿宋_GB2312" w:cs="DengXian-Regular"/>
          <w:sz w:val="32"/>
          <w:szCs w:val="32"/>
        </w:rPr>
        <w:t>2</w:t>
      </w:r>
      <w:r>
        <w:rPr>
          <w:rFonts w:ascii="仿宋_GB2312" w:eastAsia="仿宋_GB2312" w:cs="DengXian-Regular"/>
          <w:sz w:val="32"/>
          <w:szCs w:val="32"/>
        </w:rPr>
        <w:t>年预算</w:t>
      </w:r>
      <w:r>
        <w:rPr>
          <w:rFonts w:hint="eastAsia" w:ascii="仿宋_GB2312" w:eastAsia="仿宋_GB2312" w:cs="DengXian-Regular"/>
          <w:sz w:val="32"/>
          <w:szCs w:val="32"/>
        </w:rPr>
        <w:t>根据2021年</w:t>
      </w:r>
      <w:r>
        <w:rPr>
          <w:rFonts w:ascii="仿宋_GB2312" w:eastAsia="仿宋_GB2312" w:cs="DengXian-Regular"/>
          <w:sz w:val="32"/>
          <w:szCs w:val="32"/>
        </w:rPr>
        <w:t>项目资金实际情况</w:t>
      </w:r>
      <w:r>
        <w:rPr>
          <w:rFonts w:hint="eastAsia" w:ascii="仿宋_GB2312" w:eastAsia="仿宋_GB2312" w:cs="DengXian-Regular"/>
          <w:sz w:val="32"/>
          <w:szCs w:val="32"/>
        </w:rPr>
        <w:t>合理安排经费预算</w:t>
      </w:r>
      <w:r>
        <w:rPr>
          <w:rFonts w:ascii="仿宋_GB2312" w:eastAsia="仿宋_GB2312" w:cs="DengXian-Regular"/>
          <w:sz w:val="32"/>
          <w:szCs w:val="32"/>
        </w:rPr>
        <w:t>。</w:t>
      </w:r>
    </w:p>
    <w:p w14:paraId="526FFB75">
      <w:pPr>
        <w:pStyle w:val="3"/>
        <w:spacing w:line="540" w:lineRule="exact"/>
        <w:jc w:val="center"/>
        <w:rPr>
          <w:rFonts w:ascii="黑体" w:hAnsi="黑体"/>
          <w:b w:val="0"/>
        </w:rPr>
      </w:pPr>
      <w:r>
        <w:rPr>
          <w:rFonts w:hint="eastAsia" w:ascii="黑体" w:hAnsi="黑体"/>
          <w:b w:val="0"/>
        </w:rPr>
        <w:t>第二部分   绩效评价报告</w:t>
      </w:r>
      <w:bookmarkEnd w:id="1"/>
    </w:p>
    <w:p w14:paraId="2AD4EB15">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一、保定市徐水区人社局基本情况</w:t>
      </w:r>
      <w:bookmarkEnd w:id="2"/>
      <w:bookmarkEnd w:id="3"/>
      <w:bookmarkStart w:id="4" w:name="_Toc492652764"/>
    </w:p>
    <w:p w14:paraId="2373EEDC">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4D635F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人社局职能配置内设机构和人员编制规定》的通知，区人社局为区政府工作部门，正科级单位，下设4个股室。我单位根据绩效预算管理改革的相关要求，按照“部门职责—工作活动绩效目标”的层级设立了绩效预算架构，职责活动包括贯彻执行人力资源和社会保障法律、法规、规章；拟定全区人力资源和社会保障事业发展规划；人事管理政策人员总体规划、结构调整和宏观管理；拟定政府奖励办法、审核上报以区政府名义奖励表彰的人员；拟定人才市场发展规划和政策，建立统一规范的人力资源市场；专业技术人员职称改革；就业工作、全区城乡的社会保障体系；就业、失业、社会保险基金预测预警和信息引导，贯彻落实劳动；人事争议调解仲裁制度和劳动关系政策等共十一部分。</w:t>
      </w:r>
    </w:p>
    <w:p w14:paraId="3CD041B5">
      <w:pPr>
        <w:pStyle w:val="4"/>
        <w:spacing w:before="0" w:after="0"/>
        <w:ind w:firstLine="643" w:firstLineChars="200"/>
        <w:jc w:val="both"/>
        <w:rPr>
          <w:rFonts w:ascii="仿宋_GB2312" w:hAnsi="Tahoma" w:cs="DengXian-Regular"/>
          <w:sz w:val="32"/>
        </w:rPr>
      </w:pPr>
      <w:bookmarkStart w:id="6" w:name="_Toc465149499"/>
      <w:bookmarkStart w:id="7" w:name="_Toc7075"/>
      <w:bookmarkStart w:id="8" w:name="_Toc49265276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4EBE94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ascii="仿宋_GB2312" w:eastAsia="仿宋_GB2312" w:cs="DengXian-Regular"/>
          <w:sz w:val="32"/>
          <w:szCs w:val="32"/>
        </w:rPr>
        <w:t>1</w:t>
      </w:r>
      <w:r>
        <w:rPr>
          <w:rFonts w:hint="eastAsia" w:ascii="仿宋_GB2312" w:eastAsia="仿宋_GB2312" w:cs="DengXian-Regular"/>
          <w:sz w:val="32"/>
          <w:szCs w:val="32"/>
        </w:rPr>
        <w:t>年绩效预算编制要求，我单位设置的年度发展规划总体目标为：</w:t>
      </w:r>
    </w:p>
    <w:p w14:paraId="0A1C87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执行党和国家关于制定我局工作要点，并监督实施。指导全区指导全区事业单位工作人员总体规划、结构调整和宏观管理工作。制定统筹建立覆盖全区城乡的社会保障体系；贯彻落实养老、工伤、社会保险；贯彻落实全省统一的社会保险关系转续办法和基金统筹办法等规划并组织实施，指导检查全区专业技术人员职称改革工作。负责全区工资分配宏观政策及工资标准、调控政策工作，负责全区会同有关部门研究拟订政府奖励办法等工作。</w:t>
      </w:r>
    </w:p>
    <w:p w14:paraId="008EC15B">
      <w:pPr>
        <w:spacing w:after="0" w:line="360" w:lineRule="auto"/>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01A55CF5">
      <w:pPr>
        <w:spacing w:after="0" w:line="360" w:lineRule="auto"/>
        <w:jc w:val="both"/>
        <w:textAlignment w:val="baseline"/>
        <w:rPr>
          <w:rFonts w:ascii="仿宋_GB2312" w:eastAsia="仿宋_GB2312" w:cs="DengXian-Regular"/>
          <w:sz w:val="32"/>
          <w:szCs w:val="32"/>
        </w:rPr>
      </w:pPr>
      <w:r>
        <w:rPr>
          <w:rFonts w:hint="eastAsia" w:ascii="仿宋_GB2312" w:eastAsia="仿宋_GB2312" w:cs="DengXian-Regular"/>
          <w:sz w:val="32"/>
          <w:szCs w:val="32"/>
        </w:rPr>
        <w:t>1. 开展制定统筹建立覆盖全区城乡的社会保障体系工作。</w:t>
      </w:r>
    </w:p>
    <w:p w14:paraId="16BCAF1C">
      <w:pPr>
        <w:spacing w:after="0" w:line="360" w:lineRule="auto"/>
        <w:jc w:val="both"/>
        <w:textAlignment w:val="baseline"/>
        <w:rPr>
          <w:rFonts w:ascii="仿宋_GB2312" w:eastAsia="仿宋_GB2312" w:cs="DengXian-Regular"/>
          <w:sz w:val="32"/>
          <w:szCs w:val="32"/>
        </w:rPr>
      </w:pPr>
      <w:r>
        <w:rPr>
          <w:rFonts w:hint="eastAsia" w:ascii="仿宋_GB2312" w:eastAsia="仿宋_GB2312" w:cs="DengXian-Regular"/>
          <w:sz w:val="32"/>
          <w:szCs w:val="32"/>
        </w:rPr>
        <w:t>2. 开展人事争议调解仲裁制度和劳动关系政策工作。</w:t>
      </w:r>
    </w:p>
    <w:p w14:paraId="0AF570A8">
      <w:pPr>
        <w:spacing w:after="0" w:line="360" w:lineRule="auto"/>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bookmarkStart w:id="9" w:name="_Toc1678"/>
      <w:bookmarkStart w:id="10" w:name="_Toc492652766"/>
      <w:bookmarkStart w:id="11" w:name="_Toc465149500"/>
      <w:r>
        <w:rPr>
          <w:rFonts w:hint="eastAsia" w:ascii="仿宋_GB2312" w:eastAsia="仿宋_GB2312" w:cs="DengXian-Regular"/>
          <w:sz w:val="32"/>
          <w:szCs w:val="32"/>
        </w:rPr>
        <w:t xml:space="preserve"> 开展就业工作、全区城乡的社会保障体系；就业、失业、社会保险基金预测预警和信息引导，贯彻落实劳动工作。</w:t>
      </w:r>
    </w:p>
    <w:p w14:paraId="188450C2">
      <w:pPr>
        <w:spacing w:after="0" w:line="360" w:lineRule="auto"/>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13E4E9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年区人社局预算收入</w:t>
      </w:r>
      <w:r>
        <w:rPr>
          <w:rFonts w:ascii="仿宋_GB2312" w:eastAsia="仿宋_GB2312" w:cs="DengXian-Regular"/>
          <w:sz w:val="32"/>
          <w:szCs w:val="32"/>
        </w:rPr>
        <w:t>2441.99</w:t>
      </w:r>
      <w:r>
        <w:rPr>
          <w:rFonts w:hint="eastAsia" w:ascii="仿宋_GB2312" w:eastAsia="仿宋_GB2312" w:cs="DengXian-Regular"/>
          <w:sz w:val="32"/>
          <w:szCs w:val="32"/>
        </w:rPr>
        <w:t>万元，均为一般公共预算拨款，其中：财政拨款</w:t>
      </w:r>
      <w:r>
        <w:rPr>
          <w:rFonts w:ascii="仿宋_GB2312" w:eastAsia="仿宋_GB2312" w:cs="DengXian-Regular"/>
          <w:sz w:val="32"/>
          <w:szCs w:val="32"/>
        </w:rPr>
        <w:t>2441.99</w:t>
      </w:r>
      <w:r>
        <w:rPr>
          <w:rFonts w:hint="eastAsia" w:ascii="仿宋_GB2312" w:eastAsia="仿宋_GB2312" w:cs="DengXian-Regular"/>
          <w:sz w:val="32"/>
          <w:szCs w:val="32"/>
        </w:rPr>
        <w:t>万元，中央财政提前通知转移支付0万元。预算收入按功能分类包含：公共安全支出0万元，社会保障和就业支出2356.76万元，医疗卫生与计划生育支出36.35万元，住房保障支出48.88万元。</w:t>
      </w:r>
    </w:p>
    <w:p w14:paraId="7ED60B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人社局决算收入2718.68万元，其中：财政拨款收入2713.41万元，其他收入5.27万元（利息收入0.09万元，收到退役军人事务局交来士兵安置养老保险及2020年创业担保贷款奖补资金5.18万元）。决算收入按功能分类包含：公共安全支出0万元，占比0%；社会保障和就业支出2718.95万元，占比96.60%；医疗卫生与计划生育支出34.98万元，占比1.24%；住房保障支出60.78万元，占比2.16%。具体决算收入详见附件</w:t>
      </w:r>
    </w:p>
    <w:p w14:paraId="16BEC5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14:paraId="078690A2">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drawing>
          <wp:anchor distT="0" distB="0" distL="114300" distR="114300" simplePos="0" relativeHeight="251659264" behindDoc="0" locked="0" layoutInCell="1" allowOverlap="1">
            <wp:simplePos x="0" y="0"/>
            <wp:positionH relativeFrom="column">
              <wp:posOffset>192405</wp:posOffset>
            </wp:positionH>
            <wp:positionV relativeFrom="paragraph">
              <wp:posOffset>435610</wp:posOffset>
            </wp:positionV>
            <wp:extent cx="4724400" cy="2686685"/>
            <wp:effectExtent l="19050" t="0" r="0" b="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7" cstate="print"/>
                    <a:srcRect/>
                    <a:stretch>
                      <a:fillRect/>
                    </a:stretch>
                  </pic:blipFill>
                  <pic:spPr>
                    <a:xfrm>
                      <a:off x="0" y="0"/>
                      <a:ext cx="4724400" cy="2686685"/>
                    </a:xfrm>
                    <a:prstGeom prst="rect">
                      <a:avLst/>
                    </a:prstGeom>
                    <a:noFill/>
                  </pic:spPr>
                </pic:pic>
              </a:graphicData>
            </a:graphic>
          </wp:anchor>
        </w:drawing>
      </w:r>
      <w:r>
        <w:rPr>
          <w:rFonts w:hint="eastAsia" w:asciiTheme="minorEastAsia" w:hAnsiTheme="minorEastAsia" w:eastAsiaTheme="minorEastAsia" w:cstheme="minorEastAsia"/>
          <w:b/>
          <w:bCs/>
          <w:sz w:val="32"/>
          <w:szCs w:val="32"/>
        </w:rPr>
        <w:t>图1  202</w:t>
      </w:r>
      <w:r>
        <w:rPr>
          <w:rFonts w:asciiTheme="minorEastAsia" w:hAnsiTheme="minorEastAsia" w:eastAsiaTheme="minorEastAsia" w:cstheme="minorEastAsia"/>
          <w:b/>
          <w:bCs/>
          <w:sz w:val="32"/>
          <w:szCs w:val="32"/>
        </w:rPr>
        <w:t>1</w:t>
      </w:r>
      <w:r>
        <w:rPr>
          <w:rFonts w:hint="eastAsia" w:asciiTheme="minorEastAsia" w:hAnsiTheme="minorEastAsia" w:eastAsiaTheme="minorEastAsia" w:cstheme="minorEastAsia"/>
          <w:b/>
          <w:bCs/>
          <w:sz w:val="32"/>
          <w:szCs w:val="32"/>
        </w:rPr>
        <w:t>年度区人社局决算收入结构图</w:t>
      </w:r>
    </w:p>
    <w:p w14:paraId="30839A20">
      <w:pPr>
        <w:spacing w:after="0" w:line="540" w:lineRule="exact"/>
        <w:ind w:firstLine="640" w:firstLineChars="200"/>
        <w:jc w:val="both"/>
        <w:rPr>
          <w:rFonts w:ascii="仿宋_GB2312" w:eastAsia="仿宋_GB2312" w:cs="Times New Roman" w:hAnsiTheme="minorEastAsia"/>
          <w:sz w:val="32"/>
          <w:szCs w:val="32"/>
          <w:u w:color="000000"/>
        </w:rPr>
      </w:pPr>
    </w:p>
    <w:p w14:paraId="56C8B807">
      <w:pPr>
        <w:spacing w:after="0" w:line="540" w:lineRule="exact"/>
        <w:ind w:firstLine="640" w:firstLineChars="200"/>
        <w:jc w:val="both"/>
        <w:rPr>
          <w:rFonts w:ascii="仿宋_GB2312" w:eastAsia="仿宋_GB2312" w:cs="Times New Roman" w:hAnsiTheme="minorEastAsia"/>
          <w:sz w:val="32"/>
          <w:szCs w:val="32"/>
          <w:u w:color="000000"/>
        </w:rPr>
      </w:pPr>
    </w:p>
    <w:p w14:paraId="2671D82D">
      <w:pPr>
        <w:spacing w:after="0" w:line="540" w:lineRule="exact"/>
        <w:ind w:firstLine="640" w:firstLineChars="200"/>
        <w:jc w:val="both"/>
        <w:rPr>
          <w:rFonts w:ascii="仿宋_GB2312" w:eastAsia="仿宋_GB2312" w:cs="DengXian-Regular"/>
          <w:sz w:val="32"/>
          <w:szCs w:val="32"/>
        </w:rPr>
      </w:pPr>
    </w:p>
    <w:p w14:paraId="5F0F928B">
      <w:pPr>
        <w:spacing w:after="0" w:line="540" w:lineRule="exact"/>
        <w:ind w:firstLine="640" w:firstLineChars="200"/>
        <w:jc w:val="both"/>
        <w:rPr>
          <w:rFonts w:ascii="仿宋_GB2312" w:eastAsia="仿宋_GB2312" w:cs="DengXian-Regular"/>
          <w:sz w:val="32"/>
          <w:szCs w:val="32"/>
        </w:rPr>
      </w:pPr>
    </w:p>
    <w:p w14:paraId="19C89300">
      <w:pPr>
        <w:spacing w:after="0" w:line="540" w:lineRule="exact"/>
        <w:ind w:firstLine="640" w:firstLineChars="200"/>
        <w:jc w:val="both"/>
        <w:rPr>
          <w:rFonts w:ascii="仿宋_GB2312" w:eastAsia="仿宋_GB2312" w:cs="DengXian-Regular"/>
          <w:sz w:val="32"/>
          <w:szCs w:val="32"/>
        </w:rPr>
      </w:pPr>
    </w:p>
    <w:p w14:paraId="524F9AFE">
      <w:pPr>
        <w:spacing w:after="0" w:line="540" w:lineRule="exact"/>
        <w:ind w:firstLine="640" w:firstLineChars="200"/>
        <w:jc w:val="both"/>
        <w:rPr>
          <w:rFonts w:ascii="仿宋_GB2312" w:eastAsia="仿宋_GB2312" w:cs="DengXian-Regular"/>
          <w:sz w:val="32"/>
          <w:szCs w:val="32"/>
        </w:rPr>
      </w:pPr>
    </w:p>
    <w:p w14:paraId="20206524">
      <w:pPr>
        <w:spacing w:after="0" w:line="540" w:lineRule="exact"/>
        <w:ind w:firstLine="640" w:firstLineChars="200"/>
        <w:jc w:val="both"/>
        <w:rPr>
          <w:rFonts w:ascii="仿宋_GB2312" w:eastAsia="仿宋_GB2312" w:cs="DengXian-Regular"/>
          <w:sz w:val="32"/>
          <w:szCs w:val="32"/>
        </w:rPr>
      </w:pPr>
    </w:p>
    <w:p w14:paraId="04C6F085">
      <w:pPr>
        <w:spacing w:after="0" w:line="540" w:lineRule="exact"/>
        <w:ind w:firstLine="640" w:firstLineChars="200"/>
        <w:jc w:val="both"/>
        <w:rPr>
          <w:rFonts w:ascii="仿宋_GB2312" w:eastAsia="仿宋_GB2312" w:cs="DengXian-Regular"/>
          <w:sz w:val="32"/>
          <w:szCs w:val="32"/>
        </w:rPr>
      </w:pPr>
    </w:p>
    <w:p w14:paraId="4A014201">
      <w:pPr>
        <w:spacing w:after="0" w:line="540" w:lineRule="exact"/>
        <w:ind w:firstLine="640" w:firstLineChars="200"/>
        <w:jc w:val="both"/>
        <w:rPr>
          <w:rFonts w:ascii="仿宋_GB2312" w:eastAsia="仿宋_GB2312" w:cs="DengXian-Regular"/>
          <w:sz w:val="32"/>
          <w:szCs w:val="32"/>
        </w:rPr>
      </w:pPr>
    </w:p>
    <w:p w14:paraId="32B44A1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我单位一般公共预算财政拨款决算收入比年初预算增加274.42万元，完成年初预算的111.11%。决算收入大于预算收入的主要原因为202</w:t>
      </w:r>
      <w:r>
        <w:rPr>
          <w:rFonts w:ascii="仿宋_GB2312" w:eastAsia="仿宋_GB2312" w:cs="DengXian-Regular"/>
          <w:sz w:val="32"/>
          <w:szCs w:val="32"/>
        </w:rPr>
        <w:t>1</w:t>
      </w:r>
      <w:r>
        <w:rPr>
          <w:rFonts w:hint="eastAsia" w:ascii="仿宋_GB2312" w:eastAsia="仿宋_GB2312" w:cs="DengXian-Regular"/>
          <w:sz w:val="32"/>
          <w:szCs w:val="32"/>
        </w:rPr>
        <w:t>年度我单位追加了中央就业补助资金及政法稳定工作经费项目。</w:t>
      </w:r>
    </w:p>
    <w:p w14:paraId="330D8D9A">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预算收入与决算收入对比情况见图2。</w:t>
      </w:r>
    </w:p>
    <w:p w14:paraId="0B1C3D97">
      <w:pPr>
        <w:spacing w:after="0" w:line="360" w:lineRule="auto"/>
        <w:jc w:val="center"/>
        <w:rPr>
          <w:rFonts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202</w:t>
      </w:r>
      <w:r>
        <w:rPr>
          <w:rFonts w:asciiTheme="minorEastAsia" w:hAnsiTheme="minorEastAsia" w:eastAsiaTheme="minorEastAsia" w:cstheme="minorEastAsia"/>
          <w:b/>
          <w:sz w:val="32"/>
          <w:szCs w:val="32"/>
          <w:u w:color="000000"/>
        </w:rPr>
        <w:t>1</w:t>
      </w:r>
      <w:r>
        <w:rPr>
          <w:rFonts w:hint="eastAsia" w:asciiTheme="minorEastAsia" w:hAnsiTheme="minorEastAsia" w:eastAsiaTheme="minorEastAsia" w:cstheme="minorEastAsia"/>
          <w:b/>
          <w:sz w:val="32"/>
          <w:szCs w:val="32"/>
          <w:u w:color="000000"/>
        </w:rPr>
        <w:t>年度区</w:t>
      </w:r>
      <w:r>
        <w:rPr>
          <w:rFonts w:hint="eastAsia" w:ascii="仿宋_GB2312" w:eastAsia="仿宋_GB2312" w:cs="DengXian-Regular"/>
          <w:sz w:val="32"/>
          <w:szCs w:val="32"/>
        </w:rPr>
        <w:t>人社局</w:t>
      </w:r>
      <w:r>
        <w:rPr>
          <w:rFonts w:hint="eastAsia" w:asciiTheme="minorEastAsia" w:hAnsiTheme="minorEastAsia" w:eastAsiaTheme="minorEastAsia" w:cstheme="minorEastAsia"/>
          <w:b/>
          <w:sz w:val="32"/>
          <w:szCs w:val="32"/>
          <w:u w:color="000000"/>
        </w:rPr>
        <w:t>预算收入与决算收入对比图</w:t>
      </w:r>
    </w:p>
    <w:p w14:paraId="3EF763DA">
      <w:pPr>
        <w:spacing w:after="0" w:line="360" w:lineRule="auto"/>
        <w:jc w:val="center"/>
        <w:rPr>
          <w:rFonts w:asciiTheme="minorEastAsia" w:hAnsiTheme="minorEastAsia" w:eastAsiaTheme="minorEastAsia" w:cstheme="minorEastAsia"/>
          <w:b/>
          <w:sz w:val="32"/>
          <w:szCs w:val="32"/>
          <w:u w:color="000000"/>
        </w:rPr>
      </w:pPr>
      <w:r>
        <w:rPr>
          <w:rFonts w:asciiTheme="minorEastAsia" w:hAnsiTheme="minorEastAsia" w:eastAsiaTheme="minorEastAsia" w:cstheme="minorEastAsia"/>
          <w:b/>
          <w:sz w:val="32"/>
          <w:szCs w:val="32"/>
          <w:u w:color="000000"/>
        </w:rPr>
        <w:drawing>
          <wp:inline distT="0" distB="0" distL="0" distR="0">
            <wp:extent cx="4810125" cy="2867025"/>
            <wp:effectExtent l="19050" t="0" r="9525" b="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81C4C1">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74C74FB0">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年度我单位</w:t>
      </w:r>
      <w:r>
        <w:rPr>
          <w:rFonts w:hint="eastAsia" w:ascii="仿宋_GB2312" w:eastAsia="仿宋_GB2312" w:cs="Times New Roman" w:hAnsiTheme="minorEastAsia"/>
          <w:sz w:val="32"/>
          <w:szCs w:val="32"/>
          <w:u w:color="000000"/>
        </w:rPr>
        <w:t>预算支出安排2441.99万元，其中：基本支出957.10万元，项目支出1484.89万元。预算支出按功能分类包含：公共安全支出0万元，社会保障和就业支出</w:t>
      </w:r>
      <w:r>
        <w:rPr>
          <w:rFonts w:hint="eastAsia" w:ascii="仿宋_GB2312" w:eastAsia="仿宋_GB2312" w:cs="DengXian-Regular"/>
          <w:sz w:val="32"/>
          <w:szCs w:val="32"/>
        </w:rPr>
        <w:t>2356.76</w:t>
      </w:r>
      <w:r>
        <w:rPr>
          <w:rFonts w:hint="eastAsia" w:ascii="仿宋_GB2312" w:eastAsia="仿宋_GB2312" w:cs="Times New Roman" w:hAnsiTheme="minorEastAsia"/>
          <w:sz w:val="32"/>
          <w:szCs w:val="32"/>
          <w:u w:color="000000"/>
        </w:rPr>
        <w:t>万元，医疗卫生与计划教育支出</w:t>
      </w:r>
      <w:r>
        <w:rPr>
          <w:rFonts w:hint="eastAsia" w:ascii="仿宋_GB2312" w:eastAsia="仿宋_GB2312" w:cs="DengXian-Regular"/>
          <w:sz w:val="32"/>
          <w:szCs w:val="32"/>
        </w:rPr>
        <w:t>36.35</w:t>
      </w:r>
      <w:r>
        <w:rPr>
          <w:rFonts w:hint="eastAsia" w:ascii="仿宋_GB2312" w:eastAsia="仿宋_GB2312" w:cs="Times New Roman" w:hAnsiTheme="minorEastAsia"/>
          <w:sz w:val="32"/>
          <w:szCs w:val="32"/>
          <w:u w:color="000000"/>
        </w:rPr>
        <w:t>万元，住房保障支出</w:t>
      </w:r>
      <w:r>
        <w:rPr>
          <w:rFonts w:hint="eastAsia" w:ascii="仿宋_GB2312" w:eastAsia="仿宋_GB2312" w:cs="DengXian-Regular"/>
          <w:sz w:val="32"/>
          <w:szCs w:val="32"/>
        </w:rPr>
        <w:t>48.88</w:t>
      </w:r>
      <w:r>
        <w:rPr>
          <w:rFonts w:hint="eastAsia" w:ascii="仿宋_GB2312" w:eastAsia="仿宋_GB2312" w:cs="Times New Roman" w:hAnsiTheme="minorEastAsia"/>
          <w:sz w:val="32"/>
          <w:szCs w:val="32"/>
          <w:u w:color="000000"/>
        </w:rPr>
        <w:t>万元。具体预算支出详见附件2。</w:t>
      </w:r>
    </w:p>
    <w:p w14:paraId="1C627F4E">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年度我单位</w:t>
      </w:r>
      <w:r>
        <w:rPr>
          <w:rFonts w:hint="eastAsia" w:ascii="仿宋_GB2312" w:eastAsia="仿宋_GB2312" w:cs="Times New Roman" w:hAnsiTheme="minorEastAsia"/>
          <w:sz w:val="32"/>
          <w:szCs w:val="32"/>
          <w:u w:color="000000"/>
        </w:rPr>
        <w:t>决算支出为2835.13万元，其中：基本支出1047.45万元，项目支出1787.68万元。决算支出按功能分类包含：公共安全支出0万元，占比0%；社会保障和就业支出2724.21万元，占比96.09%；医疗卫生与计划教育支出34.98万元，占比1.23%；住房保障支出60.78万元，占比2.14%；国有资本经营预算支出15.16万元，占比0.54 %具体决算支出详见附件2。</w:t>
      </w:r>
    </w:p>
    <w:p w14:paraId="43A84B65">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3E50ADE9">
      <w:pPr>
        <w:spacing w:after="0" w:line="360" w:lineRule="auto"/>
        <w:jc w:val="center"/>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年度区人社局</w:t>
      </w:r>
      <w:r>
        <w:rPr>
          <w:rFonts w:hint="eastAsia" w:asciiTheme="minorEastAsia" w:hAnsiTheme="minorEastAsia" w:eastAsiaTheme="minorEastAsia" w:cstheme="minorEastAsia"/>
          <w:b/>
          <w:bCs/>
          <w:sz w:val="32"/>
          <w:szCs w:val="32"/>
          <w:u w:color="000000"/>
        </w:rPr>
        <w:t>决算支出结构图</w:t>
      </w:r>
    </w:p>
    <w:p w14:paraId="532BED01">
      <w:pPr>
        <w:spacing w:after="0" w:line="360" w:lineRule="auto"/>
        <w:jc w:val="center"/>
        <w:rPr>
          <w:rFonts w:asciiTheme="minorEastAsia" w:hAnsiTheme="minorEastAsia" w:eastAsiaTheme="minorEastAsia" w:cstheme="minorEastAsia"/>
          <w:b/>
          <w:bCs/>
          <w:sz w:val="32"/>
          <w:szCs w:val="32"/>
          <w:u w:color="000000"/>
        </w:rPr>
      </w:pPr>
    </w:p>
    <w:p w14:paraId="26F7738F">
      <w:pPr>
        <w:spacing w:after="0" w:line="360" w:lineRule="auto"/>
        <w:jc w:val="center"/>
        <w:rPr>
          <w:rFonts w:asciiTheme="minorEastAsia" w:hAnsiTheme="minorEastAsia" w:eastAsiaTheme="minorEastAsia" w:cstheme="minorEastAsia"/>
          <w:b/>
          <w:bCs/>
          <w:sz w:val="32"/>
          <w:szCs w:val="32"/>
          <w:u w:color="000000"/>
        </w:rPr>
      </w:pPr>
      <w:r>
        <w:rPr>
          <w:rFonts w:asciiTheme="minorEastAsia" w:hAnsiTheme="minorEastAsia" w:eastAsiaTheme="minorEastAsia" w:cstheme="minorEastAsia"/>
          <w:b/>
          <w:bCs/>
          <w:sz w:val="32"/>
          <w:szCs w:val="32"/>
          <w:u w:color="000000"/>
        </w:rPr>
        <w:drawing>
          <wp:inline distT="0" distB="0" distL="0" distR="0">
            <wp:extent cx="5105400" cy="2686050"/>
            <wp:effectExtent l="19050" t="0" r="19050" b="0"/>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891D28">
      <w:pPr>
        <w:spacing w:after="0" w:line="360" w:lineRule="auto"/>
        <w:jc w:val="center"/>
        <w:rPr>
          <w:rFonts w:asciiTheme="minorEastAsia" w:hAnsiTheme="minorEastAsia" w:eastAsiaTheme="minorEastAsia" w:cstheme="minorEastAsia"/>
          <w:b/>
          <w:bCs/>
          <w:sz w:val="32"/>
          <w:szCs w:val="32"/>
          <w:u w:color="000000"/>
        </w:rPr>
      </w:pPr>
    </w:p>
    <w:p w14:paraId="635B3BF9">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财政拨款决算支出比年初预算增加274.42万元。决算支出完成年初预算的111.11%。</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主要原因为追加了中央就业补助资金及政法稳定经费项目</w:t>
      </w:r>
      <w:r>
        <w:rPr>
          <w:rFonts w:hint="eastAsia" w:ascii="仿宋" w:hAnsi="仿宋" w:eastAsia="仿宋"/>
          <w:snapToGrid w:val="0"/>
          <w:sz w:val="32"/>
          <w:szCs w:val="32"/>
        </w:rPr>
        <w:t>。预算支出与决算支出对比情况如图4。</w:t>
      </w:r>
    </w:p>
    <w:p w14:paraId="00F30DFC">
      <w:pPr>
        <w:spacing w:after="0" w:line="360" w:lineRule="auto"/>
        <w:ind w:firstLine="640" w:firstLineChars="200"/>
        <w:jc w:val="both"/>
        <w:rPr>
          <w:rFonts w:ascii="仿宋" w:hAnsi="仿宋" w:eastAsia="仿宋"/>
          <w:snapToGrid w:val="0"/>
          <w:sz w:val="32"/>
          <w:szCs w:val="32"/>
        </w:rPr>
      </w:pPr>
    </w:p>
    <w:p w14:paraId="5C3EFD67">
      <w:pPr>
        <w:spacing w:after="0" w:line="360" w:lineRule="auto"/>
        <w:ind w:firstLine="640" w:firstLineChars="200"/>
        <w:jc w:val="both"/>
        <w:rPr>
          <w:rFonts w:ascii="仿宋" w:hAnsi="仿宋" w:eastAsia="仿宋"/>
          <w:snapToGrid w:val="0"/>
          <w:sz w:val="32"/>
          <w:szCs w:val="32"/>
        </w:rPr>
      </w:pPr>
      <w:r>
        <w:rPr>
          <w:rFonts w:ascii="仿宋" w:hAnsi="仿宋" w:eastAsia="仿宋"/>
          <w:snapToGrid w:val="0"/>
          <w:sz w:val="32"/>
          <w:szCs w:val="32"/>
        </w:rPr>
        <w:drawing>
          <wp:inline distT="0" distB="0" distL="0" distR="0">
            <wp:extent cx="4591050" cy="2867025"/>
            <wp:effectExtent l="19050" t="0" r="1905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ABA76E">
      <w:pPr>
        <w:spacing w:after="0" w:line="360" w:lineRule="auto"/>
        <w:ind w:firstLine="643" w:firstLineChars="200"/>
        <w:rPr>
          <w:rFonts w:ascii="仿宋_GB2312" w:eastAsia="仿宋_GB2312" w:cs="DengXian-Regular"/>
          <w:sz w:val="32"/>
          <w:szCs w:val="32"/>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年度区人社局</w:t>
      </w:r>
      <w:r>
        <w:rPr>
          <w:rFonts w:hint="eastAsia" w:asciiTheme="minorEastAsia" w:hAnsiTheme="minorEastAsia" w:eastAsiaTheme="minorEastAsia" w:cstheme="minorEastAsia"/>
          <w:b/>
          <w:bCs/>
          <w:sz w:val="32"/>
          <w:szCs w:val="32"/>
        </w:rPr>
        <w:t>预算支出与决算支出对比图</w:t>
      </w:r>
    </w:p>
    <w:p w14:paraId="238FAE56">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我单位202</w:t>
      </w:r>
      <w:r>
        <w:rPr>
          <w:rFonts w:ascii="仿宋_GB2312" w:eastAsia="仿宋_GB2312" w:cs="DengXian-Regular"/>
          <w:sz w:val="32"/>
          <w:szCs w:val="32"/>
        </w:rPr>
        <w:t>1</w:t>
      </w:r>
      <w:r>
        <w:rPr>
          <w:rFonts w:hint="eastAsia" w:ascii="仿宋_GB2312" w:eastAsia="仿宋_GB2312" w:cs="DengXian-Regular"/>
          <w:sz w:val="32"/>
          <w:szCs w:val="32"/>
        </w:rPr>
        <w:t>年实际项目支出1787.68万元，决算报表中项目支出1787.68万元，实际支出与决算报表差0万元。</w:t>
      </w:r>
    </w:p>
    <w:p w14:paraId="4764CAAA">
      <w:pPr>
        <w:pStyle w:val="4"/>
        <w:spacing w:before="0" w:after="0"/>
        <w:ind w:firstLine="643" w:firstLineChars="200"/>
        <w:jc w:val="both"/>
        <w:rPr>
          <w:rFonts w:ascii="仿宋_GB2312" w:hAnsi="Tahoma" w:cs="DengXian-Regular"/>
          <w:sz w:val="32"/>
        </w:rPr>
      </w:pPr>
      <w:bookmarkStart w:id="13" w:name="_Toc465149503"/>
      <w:bookmarkStart w:id="14" w:name="_Toc492652769"/>
      <w:bookmarkStart w:id="15" w:name="_Toc19291"/>
      <w:r>
        <w:rPr>
          <w:rFonts w:hint="eastAsia" w:ascii="仿宋_GB2312" w:hAnsi="Tahoma" w:cs="DengXian-Regular"/>
          <w:sz w:val="32"/>
        </w:rPr>
        <w:t>（五）“三公”经费预算安排及支出情况</w:t>
      </w:r>
      <w:bookmarkEnd w:id="13"/>
      <w:bookmarkEnd w:id="14"/>
      <w:bookmarkEnd w:id="15"/>
    </w:p>
    <w:p w14:paraId="261EEA4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年我单位“三公”经费预算9.00万元（公务用车运行维护费6.00万元，公务接待费3.00万元），实际支出6.87万元（公务用车运行维护费3.92万元，公务接待费2.95万元），比预算减少2.13万元，节约率23.67%。202</w:t>
      </w:r>
      <w:r>
        <w:rPr>
          <w:rFonts w:ascii="仿宋_GB2312" w:eastAsia="仿宋_GB2312" w:cs="DengXian-Regular"/>
          <w:sz w:val="32"/>
          <w:szCs w:val="32"/>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2020</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年实际支出相比，增加0.49万元。具体详见表1。</w:t>
      </w:r>
    </w:p>
    <w:p w14:paraId="52F269AC">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区人社局</w:t>
      </w:r>
      <w:r>
        <w:rPr>
          <w:rFonts w:hint="eastAsia" w:asciiTheme="minorEastAsia" w:hAnsiTheme="minorEastAsia" w:eastAsiaTheme="minorEastAsia" w:cstheme="minorEastAsia"/>
          <w:b/>
          <w:bCs/>
          <w:sz w:val="32"/>
          <w:szCs w:val="32"/>
        </w:rPr>
        <w:t>“三公”经费预算及决算明细表</w:t>
      </w:r>
    </w:p>
    <w:p w14:paraId="72D3703E">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0726AE21">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1395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4253E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7683A">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34AA6EAF">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ascii="宋体" w:hAnsi="宋体" w:eastAsia="宋体" w:cs="宋体"/>
                <w:b/>
                <w:bCs/>
                <w:color w:val="000000"/>
                <w:sz w:val="21"/>
                <w:szCs w:val="21"/>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34F8B">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37F3FCA0">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BD733">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298362">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D694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C93C19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5CFACD">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898CF4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80AD895">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1DCDA9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4B411FB7">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CEB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47826DF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FCB0">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A522">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0470">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F2A5AE">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EB6966">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4AF35C">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14:paraId="6A44C701">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3B0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CCD609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949F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5D8D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3.82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C60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E866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3.92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F04A41">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7DCCC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0.10</w:t>
            </w:r>
          </w:p>
        </w:tc>
      </w:tr>
      <w:tr w14:paraId="0D541CE5">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F19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7BB3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1C4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3AD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2.56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03F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930C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2.95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030D55">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9E1F3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0.39</w:t>
            </w:r>
          </w:p>
        </w:tc>
      </w:tr>
      <w:tr w14:paraId="28056C2E">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F3F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4BBEE7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0474">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18A1">
            <w:pPr>
              <w:spacing w:after="0"/>
              <w:ind w:firstLine="315" w:firstLineChars="150"/>
              <w:jc w:val="both"/>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6.38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E5EA">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D990E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6.87</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5D2A59">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6B151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0.49</w:t>
            </w:r>
          </w:p>
        </w:tc>
      </w:tr>
    </w:tbl>
    <w:p w14:paraId="2A90F28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ascii="仿宋_GB2312" w:eastAsia="仿宋_GB2312" w:cs="DengXian-Regular"/>
          <w:sz w:val="32"/>
          <w:szCs w:val="32"/>
        </w:rPr>
        <w:t>1</w:t>
      </w:r>
      <w:r>
        <w:rPr>
          <w:rFonts w:hint="eastAsia" w:ascii="仿宋_GB2312" w:eastAsia="仿宋_GB2312" w:cs="DengXian-Regular"/>
          <w:sz w:val="32"/>
          <w:szCs w:val="32"/>
        </w:rPr>
        <w:t>年底我单位车辆合计2辆，其中公务用车2辆，其他用车0辆。202</w:t>
      </w:r>
      <w:r>
        <w:rPr>
          <w:rFonts w:ascii="仿宋_GB2312" w:eastAsia="仿宋_GB2312" w:cs="DengXian-Regular"/>
          <w:sz w:val="32"/>
          <w:szCs w:val="32"/>
        </w:rPr>
        <w:t>1</w:t>
      </w:r>
      <w:r>
        <w:rPr>
          <w:rFonts w:hint="eastAsia" w:ascii="仿宋_GB2312" w:eastAsia="仿宋_GB2312" w:cs="DengXian-Regular"/>
          <w:sz w:val="32"/>
          <w:szCs w:val="32"/>
        </w:rPr>
        <w:t>年公务用车购置及运维费年初预算6.00万元，全部为公务用车运行维护费，实际支出3.92万元，比预算减少2.08万元，节约率34.67%。202</w:t>
      </w:r>
      <w:r>
        <w:rPr>
          <w:rFonts w:ascii="仿宋_GB2312" w:eastAsia="仿宋_GB2312" w:cs="DengXian-Regular"/>
          <w:sz w:val="32"/>
          <w:szCs w:val="32"/>
        </w:rPr>
        <w:t>1</w:t>
      </w:r>
      <w:r>
        <w:rPr>
          <w:rFonts w:hint="eastAsia" w:ascii="仿宋_GB2312" w:eastAsia="仿宋_GB2312" w:cs="DengXian-Regular"/>
          <w:sz w:val="32"/>
          <w:szCs w:val="32"/>
        </w:rPr>
        <w:t>年预算数与</w:t>
      </w:r>
      <w:r>
        <w:rPr>
          <w:rFonts w:ascii="仿宋_GB2312" w:eastAsia="仿宋_GB2312" w:cs="DengXian-Regular"/>
          <w:sz w:val="32"/>
          <w:szCs w:val="32"/>
        </w:rPr>
        <w:t>2020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年实际支出相比，增加0.10万元。</w:t>
      </w:r>
    </w:p>
    <w:p w14:paraId="7E1F526A">
      <w:pPr>
        <w:spacing w:after="0" w:line="360" w:lineRule="auto"/>
        <w:ind w:firstLine="640" w:firstLineChars="200"/>
        <w:jc w:val="both"/>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2、公务接待：202</w:t>
      </w:r>
      <w:r>
        <w:rPr>
          <w:rFonts w:ascii="仿宋_GB2312" w:eastAsia="仿宋_GB2312" w:cs="DengXian-Regular"/>
          <w:color w:val="000000" w:themeColor="text1"/>
          <w:sz w:val="32"/>
          <w:szCs w:val="32"/>
        </w:rPr>
        <w:t>1</w:t>
      </w:r>
      <w:r>
        <w:rPr>
          <w:rFonts w:hint="eastAsia" w:ascii="仿宋_GB2312" w:eastAsia="仿宋_GB2312" w:cs="DengXian-Regular"/>
          <w:color w:val="000000" w:themeColor="text1"/>
          <w:sz w:val="32"/>
          <w:szCs w:val="32"/>
        </w:rPr>
        <w:t>年我单位公务接待费年初预算3.00万元，实际支出2.96万元，比预算减少了0.04万元，节约率1.33%。202</w:t>
      </w:r>
      <w:r>
        <w:rPr>
          <w:rFonts w:ascii="仿宋_GB2312" w:eastAsia="仿宋_GB2312" w:cs="DengXian-Regular"/>
          <w:color w:val="000000" w:themeColor="text1"/>
          <w:sz w:val="32"/>
          <w:szCs w:val="32"/>
        </w:rPr>
        <w:t>1</w:t>
      </w:r>
      <w:r>
        <w:rPr>
          <w:rFonts w:hint="eastAsia" w:ascii="仿宋_GB2312" w:eastAsia="仿宋_GB2312" w:cs="DengXian-Regular"/>
          <w:color w:val="000000" w:themeColor="text1"/>
          <w:sz w:val="32"/>
          <w:szCs w:val="32"/>
        </w:rPr>
        <w:t>年预算数与</w:t>
      </w:r>
      <w:r>
        <w:rPr>
          <w:rFonts w:ascii="仿宋_GB2312" w:eastAsia="仿宋_GB2312" w:cs="DengXian-Regular"/>
          <w:color w:val="000000" w:themeColor="text1"/>
          <w:sz w:val="32"/>
          <w:szCs w:val="32"/>
        </w:rPr>
        <w:t>2020</w:t>
      </w:r>
      <w:r>
        <w:rPr>
          <w:rFonts w:hint="eastAsia" w:ascii="仿宋_GB2312" w:eastAsia="仿宋_GB2312" w:cs="DengXian-Regular"/>
          <w:color w:val="000000" w:themeColor="text1"/>
          <w:sz w:val="32"/>
          <w:szCs w:val="32"/>
        </w:rPr>
        <w:t>年预算相比无变化，决算数与</w:t>
      </w:r>
      <w:r>
        <w:rPr>
          <w:rFonts w:ascii="仿宋_GB2312" w:eastAsia="仿宋_GB2312" w:cs="DengXian-Regular"/>
          <w:color w:val="000000" w:themeColor="text1"/>
          <w:sz w:val="32"/>
          <w:szCs w:val="32"/>
        </w:rPr>
        <w:t>2020</w:t>
      </w:r>
      <w:r>
        <w:rPr>
          <w:rFonts w:hint="eastAsia" w:ascii="仿宋_GB2312" w:eastAsia="仿宋_GB2312" w:cs="DengXian-Regular"/>
          <w:color w:val="000000" w:themeColor="text1"/>
          <w:sz w:val="32"/>
          <w:szCs w:val="32"/>
        </w:rPr>
        <w:t>年实际支出相比，增加0.40万元。</w:t>
      </w:r>
    </w:p>
    <w:p w14:paraId="06C130C2">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14:paraId="38E75AD0">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根据绩效预算管理改革的有关政策和文件规定，并与我单位沟通，绩效评价工作组以绩效预算架构为指导，以部门预算文本及相关资料为基础，制定了部门整体支出绩效评价指标体系。</w:t>
      </w:r>
    </w:p>
    <w:p w14:paraId="590492B7">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14:paraId="1A48DADD">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6F066ADB">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1B58E9EA">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024FA44C">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14:paraId="0D44FC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08817A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700E2575">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14:paraId="2CBD6915">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14:paraId="165353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05080AA5">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4F581FC8">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33E130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7B9F0767">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14:paraId="49D4B69A">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316B2820">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通过对我单位202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62D7420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7369B38B">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057142AA">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2D8B0F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40A667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71EF7A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275599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3EC973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w:t>
      </w:r>
      <w:r>
        <w:rPr>
          <w:rFonts w:hint="eastAsia" w:ascii="仿宋_GB2312" w:eastAsia="仿宋_GB2312" w:cs="DengXian-Regular"/>
          <w:sz w:val="32"/>
          <w:szCs w:val="32"/>
          <w:lang w:eastAsia="zh-CN"/>
        </w:rPr>
        <w:t>〈</w:t>
      </w:r>
      <w:r>
        <w:rPr>
          <w:rFonts w:hint="eastAsia" w:ascii="仿宋_GB2312" w:eastAsia="仿宋_GB2312" w:cs="DengXian-Regular"/>
          <w:sz w:val="32"/>
          <w:szCs w:val="32"/>
        </w:rPr>
        <w:t>全面实施预算绩效管理推进工作方案</w:t>
      </w:r>
      <w:r>
        <w:rPr>
          <w:rFonts w:hint="eastAsia" w:ascii="仿宋_GB2312" w:eastAsia="仿宋_GB2312" w:cs="DengXian-Regular"/>
          <w:sz w:val="32"/>
          <w:szCs w:val="32"/>
          <w:lang w:eastAsia="zh-CN"/>
        </w:rPr>
        <w:t>〉</w:t>
      </w:r>
      <w:r>
        <w:rPr>
          <w:rFonts w:hint="eastAsia" w:ascii="仿宋_GB2312" w:eastAsia="仿宋_GB2312" w:cs="DengXian-Regular"/>
          <w:sz w:val="32"/>
          <w:szCs w:val="32"/>
        </w:rPr>
        <w:t>的通知》（徐政财字〔2019〕33号）；</w:t>
      </w:r>
    </w:p>
    <w:p w14:paraId="3024CA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7DF7D72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14:paraId="1A1EDFC2">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491F547A">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我单位202</w:t>
      </w:r>
      <w:r>
        <w:rPr>
          <w:rFonts w:ascii="仿宋_GB2312" w:eastAsia="仿宋_GB2312" w:cs="DengXian-Regular"/>
          <w:sz w:val="32"/>
          <w:szCs w:val="32"/>
        </w:rPr>
        <w:t>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6541C287">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5DA05A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16969A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57A5CB2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342936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6950D0F7">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30B030D7">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617E579D">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620F2FB9">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35D2F00E">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2E741BFE">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7E97DB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6FD64F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7DF2A9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经与我单位充分沟通，并充分收集相关资料，主要包括部门职责、工作活动、预决算文本、相关管理制度、资金使用等相关资料，为制定绩效评价实施方案和指标体系奠定了基础。</w:t>
      </w:r>
    </w:p>
    <w:p w14:paraId="62669F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7AD1B0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基于对我单位相关资料的收集，制定绩效评价实施方案和体系,确定最终方案。</w:t>
      </w:r>
    </w:p>
    <w:p w14:paraId="03D8DAE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214858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我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0E39B22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14:paraId="68CC6A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0CF231E4">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48E0103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我单位部门整体支出绩效评价总得分为95分，综合绩效评价等级为“优”。各项得分情况如下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6CEAAFC9">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745ED96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75235A5B">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3B2DB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307A7F16">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01CA599D">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1BA5BC64">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6C94401C">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18730F8E">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05B63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2F97056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3341240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（12分）</w:t>
            </w:r>
          </w:p>
        </w:tc>
        <w:tc>
          <w:tcPr>
            <w:tcW w:w="1418" w:type="dxa"/>
            <w:vMerge w:val="restart"/>
            <w:vAlign w:val="center"/>
          </w:tcPr>
          <w:p w14:paraId="1D2BA3E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绩效目标设定（6分）</w:t>
            </w:r>
          </w:p>
        </w:tc>
        <w:tc>
          <w:tcPr>
            <w:tcW w:w="1701" w:type="dxa"/>
            <w:vAlign w:val="center"/>
          </w:tcPr>
          <w:p w14:paraId="36D9AA9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291EA2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DF1A6E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4940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A78F032">
            <w:pPr>
              <w:spacing w:line="420" w:lineRule="exact"/>
              <w:ind w:firstLine="420" w:firstLineChars="200"/>
              <w:jc w:val="center"/>
              <w:rPr>
                <w:rFonts w:cs="宋体" w:asciiTheme="minorEastAsia" w:hAnsiTheme="minorEastAsia" w:eastAsiaTheme="minorEastAsia"/>
                <w:sz w:val="21"/>
                <w:szCs w:val="21"/>
              </w:rPr>
            </w:pPr>
          </w:p>
        </w:tc>
        <w:tc>
          <w:tcPr>
            <w:tcW w:w="1418" w:type="dxa"/>
            <w:vMerge w:val="continue"/>
            <w:vAlign w:val="center"/>
          </w:tcPr>
          <w:p w14:paraId="5E820CE7">
            <w:pPr>
              <w:spacing w:line="420" w:lineRule="exact"/>
              <w:ind w:firstLine="420" w:firstLineChars="200"/>
              <w:jc w:val="center"/>
              <w:rPr>
                <w:rFonts w:cs="宋体" w:asciiTheme="minorEastAsia" w:hAnsiTheme="minorEastAsia" w:eastAsiaTheme="minorEastAsia"/>
                <w:sz w:val="21"/>
                <w:szCs w:val="21"/>
              </w:rPr>
            </w:pPr>
          </w:p>
        </w:tc>
        <w:tc>
          <w:tcPr>
            <w:tcW w:w="1701" w:type="dxa"/>
            <w:vAlign w:val="center"/>
          </w:tcPr>
          <w:p w14:paraId="63F8932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75A1062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1CEC4B2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8BC4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953DE91">
            <w:pPr>
              <w:spacing w:line="420" w:lineRule="exact"/>
              <w:ind w:firstLine="420" w:firstLineChars="200"/>
              <w:jc w:val="center"/>
              <w:rPr>
                <w:rFonts w:cs="宋体" w:asciiTheme="minorEastAsia" w:hAnsiTheme="minorEastAsia" w:eastAsiaTheme="minorEastAsia"/>
                <w:sz w:val="21"/>
                <w:szCs w:val="21"/>
              </w:rPr>
            </w:pPr>
          </w:p>
        </w:tc>
        <w:tc>
          <w:tcPr>
            <w:tcW w:w="1418" w:type="dxa"/>
            <w:vMerge w:val="continue"/>
            <w:vAlign w:val="center"/>
          </w:tcPr>
          <w:p w14:paraId="2308E24D">
            <w:pPr>
              <w:spacing w:line="420" w:lineRule="exact"/>
              <w:ind w:firstLine="420" w:firstLineChars="200"/>
              <w:jc w:val="center"/>
              <w:rPr>
                <w:rFonts w:cs="宋体" w:asciiTheme="minorEastAsia" w:hAnsiTheme="minorEastAsia" w:eastAsiaTheme="minorEastAsia"/>
                <w:sz w:val="21"/>
                <w:szCs w:val="21"/>
              </w:rPr>
            </w:pPr>
          </w:p>
        </w:tc>
        <w:tc>
          <w:tcPr>
            <w:tcW w:w="1701" w:type="dxa"/>
            <w:vAlign w:val="center"/>
          </w:tcPr>
          <w:p w14:paraId="6A7C250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1F10B47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AB42C4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678B4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F5990E5">
            <w:pPr>
              <w:spacing w:line="420" w:lineRule="exact"/>
              <w:ind w:firstLine="420" w:firstLineChars="200"/>
              <w:jc w:val="center"/>
              <w:rPr>
                <w:rFonts w:cs="宋体" w:asciiTheme="minorEastAsia" w:hAnsiTheme="minorEastAsia" w:eastAsiaTheme="minorEastAsia"/>
                <w:sz w:val="21"/>
                <w:szCs w:val="21"/>
              </w:rPr>
            </w:pPr>
          </w:p>
        </w:tc>
        <w:tc>
          <w:tcPr>
            <w:tcW w:w="1418" w:type="dxa"/>
            <w:vMerge w:val="restart"/>
            <w:vAlign w:val="center"/>
          </w:tcPr>
          <w:p w14:paraId="2D776A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0328D8B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328C644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229CA02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1C23E7A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23D7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0599E46">
            <w:pPr>
              <w:spacing w:line="420" w:lineRule="exact"/>
              <w:ind w:firstLine="420" w:firstLineChars="200"/>
              <w:jc w:val="center"/>
              <w:rPr>
                <w:rFonts w:cs="宋体" w:asciiTheme="minorEastAsia" w:hAnsiTheme="minorEastAsia" w:eastAsiaTheme="minorEastAsia"/>
                <w:sz w:val="21"/>
                <w:szCs w:val="21"/>
              </w:rPr>
            </w:pPr>
          </w:p>
        </w:tc>
        <w:tc>
          <w:tcPr>
            <w:tcW w:w="1418" w:type="dxa"/>
            <w:vMerge w:val="continue"/>
            <w:vAlign w:val="center"/>
          </w:tcPr>
          <w:p w14:paraId="73C6AA84">
            <w:pPr>
              <w:spacing w:line="420" w:lineRule="exact"/>
              <w:ind w:firstLine="420" w:firstLineChars="200"/>
              <w:jc w:val="center"/>
              <w:rPr>
                <w:rFonts w:cs="宋体" w:asciiTheme="minorEastAsia" w:hAnsiTheme="minorEastAsia" w:eastAsiaTheme="minorEastAsia"/>
                <w:sz w:val="21"/>
                <w:szCs w:val="21"/>
              </w:rPr>
            </w:pPr>
          </w:p>
        </w:tc>
        <w:tc>
          <w:tcPr>
            <w:tcW w:w="1701" w:type="dxa"/>
            <w:vAlign w:val="center"/>
          </w:tcPr>
          <w:p w14:paraId="1E103E4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612FC3C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39B291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36049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5628586">
            <w:pPr>
              <w:spacing w:line="420" w:lineRule="exact"/>
              <w:ind w:firstLine="420" w:firstLineChars="200"/>
              <w:jc w:val="center"/>
              <w:rPr>
                <w:rFonts w:cs="宋体" w:asciiTheme="minorEastAsia" w:hAnsiTheme="minorEastAsia" w:eastAsiaTheme="minorEastAsia"/>
                <w:sz w:val="21"/>
                <w:szCs w:val="21"/>
              </w:rPr>
            </w:pPr>
          </w:p>
        </w:tc>
        <w:tc>
          <w:tcPr>
            <w:tcW w:w="1418" w:type="dxa"/>
            <w:vMerge w:val="continue"/>
            <w:vAlign w:val="center"/>
          </w:tcPr>
          <w:p w14:paraId="1DB4A84B">
            <w:pPr>
              <w:spacing w:line="420" w:lineRule="exact"/>
              <w:ind w:firstLine="420" w:firstLineChars="200"/>
              <w:jc w:val="center"/>
              <w:rPr>
                <w:rFonts w:cs="宋体" w:asciiTheme="minorEastAsia" w:hAnsiTheme="minorEastAsia" w:eastAsiaTheme="minorEastAsia"/>
                <w:sz w:val="21"/>
                <w:szCs w:val="21"/>
              </w:rPr>
            </w:pPr>
          </w:p>
        </w:tc>
        <w:tc>
          <w:tcPr>
            <w:tcW w:w="1701" w:type="dxa"/>
            <w:vAlign w:val="center"/>
          </w:tcPr>
          <w:p w14:paraId="2AF30F4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748C8C2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6F3DA7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51659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666059C1">
            <w:pPr>
              <w:spacing w:line="420" w:lineRule="exact"/>
              <w:ind w:firstLine="420" w:firstLineChars="20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1701" w:type="dxa"/>
            <w:vAlign w:val="center"/>
          </w:tcPr>
          <w:p w14:paraId="658C0703">
            <w:pPr>
              <w:spacing w:line="420" w:lineRule="exact"/>
              <w:ind w:firstLine="420" w:firstLineChars="200"/>
              <w:jc w:val="center"/>
              <w:rPr>
                <w:rFonts w:cs="宋体" w:asciiTheme="minorEastAsia" w:hAnsiTheme="minorEastAsia" w:eastAsiaTheme="minorEastAsia"/>
                <w:sz w:val="21"/>
                <w:szCs w:val="21"/>
              </w:rPr>
            </w:pPr>
          </w:p>
        </w:tc>
        <w:tc>
          <w:tcPr>
            <w:tcW w:w="1276" w:type="dxa"/>
            <w:vAlign w:val="center"/>
          </w:tcPr>
          <w:p w14:paraId="1B8FA1D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3B24267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bl>
    <w:p w14:paraId="64CF9CFF">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14:paraId="0EE227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006618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77CE6C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通过对比保定市徐水区委办公室及保定市徐水区人民政府办公室印发的《保定市徐水区人力资源和社会保障局职能配置内设机构和人员编制规定》和徐水区人力资源和社会保障局202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评价工作组认为区人社局部门职责符合“三定”方案中所赋予的职责，绩效目标设立依据充分，符合客观实际，与部门职责、工作规划和重点工作相关，工作活动和项目预算安排合理。</w:t>
      </w:r>
    </w:p>
    <w:p w14:paraId="0C4B33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43231B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486220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7FA141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14:paraId="564891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38E4CF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7BBA3752">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78EEE2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年预算文本—部门职责工作活动绩效目标,该指标实际得分2分。</w:t>
      </w:r>
    </w:p>
    <w:p w14:paraId="0791BD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435818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4CEA63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33E189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根据区人社局202</w:t>
      </w:r>
      <w:r>
        <w:rPr>
          <w:rFonts w:ascii="仿宋_GB2312" w:eastAsia="仿宋_GB2312" w:cs="DengXian-Regular"/>
          <w:sz w:val="32"/>
          <w:szCs w:val="32"/>
        </w:rPr>
        <w:t>1</w:t>
      </w:r>
      <w:r>
        <w:rPr>
          <w:rFonts w:hint="eastAsia" w:ascii="仿宋_GB2312" w:eastAsia="仿宋_GB2312" w:cs="DengXian-Regular"/>
          <w:sz w:val="32"/>
          <w:szCs w:val="32"/>
        </w:rPr>
        <w:t>年预算文本及相关会计资料，区人社局所有收入均已纳入部门预算，部门支出按基本支出、项目支出分别编制。</w:t>
      </w:r>
    </w:p>
    <w:p w14:paraId="72A4FE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6DCE1A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1398AB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63F810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7354ED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根据我单位202</w:t>
      </w:r>
      <w:r>
        <w:rPr>
          <w:rFonts w:ascii="仿宋_GB2312" w:eastAsia="仿宋_GB2312" w:cs="DengXian-Regular"/>
          <w:sz w:val="32"/>
          <w:szCs w:val="32"/>
        </w:rPr>
        <w:t>1</w:t>
      </w:r>
      <w:r>
        <w:rPr>
          <w:rFonts w:hint="eastAsia" w:ascii="仿宋_GB2312" w:eastAsia="仿宋_GB2312" w:cs="DengXian-Regular"/>
          <w:sz w:val="32"/>
          <w:szCs w:val="32"/>
        </w:rPr>
        <w:t>年预算文本—部门项目支出预算表，人社局2021年预算项目共12个（详见附件2-2-2），涉及资金1484.89万元，所有项目均细化到具体用款单位及项目资金额度。项目预算细化率=（1484.89/1484.89）*100%=100%</w:t>
      </w:r>
    </w:p>
    <w:p w14:paraId="02856E7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57F760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255565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ascii="仿宋_GB2312" w:eastAsia="仿宋_GB2312" w:cs="DengXian-Regular"/>
          <w:sz w:val="32"/>
          <w:szCs w:val="32"/>
        </w:rPr>
        <w:t>1</w:t>
      </w:r>
      <w:r>
        <w:rPr>
          <w:rFonts w:hint="eastAsia" w:ascii="仿宋_GB2312" w:eastAsia="仿宋_GB2312" w:cs="DengXian-Regular"/>
          <w:sz w:val="32"/>
          <w:szCs w:val="32"/>
        </w:rPr>
        <w:t>年底我单位在职人员控制情况，通过在职人员控制率衡量。</w:t>
      </w:r>
    </w:p>
    <w:p w14:paraId="11C152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4A623C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根据保定市徐水区委办公室及保定市徐水区人民政府办公室关于印发《保定市徐水区人力资源和社会保障局职能配置内设机构和人员编制规定》的通知，徐水区人社局人员编制为73人，根据我单位202</w:t>
      </w:r>
      <w:r>
        <w:rPr>
          <w:rFonts w:ascii="仿宋_GB2312" w:eastAsia="仿宋_GB2312" w:cs="DengXian-Regular"/>
          <w:sz w:val="32"/>
          <w:szCs w:val="32"/>
        </w:rPr>
        <w:t>1</w:t>
      </w:r>
      <w:r>
        <w:rPr>
          <w:rFonts w:hint="eastAsia" w:ascii="仿宋_GB2312" w:eastAsia="仿宋_GB2312" w:cs="DengXian-Regular"/>
          <w:sz w:val="32"/>
          <w:szCs w:val="32"/>
        </w:rPr>
        <w:t>年决算文本-部门基本情况表，截至202</w:t>
      </w:r>
      <w:r>
        <w:rPr>
          <w:rFonts w:ascii="仿宋_GB2312" w:eastAsia="仿宋_GB2312" w:cs="DengXian-Regular"/>
          <w:sz w:val="32"/>
          <w:szCs w:val="32"/>
        </w:rPr>
        <w:t>1</w:t>
      </w:r>
      <w:r>
        <w:rPr>
          <w:rFonts w:hint="eastAsia" w:ascii="仿宋_GB2312" w:eastAsia="仿宋_GB2312" w:cs="DengXian-Regular"/>
          <w:sz w:val="32"/>
          <w:szCs w:val="32"/>
        </w:rPr>
        <w:t>年底，在职人员71人，在职人员控制率=（71/73）*100%=97.26%。</w:t>
      </w:r>
    </w:p>
    <w:p w14:paraId="1E355D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bookmarkEnd w:id="60"/>
    <w:bookmarkEnd w:id="61"/>
    <w:p w14:paraId="70761604">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41DA3154">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099CD635">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71B0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59DFFB0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6224390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240B734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09B318A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6EA5366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1F50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65FC2F0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61CC95D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4D5855A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1B9510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21BB24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5DD1E0D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r>
      <w:tr w14:paraId="0C4C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A33D86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6BBEDEB">
            <w:pPr>
              <w:spacing w:line="420" w:lineRule="exact"/>
              <w:jc w:val="center"/>
              <w:rPr>
                <w:rFonts w:cs="宋体" w:asciiTheme="minorEastAsia" w:hAnsiTheme="minorEastAsia" w:eastAsiaTheme="minorEastAsia"/>
                <w:sz w:val="21"/>
                <w:szCs w:val="21"/>
              </w:rPr>
            </w:pPr>
          </w:p>
        </w:tc>
        <w:tc>
          <w:tcPr>
            <w:tcW w:w="2277" w:type="dxa"/>
            <w:vAlign w:val="center"/>
          </w:tcPr>
          <w:p w14:paraId="11AE133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226ADC2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D5752E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C04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C08A97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A428D2C">
            <w:pPr>
              <w:spacing w:line="420" w:lineRule="exact"/>
              <w:jc w:val="center"/>
              <w:rPr>
                <w:rFonts w:cs="宋体" w:asciiTheme="minorEastAsia" w:hAnsiTheme="minorEastAsia" w:eastAsiaTheme="minorEastAsia"/>
                <w:sz w:val="21"/>
                <w:szCs w:val="21"/>
              </w:rPr>
            </w:pPr>
          </w:p>
        </w:tc>
        <w:tc>
          <w:tcPr>
            <w:tcW w:w="2277" w:type="dxa"/>
            <w:vAlign w:val="center"/>
          </w:tcPr>
          <w:p w14:paraId="783509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553D306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3C690C4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r>
      <w:tr w14:paraId="1621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A6A5F9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1353711">
            <w:pPr>
              <w:spacing w:line="420" w:lineRule="exact"/>
              <w:jc w:val="center"/>
              <w:rPr>
                <w:rFonts w:cs="宋体" w:asciiTheme="minorEastAsia" w:hAnsiTheme="minorEastAsia" w:eastAsiaTheme="minorEastAsia"/>
                <w:sz w:val="21"/>
                <w:szCs w:val="21"/>
              </w:rPr>
            </w:pPr>
          </w:p>
        </w:tc>
        <w:tc>
          <w:tcPr>
            <w:tcW w:w="2277" w:type="dxa"/>
            <w:vAlign w:val="center"/>
          </w:tcPr>
          <w:p w14:paraId="5F240BC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2BA5E82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DDFFCD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5F0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195881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C2FADA9">
            <w:pPr>
              <w:spacing w:line="420" w:lineRule="exact"/>
              <w:jc w:val="center"/>
              <w:rPr>
                <w:rFonts w:cs="宋体" w:asciiTheme="minorEastAsia" w:hAnsiTheme="minorEastAsia" w:eastAsiaTheme="minorEastAsia"/>
                <w:sz w:val="21"/>
                <w:szCs w:val="21"/>
              </w:rPr>
            </w:pPr>
          </w:p>
        </w:tc>
        <w:tc>
          <w:tcPr>
            <w:tcW w:w="2277" w:type="dxa"/>
            <w:vAlign w:val="center"/>
          </w:tcPr>
          <w:p w14:paraId="79BAD4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4FC02E1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C78ED0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1EA9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58F794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D9965F0">
            <w:pPr>
              <w:spacing w:line="420" w:lineRule="exact"/>
              <w:jc w:val="center"/>
              <w:rPr>
                <w:rFonts w:cs="宋体" w:asciiTheme="minorEastAsia" w:hAnsiTheme="minorEastAsia" w:eastAsiaTheme="minorEastAsia"/>
                <w:sz w:val="21"/>
                <w:szCs w:val="21"/>
              </w:rPr>
            </w:pPr>
          </w:p>
        </w:tc>
        <w:tc>
          <w:tcPr>
            <w:tcW w:w="2277" w:type="dxa"/>
            <w:vAlign w:val="center"/>
          </w:tcPr>
          <w:p w14:paraId="040A18E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61808BC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1191E0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2E35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E1050D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E4382C7">
            <w:pPr>
              <w:spacing w:line="420" w:lineRule="exact"/>
              <w:jc w:val="center"/>
              <w:rPr>
                <w:rFonts w:cs="宋体" w:asciiTheme="minorEastAsia" w:hAnsiTheme="minorEastAsia" w:eastAsiaTheme="minorEastAsia"/>
                <w:sz w:val="21"/>
                <w:szCs w:val="21"/>
              </w:rPr>
            </w:pPr>
          </w:p>
        </w:tc>
        <w:tc>
          <w:tcPr>
            <w:tcW w:w="2277" w:type="dxa"/>
            <w:vAlign w:val="center"/>
          </w:tcPr>
          <w:p w14:paraId="1648EB2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0AD468C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1607DF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077A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A862B0D">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55046D9">
            <w:pPr>
              <w:spacing w:line="420" w:lineRule="exact"/>
              <w:jc w:val="center"/>
              <w:rPr>
                <w:rFonts w:cs="宋体" w:asciiTheme="minorEastAsia" w:hAnsiTheme="minorEastAsia" w:eastAsiaTheme="minorEastAsia"/>
                <w:sz w:val="21"/>
                <w:szCs w:val="21"/>
              </w:rPr>
            </w:pPr>
          </w:p>
        </w:tc>
        <w:tc>
          <w:tcPr>
            <w:tcW w:w="2277" w:type="dxa"/>
            <w:vAlign w:val="center"/>
          </w:tcPr>
          <w:p w14:paraId="1F05FF9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38B0A56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9BAEA3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16B2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0C85B3A">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4755866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5475CEA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4438ED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3599DFD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1FEDE0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D75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55A2B6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78AB203">
            <w:pPr>
              <w:spacing w:line="420" w:lineRule="exact"/>
              <w:jc w:val="center"/>
              <w:rPr>
                <w:rFonts w:cs="宋体" w:asciiTheme="minorEastAsia" w:hAnsiTheme="minorEastAsia" w:eastAsiaTheme="minorEastAsia"/>
                <w:sz w:val="21"/>
                <w:szCs w:val="21"/>
              </w:rPr>
            </w:pPr>
          </w:p>
        </w:tc>
        <w:tc>
          <w:tcPr>
            <w:tcW w:w="2277" w:type="dxa"/>
            <w:vAlign w:val="center"/>
          </w:tcPr>
          <w:p w14:paraId="5A49052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0AC13E8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B97C4C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123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1121E1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37A0092">
            <w:pPr>
              <w:spacing w:line="420" w:lineRule="exact"/>
              <w:jc w:val="center"/>
              <w:rPr>
                <w:rFonts w:cs="宋体" w:asciiTheme="minorEastAsia" w:hAnsiTheme="minorEastAsia" w:eastAsiaTheme="minorEastAsia"/>
                <w:sz w:val="21"/>
                <w:szCs w:val="21"/>
              </w:rPr>
            </w:pPr>
          </w:p>
        </w:tc>
        <w:tc>
          <w:tcPr>
            <w:tcW w:w="2277" w:type="dxa"/>
            <w:vAlign w:val="center"/>
          </w:tcPr>
          <w:p w14:paraId="5C3D98F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68D88B5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FE3ACB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339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25628A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459A935">
            <w:pPr>
              <w:spacing w:line="420" w:lineRule="exact"/>
              <w:jc w:val="center"/>
              <w:rPr>
                <w:rFonts w:cs="宋体" w:asciiTheme="minorEastAsia" w:hAnsiTheme="minorEastAsia" w:eastAsiaTheme="minorEastAsia"/>
                <w:sz w:val="21"/>
                <w:szCs w:val="21"/>
              </w:rPr>
            </w:pPr>
          </w:p>
        </w:tc>
        <w:tc>
          <w:tcPr>
            <w:tcW w:w="2277" w:type="dxa"/>
            <w:vAlign w:val="center"/>
          </w:tcPr>
          <w:p w14:paraId="5BDA10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4FB9FD8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75CB6C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8A8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2D0AAA3A">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6859498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7CE63CD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2B1639A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57005AF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EB519E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756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exact"/>
          <w:jc w:val="center"/>
        </w:trPr>
        <w:tc>
          <w:tcPr>
            <w:tcW w:w="1557" w:type="dxa"/>
            <w:vMerge w:val="continue"/>
            <w:vAlign w:val="center"/>
          </w:tcPr>
          <w:p w14:paraId="26C61FB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E62F082">
            <w:pPr>
              <w:spacing w:line="420" w:lineRule="exact"/>
              <w:jc w:val="center"/>
              <w:rPr>
                <w:rFonts w:cs="宋体" w:asciiTheme="minorEastAsia" w:hAnsiTheme="minorEastAsia" w:eastAsiaTheme="minorEastAsia"/>
                <w:sz w:val="21"/>
                <w:szCs w:val="21"/>
              </w:rPr>
            </w:pPr>
          </w:p>
        </w:tc>
        <w:tc>
          <w:tcPr>
            <w:tcW w:w="2277" w:type="dxa"/>
            <w:vAlign w:val="center"/>
          </w:tcPr>
          <w:p w14:paraId="35E9D81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0D0904A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4C93E3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593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76AD276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0FA155A0">
            <w:pPr>
              <w:spacing w:line="420" w:lineRule="exact"/>
              <w:jc w:val="center"/>
              <w:rPr>
                <w:rFonts w:cs="宋体" w:asciiTheme="minorEastAsia" w:hAnsiTheme="minorEastAsia" w:eastAsiaTheme="minorEastAsia"/>
                <w:sz w:val="21"/>
                <w:szCs w:val="21"/>
              </w:rPr>
            </w:pPr>
          </w:p>
        </w:tc>
        <w:tc>
          <w:tcPr>
            <w:tcW w:w="1155" w:type="dxa"/>
            <w:vAlign w:val="center"/>
          </w:tcPr>
          <w:p w14:paraId="25B249D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1FFF3D5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45</w:t>
            </w:r>
          </w:p>
        </w:tc>
      </w:tr>
      <w:bookmarkEnd w:id="63"/>
    </w:tbl>
    <w:p w14:paraId="6618BD30">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14:paraId="235F95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1F6CF2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7036EA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313CA0BA">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sz w:val="32"/>
          <w:szCs w:val="32"/>
        </w:rPr>
        <w:t>根据区人社局提供的保定市财政局下发的预算指标文件，其中：徐财预指[2021]3-1033号追加第二季度政法稳定工作经费15.74万元；  徐财预指徐财预指[2021]1-0006号追加行政运行人员经费2.89万元；徐财预指[2021]1-0007号追加行政运行人员经费2.4万元；徐财预指[2021]1-0006号追加办公经费11.3万元、徐财预指[2021]3-0003号追加行政运行人员经费244.35万元</w:t>
      </w:r>
      <w:r>
        <w:rPr>
          <w:rFonts w:hint="eastAsia" w:ascii="仿宋_GB2312" w:eastAsia="仿宋_GB2312" w:cs="DengXian-Regular"/>
          <w:color w:val="000000" w:themeColor="text1"/>
          <w:sz w:val="32"/>
          <w:szCs w:val="32"/>
        </w:rPr>
        <w:t>；区人社局202</w:t>
      </w:r>
      <w:r>
        <w:rPr>
          <w:rFonts w:ascii="仿宋_GB2312" w:eastAsia="仿宋_GB2312" w:cs="DengXian-Regular"/>
          <w:color w:val="000000" w:themeColor="text1"/>
          <w:sz w:val="32"/>
          <w:szCs w:val="32"/>
        </w:rPr>
        <w:t>1</w:t>
      </w:r>
      <w:r>
        <w:rPr>
          <w:rFonts w:hint="eastAsia" w:ascii="仿宋_GB2312" w:eastAsia="仿宋_GB2312" w:cs="DengXian-Regular"/>
          <w:color w:val="000000" w:themeColor="text1"/>
          <w:sz w:val="32"/>
          <w:szCs w:val="32"/>
        </w:rPr>
        <w:t>年度预算收入的追加数为276.68万元，年初预算数为2441.99万元，预算收入调整率为11.33%。</w:t>
      </w:r>
    </w:p>
    <w:p w14:paraId="5C6A58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该项指标实际得分1分。</w:t>
      </w:r>
    </w:p>
    <w:p w14:paraId="71C240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422900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63B5BEA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073C22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根据我单位202</w:t>
      </w:r>
      <w:r>
        <w:rPr>
          <w:rFonts w:ascii="仿宋_GB2312" w:eastAsia="仿宋_GB2312" w:cs="DengXian-Regular"/>
          <w:sz w:val="32"/>
          <w:szCs w:val="32"/>
        </w:rPr>
        <w:t>1</w:t>
      </w:r>
      <w:r>
        <w:rPr>
          <w:rFonts w:hint="eastAsia" w:ascii="仿宋_GB2312" w:eastAsia="仿宋_GB2312" w:cs="DengXian-Regular"/>
          <w:sz w:val="32"/>
          <w:szCs w:val="32"/>
        </w:rPr>
        <w:t>年预算文本、决算文本，202</w:t>
      </w:r>
      <w:r>
        <w:rPr>
          <w:rFonts w:ascii="仿宋_GB2312" w:eastAsia="仿宋_GB2312" w:cs="DengXian-Regular"/>
          <w:sz w:val="32"/>
          <w:szCs w:val="32"/>
        </w:rPr>
        <w:t>1</w:t>
      </w:r>
      <w:r>
        <w:rPr>
          <w:rFonts w:hint="eastAsia" w:ascii="仿宋_GB2312" w:eastAsia="仿宋_GB2312" w:cs="DengXian-Regular"/>
          <w:sz w:val="32"/>
          <w:szCs w:val="32"/>
        </w:rPr>
        <w:t>年收入预算数2441.99万元，收入决算数2718.68万元，收入完成率=（决算数/预算数）*100%=111.33%。</w:t>
      </w:r>
    </w:p>
    <w:p w14:paraId="74B7C2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147CA4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223738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1AC54B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1F87026A">
      <w:pPr>
        <w:spacing w:after="0" w:line="360" w:lineRule="auto"/>
        <w:ind w:firstLine="640" w:firstLineChars="200"/>
        <w:jc w:val="both"/>
        <w:textAlignment w:val="baseline"/>
        <w:rPr>
          <w:rFonts w:hint="eastAsia" w:ascii="仿宋_GB2312" w:eastAsia="仿宋_GB2312" w:cs="DengXian-Regular"/>
          <w:color w:val="000000" w:themeColor="text1"/>
          <w:sz w:val="32"/>
          <w:szCs w:val="32"/>
        </w:rPr>
      </w:pPr>
      <w:r>
        <w:rPr>
          <w:rFonts w:hint="eastAsia" w:ascii="仿宋_GB2312" w:eastAsia="仿宋_GB2312" w:cs="DengXian-Regular"/>
          <w:sz w:val="32"/>
          <w:szCs w:val="32"/>
        </w:rPr>
        <w:t>根据区人社局提供的保定市财政局下发的预算指标文件，其中：徐财预指[2021]3-1033号追加第二季度政法稳定工作经费15.74万元；  徐财预指徐财预指[2021]1-0006号追加行政运行人员经费2.89万元；徐财预指[2021]1-0007号追加行政运行人员经费2.4万元；徐财预指[2021]1-0006号追加办公经费11.3万元、徐财预指[2021]3-0003号追加行政运行人员经费244.35万元</w:t>
      </w:r>
      <w:r>
        <w:rPr>
          <w:rFonts w:hint="eastAsia" w:ascii="仿宋_GB2312" w:eastAsia="仿宋_GB2312" w:cs="DengXian-Regular"/>
          <w:color w:val="000000" w:themeColor="text1"/>
          <w:sz w:val="32"/>
          <w:szCs w:val="32"/>
        </w:rPr>
        <w:t>；区人社局202</w:t>
      </w:r>
      <w:r>
        <w:rPr>
          <w:rFonts w:ascii="仿宋_GB2312" w:eastAsia="仿宋_GB2312" w:cs="DengXian-Regular"/>
          <w:color w:val="000000" w:themeColor="text1"/>
          <w:sz w:val="32"/>
          <w:szCs w:val="32"/>
        </w:rPr>
        <w:t>1</w:t>
      </w:r>
      <w:r>
        <w:rPr>
          <w:rFonts w:hint="eastAsia" w:ascii="仿宋_GB2312" w:eastAsia="仿宋_GB2312" w:cs="DengXian-Regular"/>
          <w:color w:val="000000" w:themeColor="text1"/>
          <w:sz w:val="32"/>
          <w:szCs w:val="32"/>
        </w:rPr>
        <w:t>年度预算收入的追加数为276.68万元</w:t>
      </w:r>
    </w:p>
    <w:p w14:paraId="410D91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该指标实际得分1分。</w:t>
      </w:r>
    </w:p>
    <w:p w14:paraId="3CBBDD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5B846D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2C778B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4C95A7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我单位提供的202</w:t>
      </w:r>
      <w:r>
        <w:rPr>
          <w:rFonts w:ascii="仿宋_GB2312" w:eastAsia="仿宋_GB2312" w:cs="DengXian-Regular"/>
          <w:sz w:val="32"/>
          <w:szCs w:val="32"/>
        </w:rPr>
        <w:t>1</w:t>
      </w:r>
      <w:r>
        <w:rPr>
          <w:rFonts w:hint="eastAsia" w:ascii="仿宋_GB2312" w:eastAsia="仿宋_GB2312" w:cs="DengXian-Regular"/>
          <w:sz w:val="32"/>
          <w:szCs w:val="32"/>
        </w:rPr>
        <w:t>年决算文本，部门决算财政拨款支出数2829.86万元，财政拨款收入数2713.41万元，财政拨款支出率=（财政拨款支出数/财政拨款收入数）*100%=104.29%</w:t>
      </w:r>
      <w:r>
        <w:rPr>
          <w:rFonts w:ascii="Arial" w:hAnsi="Arial" w:eastAsia="仿宋_GB2312" w:cs="Arial"/>
          <w:sz w:val="32"/>
          <w:szCs w:val="32"/>
        </w:rPr>
        <w:t>≥</w:t>
      </w:r>
      <w:r>
        <w:rPr>
          <w:rFonts w:hint="eastAsia" w:ascii="仿宋_GB2312" w:eastAsia="仿宋_GB2312" w:cs="DengXian-Regular"/>
          <w:sz w:val="32"/>
          <w:szCs w:val="32"/>
        </w:rPr>
        <w:t>90%。我单位202</w:t>
      </w:r>
      <w:r>
        <w:rPr>
          <w:rFonts w:ascii="仿宋_GB2312" w:eastAsia="仿宋_GB2312" w:cs="DengXian-Regular"/>
          <w:sz w:val="32"/>
          <w:szCs w:val="32"/>
        </w:rPr>
        <w:t>1</w:t>
      </w:r>
      <w:r>
        <w:rPr>
          <w:rFonts w:hint="eastAsia" w:ascii="仿宋_GB2312" w:eastAsia="仿宋_GB2312" w:cs="DengXian-Regular"/>
          <w:sz w:val="32"/>
          <w:szCs w:val="32"/>
        </w:rPr>
        <w:t>年年初结转和结余116.45万元，故支出数大于收入数。</w:t>
      </w:r>
    </w:p>
    <w:p w14:paraId="15C9B8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67F4E0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679413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482F26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67755B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根据我单位202</w:t>
      </w:r>
      <w:r>
        <w:rPr>
          <w:rFonts w:ascii="仿宋_GB2312" w:eastAsia="仿宋_GB2312" w:cs="DengXian-Regular"/>
          <w:sz w:val="32"/>
          <w:szCs w:val="32"/>
        </w:rPr>
        <w:t>1</w:t>
      </w:r>
      <w:r>
        <w:rPr>
          <w:rFonts w:hint="eastAsia" w:ascii="仿宋_GB2312" w:eastAsia="仿宋_GB2312" w:cs="DengXian-Regular"/>
          <w:sz w:val="32"/>
          <w:szCs w:val="32"/>
        </w:rPr>
        <w:t>年预算文本及决算文本，“三公”经费年初预算数9万元，年末决算数6.87万元，“三公”经费控制率=（年末决算数/年初预算数）*100%=76.33%</w:t>
      </w:r>
      <w:r>
        <w:rPr>
          <w:rFonts w:hint="eastAsia" w:ascii="Arial" w:hAnsi="Arial" w:eastAsia="仿宋_GB2312" w:cs="Arial"/>
          <w:sz w:val="32"/>
          <w:szCs w:val="32"/>
        </w:rPr>
        <w:t>＜</w:t>
      </w:r>
      <w:r>
        <w:rPr>
          <w:rFonts w:hint="eastAsia" w:ascii="仿宋_GB2312" w:eastAsia="仿宋_GB2312" w:cs="DengXian-Regular"/>
          <w:sz w:val="32"/>
          <w:szCs w:val="32"/>
        </w:rPr>
        <w:t>100%。</w:t>
      </w:r>
    </w:p>
    <w:p w14:paraId="391BA6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66F428C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122BFF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74E9C6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0A0F7B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根据我单位202</w:t>
      </w:r>
      <w:r>
        <w:rPr>
          <w:rFonts w:ascii="仿宋_GB2312" w:eastAsia="仿宋_GB2312" w:cs="DengXian-Regular"/>
          <w:sz w:val="32"/>
          <w:szCs w:val="32"/>
        </w:rPr>
        <w:t>1</w:t>
      </w:r>
      <w:r>
        <w:rPr>
          <w:rFonts w:hint="eastAsia" w:ascii="仿宋_GB2312" w:eastAsia="仿宋_GB2312" w:cs="DengXian-Regular"/>
          <w:sz w:val="32"/>
          <w:szCs w:val="32"/>
        </w:rPr>
        <w:t>年预算文本及决算文本，政府采购年初预算数72万元，年末决算数63.45万元，政府采购执行率为88.13%。</w:t>
      </w:r>
    </w:p>
    <w:p w14:paraId="658AA1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该指标实际得分为2分。</w:t>
      </w:r>
    </w:p>
    <w:p w14:paraId="005CA2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55FE2F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39AD10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根据我单位202</w:t>
      </w:r>
      <w:r>
        <w:rPr>
          <w:rFonts w:ascii="仿宋_GB2312" w:eastAsia="仿宋_GB2312" w:cs="DengXian-Regular"/>
          <w:sz w:val="32"/>
          <w:szCs w:val="32"/>
        </w:rPr>
        <w:t>1</w:t>
      </w:r>
      <w:r>
        <w:rPr>
          <w:rFonts w:hint="eastAsia" w:ascii="仿宋_GB2312" w:eastAsia="仿宋_GB2312" w:cs="DengXian-Regular"/>
          <w:sz w:val="32"/>
          <w:szCs w:val="32"/>
        </w:rPr>
        <w:t>年明细账、会计凭证等相关资料，区人社局资金使用符合相关会计准则和财务制度，资金拨付有完备的审批程序和手续，资金使用符合部门预算批复的用途，未发现截留、挤占、挪用财政资金的情况。</w:t>
      </w:r>
    </w:p>
    <w:p w14:paraId="75E3D6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48A822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773F687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1F1AC1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经核查我单位202</w:t>
      </w:r>
      <w:r>
        <w:rPr>
          <w:rFonts w:ascii="仿宋_GB2312" w:eastAsia="仿宋_GB2312" w:cs="DengXian-Regular"/>
          <w:sz w:val="32"/>
          <w:szCs w:val="32"/>
        </w:rPr>
        <w:t>1</w:t>
      </w:r>
      <w:r>
        <w:rPr>
          <w:rFonts w:hint="eastAsia" w:ascii="仿宋_GB2312" w:eastAsia="仿宋_GB2312" w:cs="DengXian-Regular"/>
          <w:sz w:val="32"/>
          <w:szCs w:val="32"/>
        </w:rPr>
        <w:t>年决算文本、明细账及总账，区人社局决算文本数据均与明细账、总账一致。</w:t>
      </w:r>
    </w:p>
    <w:p w14:paraId="7025EC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3D4ACE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439C84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2CEEA8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4D19F7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我单位工作制度涵盖了财务制度、网络安全制度、公务用车制度等相关制度，经检查我单位付款流程审批单、资产盘点表等资料，我单位已按照相关管理制度的规定执行。</w:t>
      </w:r>
    </w:p>
    <w:p w14:paraId="54F3AD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0F61D2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24350C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2A6D49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我单位202</w:t>
      </w:r>
      <w:r>
        <w:rPr>
          <w:rFonts w:ascii="仿宋_GB2312" w:eastAsia="仿宋_GB2312" w:cs="DengXian-Regular"/>
          <w:sz w:val="32"/>
          <w:szCs w:val="32"/>
        </w:rPr>
        <w:t>1</w:t>
      </w:r>
      <w:r>
        <w:rPr>
          <w:rFonts w:hint="eastAsia" w:ascii="仿宋_GB2312" w:eastAsia="仿宋_GB2312" w:cs="DengXian-Regular"/>
          <w:sz w:val="32"/>
          <w:szCs w:val="32"/>
        </w:rPr>
        <w:t>年按政府信息公开的有关要求在保定市徐水区人民政府网公开了202</w:t>
      </w:r>
      <w:r>
        <w:rPr>
          <w:rFonts w:ascii="仿宋_GB2312" w:eastAsia="仿宋_GB2312" w:cs="DengXian-Regular"/>
          <w:sz w:val="32"/>
          <w:szCs w:val="32"/>
        </w:rPr>
        <w:t>1</w:t>
      </w:r>
      <w:r>
        <w:rPr>
          <w:rFonts w:hint="eastAsia" w:ascii="仿宋_GB2312" w:eastAsia="仿宋_GB2312" w:cs="DengXian-Regular"/>
          <w:sz w:val="32"/>
          <w:szCs w:val="32"/>
        </w:rPr>
        <w:t>年的预决算情况、部门责任清单、行政监督清单等相关信息。</w:t>
      </w:r>
    </w:p>
    <w:p w14:paraId="61FC89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370C27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09A611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5CD5CB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根据我单位提供的会计账簿、凭证及其他相关资料，区人社局会计信息资料真实完整，</w:t>
      </w:r>
    </w:p>
    <w:p w14:paraId="77284E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0739ED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52EC70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0B9A26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我单位建立了固定资产台账、无形资产台账，资产保存完整，202</w:t>
      </w:r>
      <w:r>
        <w:rPr>
          <w:rFonts w:ascii="仿宋_GB2312" w:eastAsia="仿宋_GB2312" w:cs="DengXian-Regular"/>
          <w:sz w:val="32"/>
          <w:szCs w:val="32"/>
        </w:rPr>
        <w:t>1</w:t>
      </w:r>
      <w:r>
        <w:rPr>
          <w:rFonts w:hint="eastAsia" w:ascii="仿宋_GB2312" w:eastAsia="仿宋_GB2312" w:cs="DengXian-Regular"/>
          <w:sz w:val="32"/>
          <w:szCs w:val="32"/>
        </w:rPr>
        <w:t>年新增资产25.32万元，包含：通用设备（22.14万元）、电脑及计算机设备（22.14万元）、家具、用具、装具及动植物（3.18万元），资产购置手续完备，配置符合要求，资产管理整体较规范。</w:t>
      </w:r>
    </w:p>
    <w:p w14:paraId="2249F9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205F34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576EA8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0B9B2A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0F9427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1000BA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ascii="仿宋_GB2312" w:eastAsia="仿宋_GB2312" w:cs="DengXian-Regular"/>
          <w:sz w:val="32"/>
          <w:szCs w:val="32"/>
        </w:rPr>
        <w:t>1</w:t>
      </w:r>
      <w:r>
        <w:rPr>
          <w:rFonts w:hint="eastAsia" w:ascii="仿宋_GB2312" w:eastAsia="仿宋_GB2312" w:cs="DengXian-Regular"/>
          <w:sz w:val="32"/>
          <w:szCs w:val="32"/>
        </w:rPr>
        <w:t>年度财政专项资金部门绩效自评价工作的通知》及徐水区人社局202</w:t>
      </w:r>
      <w:r>
        <w:rPr>
          <w:rFonts w:ascii="仿宋_GB2312" w:eastAsia="仿宋_GB2312" w:cs="DengXian-Regular"/>
          <w:sz w:val="32"/>
          <w:szCs w:val="32"/>
        </w:rPr>
        <w:t>1</w:t>
      </w:r>
      <w:r>
        <w:rPr>
          <w:rFonts w:hint="eastAsia" w:ascii="仿宋_GB2312" w:eastAsia="仿宋_GB2312" w:cs="DengXian-Regular"/>
          <w:sz w:val="32"/>
          <w:szCs w:val="32"/>
        </w:rPr>
        <w:t>年一般项目部门绩效自评表，区人社局202</w:t>
      </w:r>
      <w:r>
        <w:rPr>
          <w:rFonts w:ascii="仿宋_GB2312" w:eastAsia="仿宋_GB2312" w:cs="DengXian-Regular"/>
          <w:sz w:val="32"/>
          <w:szCs w:val="32"/>
        </w:rPr>
        <w:t>1</w:t>
      </w:r>
      <w:r>
        <w:rPr>
          <w:rFonts w:hint="eastAsia" w:ascii="仿宋_GB2312" w:eastAsia="仿宋_GB2312" w:cs="DengXian-Regular"/>
          <w:sz w:val="32"/>
          <w:szCs w:val="32"/>
        </w:rPr>
        <w:t>年开展绩效自评的项目数为11个，年初预算文本项目数11个，要求自评项目个数11个，自评覆盖率为100%。</w:t>
      </w:r>
    </w:p>
    <w:p w14:paraId="782404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436B4E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52E8BC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4B6273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422823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区人社局202</w:t>
      </w:r>
      <w:r>
        <w:rPr>
          <w:rFonts w:ascii="仿宋_GB2312" w:eastAsia="仿宋_GB2312" w:cs="DengXian-Regular"/>
          <w:sz w:val="32"/>
          <w:szCs w:val="32"/>
        </w:rPr>
        <w:t>1</w:t>
      </w:r>
      <w:r>
        <w:rPr>
          <w:rFonts w:hint="eastAsia" w:ascii="仿宋_GB2312" w:eastAsia="仿宋_GB2312" w:cs="DengXian-Regular"/>
          <w:sz w:val="32"/>
          <w:szCs w:val="32"/>
        </w:rPr>
        <w:t>年参评数量11个，绩效评价结果达到优等的数量11个，绩效评价优等率为100%。</w:t>
      </w:r>
    </w:p>
    <w:p w14:paraId="2C101F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bookmarkEnd w:id="64"/>
      <w:bookmarkEnd w:id="65"/>
    </w:p>
    <w:p w14:paraId="7AC6E5E5">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2CCA91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该一级指标包含责任履行一个二级指标，主要反映结转结余率，项目资金使用率，就业失业发放人数。</w:t>
      </w:r>
    </w:p>
    <w:p w14:paraId="6426BC45">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55BF4D36">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572CA3D3">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0E86D54C">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18AB16AF">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125CB741">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5B056EA0">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7FAE3CB0">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6C624C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049B6B6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488052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69B0713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4A9874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w:t>
            </w:r>
          </w:p>
        </w:tc>
        <w:tc>
          <w:tcPr>
            <w:tcW w:w="853" w:type="dxa"/>
            <w:tcBorders>
              <w:top w:val="single" w:color="000000" w:sz="4" w:space="0"/>
              <w:left w:val="single" w:color="000000" w:sz="4" w:space="0"/>
              <w:bottom w:val="single" w:color="000000" w:sz="4" w:space="0"/>
              <w:right w:val="single" w:color="000000" w:sz="4" w:space="0"/>
            </w:tcBorders>
            <w:vAlign w:val="center"/>
          </w:tcPr>
          <w:p w14:paraId="5079D7E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w:t>
            </w:r>
          </w:p>
        </w:tc>
      </w:tr>
      <w:tr w14:paraId="1BD2ACC9">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395AF79">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24E77687">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03516D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CD3CF4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c>
          <w:tcPr>
            <w:tcW w:w="853" w:type="dxa"/>
            <w:tcBorders>
              <w:top w:val="single" w:color="000000" w:sz="4" w:space="0"/>
              <w:left w:val="single" w:color="000000" w:sz="4" w:space="0"/>
              <w:bottom w:val="single" w:color="000000" w:sz="4" w:space="0"/>
              <w:right w:val="single" w:color="000000" w:sz="4" w:space="0"/>
            </w:tcBorders>
            <w:vAlign w:val="center"/>
          </w:tcPr>
          <w:p w14:paraId="48055A3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r>
      <w:tr w14:paraId="118DB85C">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A8CD757">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0E758FD">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082ECD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就业、失业工作发放人数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2602984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c>
          <w:tcPr>
            <w:tcW w:w="853" w:type="dxa"/>
            <w:tcBorders>
              <w:top w:val="single" w:color="000000" w:sz="4" w:space="0"/>
              <w:left w:val="single" w:color="000000" w:sz="4" w:space="0"/>
              <w:bottom w:val="single" w:color="000000" w:sz="4" w:space="0"/>
              <w:right w:val="single" w:color="000000" w:sz="4" w:space="0"/>
            </w:tcBorders>
            <w:vAlign w:val="center"/>
          </w:tcPr>
          <w:p w14:paraId="1BADAE3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r>
      <w:tr w14:paraId="09898AEF">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4335FA3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3838860C">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C7FBBD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5F2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r>
    </w:tbl>
    <w:p w14:paraId="0CEA2DE4">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1.结转结余率（9分）</w:t>
      </w:r>
    </w:p>
    <w:p w14:paraId="578DE2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298F06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4501DB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根据区人社局202</w:t>
      </w:r>
      <w:r>
        <w:rPr>
          <w:rFonts w:ascii="仿宋_GB2312" w:eastAsia="仿宋_GB2312" w:cs="DengXian-Regular"/>
          <w:sz w:val="32"/>
          <w:szCs w:val="32"/>
        </w:rPr>
        <w:t>1</w:t>
      </w:r>
      <w:r>
        <w:rPr>
          <w:rFonts w:hint="eastAsia" w:ascii="仿宋_GB2312" w:eastAsia="仿宋_GB2312" w:cs="DengXian-Regular"/>
          <w:sz w:val="32"/>
          <w:szCs w:val="32"/>
        </w:rPr>
        <w:t>年决算文本及相关资料，区人社局202</w:t>
      </w:r>
      <w:r>
        <w:rPr>
          <w:rFonts w:ascii="仿宋_GB2312" w:eastAsia="仿宋_GB2312" w:cs="DengXian-Regular"/>
          <w:sz w:val="32"/>
          <w:szCs w:val="32"/>
        </w:rPr>
        <w:t>1</w:t>
      </w:r>
      <w:r>
        <w:rPr>
          <w:rFonts w:hint="eastAsia" w:ascii="仿宋_GB2312" w:eastAsia="仿宋_GB2312" w:cs="DengXian-Regular"/>
          <w:sz w:val="32"/>
          <w:szCs w:val="32"/>
        </w:rPr>
        <w:t>年结转结余资金0.9万元，决算收入2718.67万元，结转结余率0.03%，小于5%。</w:t>
      </w:r>
    </w:p>
    <w:p w14:paraId="01C41A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该项指标实际得分9分。</w:t>
      </w:r>
    </w:p>
    <w:p w14:paraId="12E623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2.项目资金使用率（8分）</w:t>
      </w:r>
    </w:p>
    <w:p w14:paraId="30CD99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2FCE9A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03CA25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区人社局202</w:t>
      </w:r>
      <w:r>
        <w:rPr>
          <w:rFonts w:ascii="仿宋_GB2312" w:eastAsia="仿宋_GB2312" w:cs="DengXian-Regular"/>
          <w:sz w:val="32"/>
          <w:szCs w:val="32"/>
        </w:rPr>
        <w:t>1</w:t>
      </w:r>
      <w:r>
        <w:rPr>
          <w:rFonts w:hint="eastAsia" w:ascii="仿宋_GB2312" w:eastAsia="仿宋_GB2312" w:cs="DengXian-Regular"/>
          <w:sz w:val="32"/>
          <w:szCs w:val="32"/>
        </w:rPr>
        <w:t>年实际支出项目资金总额1767.17万元，年初预算共10个项目，预算数1484.89万元，年中追加项目资金466.74万元，项目资金使用率为90.55%。</w:t>
      </w:r>
    </w:p>
    <w:p w14:paraId="2FC756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该指标实际得分8分。</w:t>
      </w:r>
    </w:p>
    <w:p w14:paraId="348B6C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3.就业、失业工作发放人数（8分）</w:t>
      </w:r>
    </w:p>
    <w:p w14:paraId="5BC6CE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区人社局2020年实际发放人数2478人，应发放2478人，发放率为100%。</w:t>
      </w:r>
    </w:p>
    <w:p w14:paraId="0B9B17F3">
      <w:pPr>
        <w:spacing w:after="0" w:line="360" w:lineRule="auto"/>
        <w:ind w:firstLine="640" w:firstLineChars="200"/>
        <w:jc w:val="both"/>
        <w:textAlignment w:val="baseline"/>
        <w:rPr>
          <w:rFonts w:ascii="仿宋_GB2312" w:eastAsia="仿宋_GB2312" w:cs="DengXian-Regular"/>
          <w:sz w:val="32"/>
          <w:szCs w:val="32"/>
        </w:rPr>
      </w:pPr>
    </w:p>
    <w:p w14:paraId="36A67228">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75599028">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0491838F">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09240948">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586B5650">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7674FE98">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26FA4487">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32B6EBF0">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418B818D">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626CEBDE">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05FFF367">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63E98F0E">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5F11B2BF">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220E4AC9">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05C511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7C6782C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3E9F75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w:t>
            </w:r>
          </w:p>
        </w:tc>
      </w:tr>
      <w:tr w14:paraId="6B3480EA">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35F1A077">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07B9D2C5">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42D1B57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5B57449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30892AB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83B3290">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2CA66D5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09A45C8F">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55FAB7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0C60787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13</w:t>
            </w:r>
          </w:p>
        </w:tc>
      </w:tr>
      <w:bookmarkEnd w:id="70"/>
    </w:tbl>
    <w:p w14:paraId="4B7DC611">
      <w:pPr>
        <w:spacing w:after="0" w:line="360" w:lineRule="auto"/>
        <w:ind w:firstLine="640" w:firstLineChars="200"/>
        <w:jc w:val="both"/>
        <w:textAlignment w:val="baseline"/>
        <w:rPr>
          <w:rFonts w:ascii="仿宋_GB2312" w:eastAsia="仿宋_GB2312" w:cs="DengXian-Regular"/>
          <w:sz w:val="32"/>
          <w:szCs w:val="32"/>
        </w:rPr>
      </w:pPr>
      <w:bookmarkStart w:id="71" w:name="_Toc464638561"/>
      <w:bookmarkStart w:id="72" w:name="_Toc465149516"/>
      <w:bookmarkStart w:id="73" w:name="_Toc492652784"/>
      <w:r>
        <w:rPr>
          <w:rFonts w:hint="eastAsia" w:ascii="仿宋_GB2312" w:eastAsia="仿宋_GB2312" w:cs="DengXian-Regular"/>
          <w:sz w:val="32"/>
          <w:szCs w:val="32"/>
        </w:rPr>
        <w:t>1.部门整体效益（10分）</w:t>
      </w:r>
    </w:p>
    <w:p w14:paraId="79C3F6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57E950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经查看区人社局提供的相关资料，区人社局履行职责对社会发展所带来的社会效益较显著，有效的提高了社会公众社会保险知识、劳动仲裁等方面的意识，减少了社会不稳定因素。</w:t>
      </w:r>
    </w:p>
    <w:p w14:paraId="48B55E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该项指标实际得分9分。</w:t>
      </w:r>
    </w:p>
    <w:p w14:paraId="591C02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36E5232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06A0654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37FA527D">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74DCE7B8">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60186673">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0CBF0675">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5666551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4C961711">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335A387A">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537C5068">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3DD0E979">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1E13E21E">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08E45E5">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59CA9CD5">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48</w:t>
            </w:r>
          </w:p>
        </w:tc>
        <w:tc>
          <w:tcPr>
            <w:tcW w:w="1134" w:type="dxa"/>
            <w:tcBorders>
              <w:top w:val="single" w:color="000000" w:sz="4" w:space="0"/>
              <w:left w:val="single" w:color="000000" w:sz="4" w:space="0"/>
              <w:bottom w:val="single" w:color="000000" w:sz="4" w:space="0"/>
              <w:right w:val="single" w:color="000000" w:sz="4" w:space="0"/>
            </w:tcBorders>
            <w:vAlign w:val="center"/>
          </w:tcPr>
          <w:p w14:paraId="26681F97">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w:t>
            </w:r>
          </w:p>
        </w:tc>
        <w:tc>
          <w:tcPr>
            <w:tcW w:w="1218" w:type="dxa"/>
            <w:tcBorders>
              <w:top w:val="single" w:color="000000" w:sz="4" w:space="0"/>
              <w:left w:val="single" w:color="000000" w:sz="4" w:space="0"/>
              <w:bottom w:val="single" w:color="000000" w:sz="4" w:space="0"/>
              <w:right w:val="single" w:color="000000" w:sz="4" w:space="0"/>
            </w:tcBorders>
            <w:vAlign w:val="center"/>
          </w:tcPr>
          <w:p w14:paraId="58B3031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6467B224">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43A2A165">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98</w:t>
            </w:r>
          </w:p>
        </w:tc>
      </w:tr>
      <w:tr w14:paraId="5D7490A1">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5192DE21">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6371D332">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47</w:t>
            </w:r>
          </w:p>
        </w:tc>
        <w:tc>
          <w:tcPr>
            <w:tcW w:w="1134" w:type="dxa"/>
            <w:tcBorders>
              <w:top w:val="single" w:color="000000" w:sz="4" w:space="0"/>
              <w:left w:val="single" w:color="000000" w:sz="4" w:space="0"/>
              <w:bottom w:val="single" w:color="000000" w:sz="4" w:space="0"/>
              <w:right w:val="single" w:color="000000" w:sz="4" w:space="0"/>
            </w:tcBorders>
            <w:vAlign w:val="center"/>
          </w:tcPr>
          <w:p w14:paraId="0BD8272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3</w:t>
            </w:r>
          </w:p>
        </w:tc>
        <w:tc>
          <w:tcPr>
            <w:tcW w:w="1218" w:type="dxa"/>
            <w:tcBorders>
              <w:top w:val="single" w:color="000000" w:sz="4" w:space="0"/>
              <w:left w:val="single" w:color="000000" w:sz="4" w:space="0"/>
              <w:bottom w:val="single" w:color="000000" w:sz="4" w:space="0"/>
              <w:right w:val="single" w:color="000000" w:sz="4" w:space="0"/>
            </w:tcBorders>
            <w:vAlign w:val="center"/>
          </w:tcPr>
          <w:p w14:paraId="28722E05">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202C9BF3">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642FE32E">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97</w:t>
            </w:r>
          </w:p>
        </w:tc>
      </w:tr>
      <w:tr w14:paraId="72383EA4">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027A156F">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22D3238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49</w:t>
            </w:r>
          </w:p>
        </w:tc>
        <w:tc>
          <w:tcPr>
            <w:tcW w:w="1134" w:type="dxa"/>
            <w:tcBorders>
              <w:top w:val="single" w:color="000000" w:sz="4" w:space="0"/>
              <w:left w:val="single" w:color="000000" w:sz="4" w:space="0"/>
              <w:bottom w:val="single" w:color="000000" w:sz="4" w:space="0"/>
              <w:right w:val="single" w:color="000000" w:sz="4" w:space="0"/>
            </w:tcBorders>
            <w:vAlign w:val="center"/>
          </w:tcPr>
          <w:p w14:paraId="6A0FCBEC">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w:t>
            </w:r>
          </w:p>
        </w:tc>
        <w:tc>
          <w:tcPr>
            <w:tcW w:w="1218" w:type="dxa"/>
            <w:tcBorders>
              <w:top w:val="single" w:color="000000" w:sz="4" w:space="0"/>
              <w:left w:val="single" w:color="000000" w:sz="4" w:space="0"/>
              <w:bottom w:val="single" w:color="000000" w:sz="4" w:space="0"/>
              <w:right w:val="single" w:color="000000" w:sz="4" w:space="0"/>
            </w:tcBorders>
            <w:vAlign w:val="center"/>
          </w:tcPr>
          <w:p w14:paraId="1B94CB91">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00CC6674">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476EF97F">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99</w:t>
            </w:r>
          </w:p>
        </w:tc>
      </w:tr>
    </w:tbl>
    <w:p w14:paraId="7AB9C287">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6769C0F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540B082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5C26CDA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经计算，总体得分为98分，大于90分，评价等级为“优”。</w:t>
      </w:r>
    </w:p>
    <w:p w14:paraId="78F834ED">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该指标实际得分4分。</w:t>
      </w:r>
    </w:p>
    <w:p w14:paraId="345C462E">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4A36EDA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区人社局</w:t>
      </w:r>
      <w:r>
        <w:rPr>
          <w:rFonts w:hint="eastAsia" w:ascii="仿宋_GB2312" w:eastAsia="仿宋_GB2312" w:cs="Times New Roman" w:hAnsiTheme="minorEastAsia"/>
          <w:sz w:val="32"/>
          <w:szCs w:val="32"/>
          <w:u w:color="000000"/>
        </w:rPr>
        <w:t>202</w:t>
      </w:r>
      <w:r>
        <w:rPr>
          <w:rFonts w:ascii="仿宋_GB2312" w:eastAsia="仿宋_GB2312" w:cs="Times New Roman" w:hAnsiTheme="minorEastAsia"/>
          <w:sz w:val="32"/>
          <w:szCs w:val="32"/>
          <w:u w:color="000000"/>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14:paraId="1C653118">
      <w:pPr>
        <w:spacing w:after="0" w:line="360" w:lineRule="auto"/>
        <w:ind w:left="660" w:leftChars="300"/>
        <w:jc w:val="both"/>
        <w:textAlignment w:val="baseline"/>
        <w:rPr>
          <w:rFonts w:ascii="仿宋_GB2312" w:eastAsia="仿宋_GB2312" w:cs="DengXian-Regular"/>
          <w:sz w:val="32"/>
          <w:szCs w:val="32"/>
        </w:rPr>
      </w:pPr>
      <w:r>
        <w:rPr>
          <w:rFonts w:hint="eastAsia" w:ascii="仿宋_GB2312" w:eastAsia="仿宋_GB2312" w:cs="Times New Roman" w:hAnsiTheme="minorEastAsia"/>
          <w:sz w:val="32"/>
          <w:szCs w:val="32"/>
          <w:u w:color="000000"/>
        </w:rPr>
        <w:t>1.部分绩效指标方面：</w:t>
      </w:r>
      <w:r>
        <w:rPr>
          <w:rFonts w:hint="eastAsia" w:ascii="仿宋_GB2312" w:eastAsia="仿宋_GB2312" w:cs="DengXian-Regular"/>
          <w:sz w:val="32"/>
          <w:szCs w:val="32"/>
        </w:rPr>
        <w:t>细化不够明确，有的没有化分进来。</w:t>
      </w:r>
    </w:p>
    <w:p w14:paraId="483F6D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Times New Roman" w:hAnsiTheme="minorEastAsia"/>
          <w:sz w:val="32"/>
          <w:szCs w:val="32"/>
          <w:u w:color="000000"/>
        </w:rPr>
        <w:t>2.预算决算比较：</w:t>
      </w:r>
      <w:r>
        <w:rPr>
          <w:rFonts w:hint="eastAsia" w:ascii="仿宋_GB2312" w:eastAsia="仿宋_GB2312" w:cs="DengXian-Regular"/>
          <w:sz w:val="32"/>
          <w:szCs w:val="32"/>
        </w:rPr>
        <w:t>本部门</w:t>
      </w:r>
      <w:r>
        <w:rPr>
          <w:rFonts w:ascii="仿宋_GB2312" w:eastAsia="仿宋_GB2312" w:cs="DengXian-Regular"/>
          <w:sz w:val="32"/>
          <w:szCs w:val="32"/>
        </w:rPr>
        <w:t>202</w:t>
      </w:r>
      <w:r>
        <w:rPr>
          <w:rFonts w:hint="eastAsia" w:ascii="仿宋_GB2312" w:eastAsia="仿宋_GB2312" w:cs="DengXian-Regular"/>
          <w:sz w:val="32"/>
          <w:szCs w:val="32"/>
        </w:rPr>
        <w:t>1年度一般公共预算财政</w:t>
      </w:r>
    </w:p>
    <w:p w14:paraId="2399FE44">
      <w:pPr>
        <w:spacing w:after="0" w:line="360" w:lineRule="auto"/>
        <w:ind w:left="660" w:leftChars="3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拨款收入2713.41万元，完成年初预算的111.11%,比年初预算增加274.42万元，决算数大于预算数主要原因是追加了中央就业补助资金及政法稳定工作经费；本年支出2829.86万元，完成年初预算的115.89%,比年初预算增加387.97万元，决算数大于预算数主要原因是追加了中央就业补助资金及政法稳定工作经费。</w:t>
      </w:r>
    </w:p>
    <w:p w14:paraId="19663F4D">
      <w:pPr>
        <w:spacing w:after="0" w:line="360" w:lineRule="auto"/>
        <w:ind w:left="660" w:leftChars="300"/>
        <w:jc w:val="both"/>
        <w:textAlignment w:val="baseline"/>
        <w:rPr>
          <w:rFonts w:ascii="仿宋_GB2312" w:eastAsia="仿宋_GB2312" w:cs="DengXian-Regular"/>
          <w:sz w:val="32"/>
          <w:szCs w:val="32"/>
        </w:rPr>
      </w:pPr>
      <w:r>
        <w:rPr>
          <w:rFonts w:hint="eastAsia" w:ascii="仿宋_GB2312" w:eastAsia="仿宋_GB2312" w:cs="Times New Roman" w:hAnsiTheme="minorEastAsia"/>
          <w:sz w:val="32"/>
          <w:szCs w:val="32"/>
          <w:u w:color="000000"/>
        </w:rPr>
        <w:t>3.预算追加方面：</w:t>
      </w:r>
      <w:r>
        <w:rPr>
          <w:rFonts w:hint="eastAsia" w:ascii="仿宋_GB2312" w:eastAsia="仿宋_GB2312" w:cs="DengXian-Regular"/>
          <w:sz w:val="32"/>
          <w:szCs w:val="32"/>
        </w:rPr>
        <w:t>追加项目共4项，下达2021年省级财政城乡居民养老、就业公共服务村级代办员补助资金14万元；关于调整下达2021年中央就业补助资金（直达资金）296万元；下达2021年中央就业补助资金预算141万元；第二季度政法稳定工作经费15.74万元。</w:t>
      </w:r>
    </w:p>
    <w:p w14:paraId="41DB7AC4">
      <w:pPr>
        <w:spacing w:after="0" w:line="360" w:lineRule="auto"/>
        <w:ind w:left="660" w:leftChars="300"/>
        <w:jc w:val="both"/>
        <w:textAlignment w:val="baseline"/>
        <w:rPr>
          <w:rFonts w:ascii="仿宋_GB2312" w:eastAsia="仿宋_GB2312" w:cs="Times New Roman" w:hAnsiTheme="minorEastAsia"/>
          <w:sz w:val="32"/>
          <w:szCs w:val="32"/>
          <w:u w:color="000000"/>
        </w:rPr>
      </w:pPr>
    </w:p>
    <w:p w14:paraId="4CFDFD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Times New Roman" w:hAnsiTheme="minorEastAsia"/>
          <w:sz w:val="32"/>
          <w:szCs w:val="32"/>
          <w:u w:color="000000"/>
        </w:rPr>
        <w:t>4.政府采购方面：</w:t>
      </w:r>
      <w:r>
        <w:rPr>
          <w:rFonts w:hint="eastAsia" w:ascii="仿宋_GB2312" w:eastAsia="仿宋_GB2312" w:cs="DengXian-Regular"/>
          <w:sz w:val="32"/>
          <w:szCs w:val="32"/>
        </w:rPr>
        <w:t>无政府采购</w:t>
      </w:r>
    </w:p>
    <w:p w14:paraId="1C2356DC">
      <w:pPr>
        <w:spacing w:after="0" w:line="360" w:lineRule="auto"/>
        <w:ind w:left="550" w:leftChars="250" w:right="396" w:rightChars="180"/>
        <w:jc w:val="both"/>
        <w:textAlignment w:val="baseline"/>
        <w:rPr>
          <w:rFonts w:ascii="仿宋_GB2312" w:eastAsia="仿宋_GB2312" w:cs="DengXian-Regular"/>
          <w:sz w:val="32"/>
          <w:szCs w:val="32"/>
        </w:rPr>
      </w:pPr>
      <w:r>
        <w:rPr>
          <w:rFonts w:hint="eastAsia" w:ascii="仿宋_GB2312" w:eastAsia="仿宋_GB2312" w:cs="Times New Roman" w:hAnsiTheme="minorEastAsia"/>
          <w:sz w:val="32"/>
          <w:szCs w:val="32"/>
          <w:u w:color="000000"/>
        </w:rPr>
        <w:t>5.项目资金使用率方面：</w:t>
      </w:r>
      <w:r>
        <w:rPr>
          <w:rFonts w:hint="eastAsia" w:ascii="仿宋_GB2312" w:eastAsia="仿宋_GB2312" w:cs="DengXian-Regular"/>
          <w:sz w:val="32"/>
          <w:szCs w:val="32"/>
        </w:rPr>
        <w:t>养老保险、城居保、仲裁工作经费支付率略低一些，做下一年度预算时，争取更精准些。</w:t>
      </w:r>
    </w:p>
    <w:bookmarkEnd w:id="75"/>
    <w:bookmarkEnd w:id="76"/>
    <w:p w14:paraId="79AB226C">
      <w:pPr>
        <w:spacing w:after="0" w:line="360" w:lineRule="auto"/>
        <w:jc w:val="both"/>
        <w:textAlignment w:val="baseline"/>
        <w:rPr>
          <w:rFonts w:ascii="仿宋_GB2312" w:eastAsia="仿宋_GB2312" w:cs="Times New Roman" w:hAnsiTheme="minorEastAsia"/>
          <w:sz w:val="32"/>
          <w:szCs w:val="32"/>
          <w:u w:color="000000"/>
        </w:rPr>
      </w:pPr>
      <w:bookmarkStart w:id="77" w:name="_Toc465149521"/>
    </w:p>
    <w:p w14:paraId="16930473">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区人力资源和社会保障局</w:t>
      </w:r>
      <w:r>
        <w:rPr>
          <w:rFonts w:hint="eastAsia" w:ascii="仿宋_GB2312" w:eastAsia="仿宋_GB2312" w:cs="Times New Roman" w:hAnsiTheme="minorEastAsia"/>
          <w:sz w:val="32"/>
          <w:szCs w:val="32"/>
          <w:u w:color="000000"/>
        </w:rPr>
        <w:t>部门基本情况及主要职责</w:t>
      </w:r>
    </w:p>
    <w:p w14:paraId="7BC1CFAA">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2021</w:t>
      </w:r>
      <w:r>
        <w:rPr>
          <w:rFonts w:hint="eastAsia" w:ascii="仿宋_GB2312" w:eastAsia="仿宋_GB2312" w:cs="Times New Roman" w:hAnsiTheme="minorEastAsia"/>
          <w:sz w:val="32"/>
          <w:szCs w:val="32"/>
          <w:u w:color="000000"/>
        </w:rPr>
        <w:t>年度保定市徐水人力资源和社会保障局收支预算及决算明细表</w:t>
      </w:r>
    </w:p>
    <w:p w14:paraId="091E864A">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14:paraId="3C551D29">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2021</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rPr>
        <w:t>人力资源和社会保障局</w:t>
      </w:r>
      <w:r>
        <w:rPr>
          <w:rFonts w:hint="eastAsia" w:ascii="仿宋_GB2312" w:eastAsia="仿宋_GB2312" w:cs="Times New Roman" w:hAnsiTheme="minorEastAsia"/>
          <w:sz w:val="32"/>
          <w:szCs w:val="32"/>
          <w:u w:color="000000"/>
        </w:rPr>
        <w:t>工作活动绩效目标、绩效指标一览表</w:t>
      </w:r>
      <w:bookmarkEnd w:id="77"/>
    </w:p>
    <w:p w14:paraId="4E93EE31">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473F17CC">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0A904747">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1CDC0C7B">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3A4F3CA6">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E83CE">
    <w:pPr>
      <w:pStyle w:val="14"/>
      <w:jc w:val="center"/>
    </w:pPr>
  </w:p>
  <w:p w14:paraId="3EFC741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2E014">
    <w:pPr>
      <w:pStyle w:val="14"/>
      <w:jc w:val="center"/>
    </w:pPr>
    <w:r>
      <w:fldChar w:fldCharType="begin"/>
    </w:r>
    <w:r>
      <w:instrText xml:space="preserve"> PAGE   \* MERGEFORMAT </w:instrText>
    </w:r>
    <w:r>
      <w:fldChar w:fldCharType="separate"/>
    </w:r>
    <w:r>
      <w:rPr>
        <w:lang w:val="zh-CN"/>
      </w:rPr>
      <w:t>3</w:t>
    </w:r>
    <w:r>
      <w:rPr>
        <w:lang w:val="zh-CN"/>
      </w:rPr>
      <w:fldChar w:fldCharType="end"/>
    </w:r>
  </w:p>
  <w:p w14:paraId="6D72724D">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8E9"/>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64E97"/>
    <w:rsid w:val="00072BF5"/>
    <w:rsid w:val="000752C6"/>
    <w:rsid w:val="00075B78"/>
    <w:rsid w:val="00077648"/>
    <w:rsid w:val="00080E48"/>
    <w:rsid w:val="000862DA"/>
    <w:rsid w:val="00091D50"/>
    <w:rsid w:val="000935D5"/>
    <w:rsid w:val="0009618D"/>
    <w:rsid w:val="00096195"/>
    <w:rsid w:val="0009756F"/>
    <w:rsid w:val="000A1F67"/>
    <w:rsid w:val="000A2079"/>
    <w:rsid w:val="000A5467"/>
    <w:rsid w:val="000B09F3"/>
    <w:rsid w:val="000B0C4A"/>
    <w:rsid w:val="000B23E8"/>
    <w:rsid w:val="000B48D8"/>
    <w:rsid w:val="000B62FE"/>
    <w:rsid w:val="000B72BC"/>
    <w:rsid w:val="000B78D7"/>
    <w:rsid w:val="000C1EA5"/>
    <w:rsid w:val="000C52FB"/>
    <w:rsid w:val="000C55E6"/>
    <w:rsid w:val="000C6D5A"/>
    <w:rsid w:val="000D09B2"/>
    <w:rsid w:val="000D7C38"/>
    <w:rsid w:val="000E03B0"/>
    <w:rsid w:val="000E0902"/>
    <w:rsid w:val="000E3830"/>
    <w:rsid w:val="000F070B"/>
    <w:rsid w:val="000F3158"/>
    <w:rsid w:val="000F364D"/>
    <w:rsid w:val="000F4432"/>
    <w:rsid w:val="000F465E"/>
    <w:rsid w:val="000F5E8C"/>
    <w:rsid w:val="001000B2"/>
    <w:rsid w:val="00102D40"/>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55635"/>
    <w:rsid w:val="00155708"/>
    <w:rsid w:val="00163782"/>
    <w:rsid w:val="00164732"/>
    <w:rsid w:val="00164FE1"/>
    <w:rsid w:val="001703D7"/>
    <w:rsid w:val="001719D0"/>
    <w:rsid w:val="00172245"/>
    <w:rsid w:val="0017279A"/>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A6969"/>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6346"/>
    <w:rsid w:val="00227AFB"/>
    <w:rsid w:val="00235741"/>
    <w:rsid w:val="00236B18"/>
    <w:rsid w:val="002401EA"/>
    <w:rsid w:val="00241B9D"/>
    <w:rsid w:val="002439D4"/>
    <w:rsid w:val="002457EF"/>
    <w:rsid w:val="00245CB2"/>
    <w:rsid w:val="00246A44"/>
    <w:rsid w:val="002506BC"/>
    <w:rsid w:val="00250BAC"/>
    <w:rsid w:val="00260245"/>
    <w:rsid w:val="0026252A"/>
    <w:rsid w:val="00262BB1"/>
    <w:rsid w:val="00263D3A"/>
    <w:rsid w:val="002643BE"/>
    <w:rsid w:val="002650F4"/>
    <w:rsid w:val="00265325"/>
    <w:rsid w:val="00266E84"/>
    <w:rsid w:val="002715FC"/>
    <w:rsid w:val="002736FD"/>
    <w:rsid w:val="00274CFA"/>
    <w:rsid w:val="00275677"/>
    <w:rsid w:val="00275A3F"/>
    <w:rsid w:val="0027701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A6EAA"/>
    <w:rsid w:val="002A7004"/>
    <w:rsid w:val="002B05EF"/>
    <w:rsid w:val="002B2E34"/>
    <w:rsid w:val="002B76FA"/>
    <w:rsid w:val="002B7D9C"/>
    <w:rsid w:val="002C029E"/>
    <w:rsid w:val="002C0E54"/>
    <w:rsid w:val="002C2C71"/>
    <w:rsid w:val="002C5A65"/>
    <w:rsid w:val="002C71F3"/>
    <w:rsid w:val="002D2112"/>
    <w:rsid w:val="002D53D7"/>
    <w:rsid w:val="002D5508"/>
    <w:rsid w:val="002D5FC1"/>
    <w:rsid w:val="002D7AB3"/>
    <w:rsid w:val="002E1D3C"/>
    <w:rsid w:val="002E1F73"/>
    <w:rsid w:val="002E269D"/>
    <w:rsid w:val="002E3460"/>
    <w:rsid w:val="002E5A8A"/>
    <w:rsid w:val="002E7056"/>
    <w:rsid w:val="002E70AE"/>
    <w:rsid w:val="002F0C41"/>
    <w:rsid w:val="002F5B6A"/>
    <w:rsid w:val="002F5BF5"/>
    <w:rsid w:val="002F5ECA"/>
    <w:rsid w:val="00306572"/>
    <w:rsid w:val="003079C7"/>
    <w:rsid w:val="003169F3"/>
    <w:rsid w:val="0032078D"/>
    <w:rsid w:val="00321CE0"/>
    <w:rsid w:val="0032231F"/>
    <w:rsid w:val="00323B43"/>
    <w:rsid w:val="00325BCC"/>
    <w:rsid w:val="003302D8"/>
    <w:rsid w:val="003309A3"/>
    <w:rsid w:val="003345BC"/>
    <w:rsid w:val="00337DE4"/>
    <w:rsid w:val="00343662"/>
    <w:rsid w:val="0035365E"/>
    <w:rsid w:val="00355403"/>
    <w:rsid w:val="003569A8"/>
    <w:rsid w:val="00361FFF"/>
    <w:rsid w:val="00362340"/>
    <w:rsid w:val="003653A5"/>
    <w:rsid w:val="00366971"/>
    <w:rsid w:val="00367DF7"/>
    <w:rsid w:val="00370AFA"/>
    <w:rsid w:val="0037120F"/>
    <w:rsid w:val="0037242E"/>
    <w:rsid w:val="003743E9"/>
    <w:rsid w:val="00377DCE"/>
    <w:rsid w:val="0038005F"/>
    <w:rsid w:val="003803CC"/>
    <w:rsid w:val="00382949"/>
    <w:rsid w:val="003865DA"/>
    <w:rsid w:val="00391AE3"/>
    <w:rsid w:val="00396D4C"/>
    <w:rsid w:val="003A02BE"/>
    <w:rsid w:val="003A1765"/>
    <w:rsid w:val="003A3C32"/>
    <w:rsid w:val="003A4D02"/>
    <w:rsid w:val="003A4D52"/>
    <w:rsid w:val="003A536E"/>
    <w:rsid w:val="003B3872"/>
    <w:rsid w:val="003B6DEC"/>
    <w:rsid w:val="003B79D3"/>
    <w:rsid w:val="003C2B92"/>
    <w:rsid w:val="003D126B"/>
    <w:rsid w:val="003D1D33"/>
    <w:rsid w:val="003D22C9"/>
    <w:rsid w:val="003D28AC"/>
    <w:rsid w:val="003D37D8"/>
    <w:rsid w:val="003D46DF"/>
    <w:rsid w:val="003D7B2A"/>
    <w:rsid w:val="003E266C"/>
    <w:rsid w:val="003E3C05"/>
    <w:rsid w:val="003F282F"/>
    <w:rsid w:val="003F40C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111"/>
    <w:rsid w:val="00451E9F"/>
    <w:rsid w:val="004551F1"/>
    <w:rsid w:val="00456648"/>
    <w:rsid w:val="00457E00"/>
    <w:rsid w:val="00461831"/>
    <w:rsid w:val="00461E7C"/>
    <w:rsid w:val="004639E0"/>
    <w:rsid w:val="00463A6D"/>
    <w:rsid w:val="00465A21"/>
    <w:rsid w:val="0047047F"/>
    <w:rsid w:val="00472C49"/>
    <w:rsid w:val="00474DE3"/>
    <w:rsid w:val="00477959"/>
    <w:rsid w:val="00486217"/>
    <w:rsid w:val="00486A56"/>
    <w:rsid w:val="00494D73"/>
    <w:rsid w:val="00495D61"/>
    <w:rsid w:val="0049717D"/>
    <w:rsid w:val="004976DA"/>
    <w:rsid w:val="004A19C4"/>
    <w:rsid w:val="004A21B5"/>
    <w:rsid w:val="004A6EA4"/>
    <w:rsid w:val="004B146A"/>
    <w:rsid w:val="004B1E69"/>
    <w:rsid w:val="004B4146"/>
    <w:rsid w:val="004B5892"/>
    <w:rsid w:val="004B59DD"/>
    <w:rsid w:val="004B5E88"/>
    <w:rsid w:val="004B5EDE"/>
    <w:rsid w:val="004C0341"/>
    <w:rsid w:val="004C46D3"/>
    <w:rsid w:val="004C5D39"/>
    <w:rsid w:val="004C6A94"/>
    <w:rsid w:val="004C7656"/>
    <w:rsid w:val="004C7C48"/>
    <w:rsid w:val="004D21B9"/>
    <w:rsid w:val="004D21FF"/>
    <w:rsid w:val="004D2DD5"/>
    <w:rsid w:val="004D41F0"/>
    <w:rsid w:val="004D55F1"/>
    <w:rsid w:val="004D578A"/>
    <w:rsid w:val="004D656B"/>
    <w:rsid w:val="004D7523"/>
    <w:rsid w:val="004E0AA9"/>
    <w:rsid w:val="004E1AEF"/>
    <w:rsid w:val="004E2E54"/>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190E"/>
    <w:rsid w:val="0052300D"/>
    <w:rsid w:val="00523B77"/>
    <w:rsid w:val="0052474C"/>
    <w:rsid w:val="00525074"/>
    <w:rsid w:val="00525520"/>
    <w:rsid w:val="005319EE"/>
    <w:rsid w:val="00531BE2"/>
    <w:rsid w:val="005421AC"/>
    <w:rsid w:val="00544C1A"/>
    <w:rsid w:val="00546C63"/>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9651B"/>
    <w:rsid w:val="005A15D6"/>
    <w:rsid w:val="005A1FD8"/>
    <w:rsid w:val="005A317D"/>
    <w:rsid w:val="005A79F9"/>
    <w:rsid w:val="005B4B14"/>
    <w:rsid w:val="005C3594"/>
    <w:rsid w:val="005C46B7"/>
    <w:rsid w:val="005C75CC"/>
    <w:rsid w:val="005C7C8B"/>
    <w:rsid w:val="005D5617"/>
    <w:rsid w:val="005D6591"/>
    <w:rsid w:val="005D6869"/>
    <w:rsid w:val="005D7446"/>
    <w:rsid w:val="005E5F88"/>
    <w:rsid w:val="005F06F5"/>
    <w:rsid w:val="005F46C0"/>
    <w:rsid w:val="005F471D"/>
    <w:rsid w:val="005F720A"/>
    <w:rsid w:val="005F73AE"/>
    <w:rsid w:val="005F7467"/>
    <w:rsid w:val="005F78E7"/>
    <w:rsid w:val="006007F3"/>
    <w:rsid w:val="0060402C"/>
    <w:rsid w:val="006071C5"/>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33"/>
    <w:rsid w:val="006352D1"/>
    <w:rsid w:val="00636E1A"/>
    <w:rsid w:val="00637537"/>
    <w:rsid w:val="00642BA5"/>
    <w:rsid w:val="006434E0"/>
    <w:rsid w:val="00650C90"/>
    <w:rsid w:val="0065172D"/>
    <w:rsid w:val="0065287D"/>
    <w:rsid w:val="0065671B"/>
    <w:rsid w:val="00656A5A"/>
    <w:rsid w:val="00663A42"/>
    <w:rsid w:val="00663FC9"/>
    <w:rsid w:val="0066418E"/>
    <w:rsid w:val="0066469F"/>
    <w:rsid w:val="00666D7A"/>
    <w:rsid w:val="0067780F"/>
    <w:rsid w:val="00686C30"/>
    <w:rsid w:val="00686ED6"/>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0F1E"/>
    <w:rsid w:val="006F222F"/>
    <w:rsid w:val="006F7B69"/>
    <w:rsid w:val="0070241F"/>
    <w:rsid w:val="007024A9"/>
    <w:rsid w:val="00703C96"/>
    <w:rsid w:val="007130D7"/>
    <w:rsid w:val="00713E98"/>
    <w:rsid w:val="00715591"/>
    <w:rsid w:val="00715AE8"/>
    <w:rsid w:val="00720056"/>
    <w:rsid w:val="0072516F"/>
    <w:rsid w:val="00725D44"/>
    <w:rsid w:val="0073034D"/>
    <w:rsid w:val="00731ADC"/>
    <w:rsid w:val="007330F2"/>
    <w:rsid w:val="00733DB0"/>
    <w:rsid w:val="00735043"/>
    <w:rsid w:val="00740444"/>
    <w:rsid w:val="00741952"/>
    <w:rsid w:val="00744577"/>
    <w:rsid w:val="007452CF"/>
    <w:rsid w:val="00746055"/>
    <w:rsid w:val="00746DA9"/>
    <w:rsid w:val="00747086"/>
    <w:rsid w:val="007515E2"/>
    <w:rsid w:val="007526EB"/>
    <w:rsid w:val="00756D66"/>
    <w:rsid w:val="00761D80"/>
    <w:rsid w:val="0076364A"/>
    <w:rsid w:val="00766FC5"/>
    <w:rsid w:val="00770E5B"/>
    <w:rsid w:val="00772930"/>
    <w:rsid w:val="00776E20"/>
    <w:rsid w:val="007814AF"/>
    <w:rsid w:val="007825F0"/>
    <w:rsid w:val="00784FC1"/>
    <w:rsid w:val="00787F88"/>
    <w:rsid w:val="0079721A"/>
    <w:rsid w:val="007A095C"/>
    <w:rsid w:val="007A0AF8"/>
    <w:rsid w:val="007A1FB9"/>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4F59"/>
    <w:rsid w:val="0081553D"/>
    <w:rsid w:val="00815BE9"/>
    <w:rsid w:val="00815C94"/>
    <w:rsid w:val="00815CF6"/>
    <w:rsid w:val="00816990"/>
    <w:rsid w:val="00817981"/>
    <w:rsid w:val="00822851"/>
    <w:rsid w:val="00824A75"/>
    <w:rsid w:val="0082509A"/>
    <w:rsid w:val="00825A51"/>
    <w:rsid w:val="00825D53"/>
    <w:rsid w:val="008272DF"/>
    <w:rsid w:val="00827CE7"/>
    <w:rsid w:val="00831065"/>
    <w:rsid w:val="00832731"/>
    <w:rsid w:val="008337A7"/>
    <w:rsid w:val="00835BCB"/>
    <w:rsid w:val="00836773"/>
    <w:rsid w:val="00836E6A"/>
    <w:rsid w:val="008410D0"/>
    <w:rsid w:val="00841559"/>
    <w:rsid w:val="00842826"/>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3904"/>
    <w:rsid w:val="00875962"/>
    <w:rsid w:val="00880325"/>
    <w:rsid w:val="00882ABD"/>
    <w:rsid w:val="008844A4"/>
    <w:rsid w:val="008857CC"/>
    <w:rsid w:val="008879D5"/>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DF3"/>
    <w:rsid w:val="008D4F00"/>
    <w:rsid w:val="008D7DBC"/>
    <w:rsid w:val="008E08B2"/>
    <w:rsid w:val="008E0AFC"/>
    <w:rsid w:val="008E1E43"/>
    <w:rsid w:val="008E3116"/>
    <w:rsid w:val="008E637F"/>
    <w:rsid w:val="008E66FE"/>
    <w:rsid w:val="008F27DB"/>
    <w:rsid w:val="008F5B6F"/>
    <w:rsid w:val="008F6505"/>
    <w:rsid w:val="009002A3"/>
    <w:rsid w:val="0090038C"/>
    <w:rsid w:val="009007EC"/>
    <w:rsid w:val="00900EF5"/>
    <w:rsid w:val="009018C3"/>
    <w:rsid w:val="00901A1F"/>
    <w:rsid w:val="00901EE5"/>
    <w:rsid w:val="0090421D"/>
    <w:rsid w:val="00906447"/>
    <w:rsid w:val="0091349D"/>
    <w:rsid w:val="009141C7"/>
    <w:rsid w:val="009160EA"/>
    <w:rsid w:val="00920597"/>
    <w:rsid w:val="00920B28"/>
    <w:rsid w:val="00921E42"/>
    <w:rsid w:val="00922872"/>
    <w:rsid w:val="0092425B"/>
    <w:rsid w:val="00924D39"/>
    <w:rsid w:val="00924FFE"/>
    <w:rsid w:val="009263C3"/>
    <w:rsid w:val="009268AB"/>
    <w:rsid w:val="00934A54"/>
    <w:rsid w:val="009364FF"/>
    <w:rsid w:val="00942397"/>
    <w:rsid w:val="009425B4"/>
    <w:rsid w:val="00944032"/>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77187"/>
    <w:rsid w:val="009814B0"/>
    <w:rsid w:val="00984D41"/>
    <w:rsid w:val="009852BB"/>
    <w:rsid w:val="009853C4"/>
    <w:rsid w:val="0098547C"/>
    <w:rsid w:val="009860B4"/>
    <w:rsid w:val="00986724"/>
    <w:rsid w:val="0098718E"/>
    <w:rsid w:val="00994269"/>
    <w:rsid w:val="0099439A"/>
    <w:rsid w:val="00994737"/>
    <w:rsid w:val="0099540A"/>
    <w:rsid w:val="009A0F00"/>
    <w:rsid w:val="009A237D"/>
    <w:rsid w:val="009A37AE"/>
    <w:rsid w:val="009A4059"/>
    <w:rsid w:val="009A47EF"/>
    <w:rsid w:val="009B1979"/>
    <w:rsid w:val="009B1E1B"/>
    <w:rsid w:val="009B2CC0"/>
    <w:rsid w:val="009B4C38"/>
    <w:rsid w:val="009B59C8"/>
    <w:rsid w:val="009B5E89"/>
    <w:rsid w:val="009C0DAB"/>
    <w:rsid w:val="009C1E20"/>
    <w:rsid w:val="009D0378"/>
    <w:rsid w:val="009D0F18"/>
    <w:rsid w:val="009D1EFB"/>
    <w:rsid w:val="009D5964"/>
    <w:rsid w:val="009D6A0C"/>
    <w:rsid w:val="009E0725"/>
    <w:rsid w:val="009E1492"/>
    <w:rsid w:val="009E4B3F"/>
    <w:rsid w:val="009E5877"/>
    <w:rsid w:val="009F69B0"/>
    <w:rsid w:val="00A00403"/>
    <w:rsid w:val="00A0310D"/>
    <w:rsid w:val="00A073F4"/>
    <w:rsid w:val="00A07BBE"/>
    <w:rsid w:val="00A16439"/>
    <w:rsid w:val="00A21057"/>
    <w:rsid w:val="00A217CE"/>
    <w:rsid w:val="00A21E86"/>
    <w:rsid w:val="00A22DFB"/>
    <w:rsid w:val="00A25C4B"/>
    <w:rsid w:val="00A305E3"/>
    <w:rsid w:val="00A353F1"/>
    <w:rsid w:val="00A357B0"/>
    <w:rsid w:val="00A35B22"/>
    <w:rsid w:val="00A42B99"/>
    <w:rsid w:val="00A446A2"/>
    <w:rsid w:val="00A479B6"/>
    <w:rsid w:val="00A50D3C"/>
    <w:rsid w:val="00A532E3"/>
    <w:rsid w:val="00A54D9C"/>
    <w:rsid w:val="00A57200"/>
    <w:rsid w:val="00A57865"/>
    <w:rsid w:val="00A62B31"/>
    <w:rsid w:val="00A64850"/>
    <w:rsid w:val="00A65003"/>
    <w:rsid w:val="00A65202"/>
    <w:rsid w:val="00A73299"/>
    <w:rsid w:val="00A73E48"/>
    <w:rsid w:val="00A7536B"/>
    <w:rsid w:val="00A80356"/>
    <w:rsid w:val="00A816B6"/>
    <w:rsid w:val="00A82D81"/>
    <w:rsid w:val="00A96E79"/>
    <w:rsid w:val="00AA2033"/>
    <w:rsid w:val="00AA4A07"/>
    <w:rsid w:val="00AA4F61"/>
    <w:rsid w:val="00AA6230"/>
    <w:rsid w:val="00AB632D"/>
    <w:rsid w:val="00AC5444"/>
    <w:rsid w:val="00AC70E1"/>
    <w:rsid w:val="00AD1D29"/>
    <w:rsid w:val="00AD328E"/>
    <w:rsid w:val="00AD5147"/>
    <w:rsid w:val="00AD69B3"/>
    <w:rsid w:val="00AE0837"/>
    <w:rsid w:val="00AE11C8"/>
    <w:rsid w:val="00AE355C"/>
    <w:rsid w:val="00AE4EFC"/>
    <w:rsid w:val="00AE5731"/>
    <w:rsid w:val="00AE7127"/>
    <w:rsid w:val="00AF6BA2"/>
    <w:rsid w:val="00AF7801"/>
    <w:rsid w:val="00B00C4C"/>
    <w:rsid w:val="00B019E2"/>
    <w:rsid w:val="00B020ED"/>
    <w:rsid w:val="00B036CB"/>
    <w:rsid w:val="00B07C80"/>
    <w:rsid w:val="00B130D5"/>
    <w:rsid w:val="00B13566"/>
    <w:rsid w:val="00B13A54"/>
    <w:rsid w:val="00B14220"/>
    <w:rsid w:val="00B167AE"/>
    <w:rsid w:val="00B16868"/>
    <w:rsid w:val="00B17251"/>
    <w:rsid w:val="00B2159A"/>
    <w:rsid w:val="00B21D32"/>
    <w:rsid w:val="00B313B2"/>
    <w:rsid w:val="00B32834"/>
    <w:rsid w:val="00B337AE"/>
    <w:rsid w:val="00B34A43"/>
    <w:rsid w:val="00B36912"/>
    <w:rsid w:val="00B404A0"/>
    <w:rsid w:val="00B4256A"/>
    <w:rsid w:val="00B432AB"/>
    <w:rsid w:val="00B54D75"/>
    <w:rsid w:val="00B60C2A"/>
    <w:rsid w:val="00B642F3"/>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B6DE4"/>
    <w:rsid w:val="00BC09FC"/>
    <w:rsid w:val="00BC0DD5"/>
    <w:rsid w:val="00BC11E5"/>
    <w:rsid w:val="00BC60E6"/>
    <w:rsid w:val="00BE66AA"/>
    <w:rsid w:val="00BE73B9"/>
    <w:rsid w:val="00BF444F"/>
    <w:rsid w:val="00BF77F5"/>
    <w:rsid w:val="00C01D8A"/>
    <w:rsid w:val="00C023EF"/>
    <w:rsid w:val="00C15415"/>
    <w:rsid w:val="00C16FE4"/>
    <w:rsid w:val="00C172EB"/>
    <w:rsid w:val="00C22F61"/>
    <w:rsid w:val="00C22F98"/>
    <w:rsid w:val="00C2363B"/>
    <w:rsid w:val="00C26560"/>
    <w:rsid w:val="00C3062F"/>
    <w:rsid w:val="00C32E7A"/>
    <w:rsid w:val="00C408D9"/>
    <w:rsid w:val="00C42DB9"/>
    <w:rsid w:val="00C447FD"/>
    <w:rsid w:val="00C44B90"/>
    <w:rsid w:val="00C51434"/>
    <w:rsid w:val="00C51743"/>
    <w:rsid w:val="00C51A61"/>
    <w:rsid w:val="00C539C0"/>
    <w:rsid w:val="00C57393"/>
    <w:rsid w:val="00C64C71"/>
    <w:rsid w:val="00C6528B"/>
    <w:rsid w:val="00C661B3"/>
    <w:rsid w:val="00C70300"/>
    <w:rsid w:val="00C7037D"/>
    <w:rsid w:val="00C70637"/>
    <w:rsid w:val="00C71DC8"/>
    <w:rsid w:val="00C73E69"/>
    <w:rsid w:val="00C74592"/>
    <w:rsid w:val="00C76588"/>
    <w:rsid w:val="00C767BA"/>
    <w:rsid w:val="00C8048C"/>
    <w:rsid w:val="00C80C68"/>
    <w:rsid w:val="00C8671F"/>
    <w:rsid w:val="00C86E9A"/>
    <w:rsid w:val="00C90CE5"/>
    <w:rsid w:val="00C93A3D"/>
    <w:rsid w:val="00C94F0A"/>
    <w:rsid w:val="00CA3203"/>
    <w:rsid w:val="00CA6058"/>
    <w:rsid w:val="00CA6131"/>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CF633F"/>
    <w:rsid w:val="00D058E4"/>
    <w:rsid w:val="00D06573"/>
    <w:rsid w:val="00D07178"/>
    <w:rsid w:val="00D11C0B"/>
    <w:rsid w:val="00D11EE9"/>
    <w:rsid w:val="00D1214F"/>
    <w:rsid w:val="00D13392"/>
    <w:rsid w:val="00D13F47"/>
    <w:rsid w:val="00D14E66"/>
    <w:rsid w:val="00D17631"/>
    <w:rsid w:val="00D17CD3"/>
    <w:rsid w:val="00D21B22"/>
    <w:rsid w:val="00D24AEB"/>
    <w:rsid w:val="00D24AFD"/>
    <w:rsid w:val="00D25EB6"/>
    <w:rsid w:val="00D27902"/>
    <w:rsid w:val="00D27984"/>
    <w:rsid w:val="00D30F4B"/>
    <w:rsid w:val="00D31D50"/>
    <w:rsid w:val="00D323E9"/>
    <w:rsid w:val="00D34F5B"/>
    <w:rsid w:val="00D35023"/>
    <w:rsid w:val="00D37301"/>
    <w:rsid w:val="00D403B8"/>
    <w:rsid w:val="00D45C1B"/>
    <w:rsid w:val="00D45E14"/>
    <w:rsid w:val="00D51C9A"/>
    <w:rsid w:val="00D52EC6"/>
    <w:rsid w:val="00D5318C"/>
    <w:rsid w:val="00D53371"/>
    <w:rsid w:val="00D53BD5"/>
    <w:rsid w:val="00D55621"/>
    <w:rsid w:val="00D6000E"/>
    <w:rsid w:val="00D713D6"/>
    <w:rsid w:val="00D72DAF"/>
    <w:rsid w:val="00D73B35"/>
    <w:rsid w:val="00D75BB9"/>
    <w:rsid w:val="00D76276"/>
    <w:rsid w:val="00D77919"/>
    <w:rsid w:val="00D8067B"/>
    <w:rsid w:val="00D8083C"/>
    <w:rsid w:val="00D80DCA"/>
    <w:rsid w:val="00D81FC6"/>
    <w:rsid w:val="00D85F8D"/>
    <w:rsid w:val="00D86370"/>
    <w:rsid w:val="00D87F81"/>
    <w:rsid w:val="00D90E39"/>
    <w:rsid w:val="00D97E89"/>
    <w:rsid w:val="00DA45EE"/>
    <w:rsid w:val="00DA58A3"/>
    <w:rsid w:val="00DB2F5B"/>
    <w:rsid w:val="00DB46CB"/>
    <w:rsid w:val="00DB4A3D"/>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DF1987"/>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6F7"/>
    <w:rsid w:val="00E57845"/>
    <w:rsid w:val="00E57BD3"/>
    <w:rsid w:val="00E57D38"/>
    <w:rsid w:val="00E61758"/>
    <w:rsid w:val="00E65332"/>
    <w:rsid w:val="00E65F77"/>
    <w:rsid w:val="00E670CD"/>
    <w:rsid w:val="00E67EA9"/>
    <w:rsid w:val="00E70552"/>
    <w:rsid w:val="00E7727F"/>
    <w:rsid w:val="00E77C66"/>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58DF"/>
    <w:rsid w:val="00EC7C9E"/>
    <w:rsid w:val="00ED230D"/>
    <w:rsid w:val="00ED2440"/>
    <w:rsid w:val="00ED6B92"/>
    <w:rsid w:val="00EE1C0B"/>
    <w:rsid w:val="00EE59D0"/>
    <w:rsid w:val="00EE7FF3"/>
    <w:rsid w:val="00EF26BF"/>
    <w:rsid w:val="00EF4861"/>
    <w:rsid w:val="00EF50C7"/>
    <w:rsid w:val="00EF5E19"/>
    <w:rsid w:val="00EF779D"/>
    <w:rsid w:val="00EF7E82"/>
    <w:rsid w:val="00F01970"/>
    <w:rsid w:val="00F01B91"/>
    <w:rsid w:val="00F056AA"/>
    <w:rsid w:val="00F06AF6"/>
    <w:rsid w:val="00F079A5"/>
    <w:rsid w:val="00F07F69"/>
    <w:rsid w:val="00F107F9"/>
    <w:rsid w:val="00F111E0"/>
    <w:rsid w:val="00F117D4"/>
    <w:rsid w:val="00F15ABB"/>
    <w:rsid w:val="00F16475"/>
    <w:rsid w:val="00F21893"/>
    <w:rsid w:val="00F22D55"/>
    <w:rsid w:val="00F24A9A"/>
    <w:rsid w:val="00F2592D"/>
    <w:rsid w:val="00F25C5F"/>
    <w:rsid w:val="00F30E96"/>
    <w:rsid w:val="00F3182D"/>
    <w:rsid w:val="00F34EF2"/>
    <w:rsid w:val="00F3580F"/>
    <w:rsid w:val="00F35823"/>
    <w:rsid w:val="00F406BB"/>
    <w:rsid w:val="00F44AD0"/>
    <w:rsid w:val="00F50379"/>
    <w:rsid w:val="00F55102"/>
    <w:rsid w:val="00F57115"/>
    <w:rsid w:val="00F57BDC"/>
    <w:rsid w:val="00F6298B"/>
    <w:rsid w:val="00F63B02"/>
    <w:rsid w:val="00F65350"/>
    <w:rsid w:val="00F65C21"/>
    <w:rsid w:val="00F700A6"/>
    <w:rsid w:val="00F739EF"/>
    <w:rsid w:val="00F760D1"/>
    <w:rsid w:val="00F8151A"/>
    <w:rsid w:val="00F83788"/>
    <w:rsid w:val="00F84825"/>
    <w:rsid w:val="00F84D69"/>
    <w:rsid w:val="00F85054"/>
    <w:rsid w:val="00F85BAD"/>
    <w:rsid w:val="00F87AEF"/>
    <w:rsid w:val="00F87C14"/>
    <w:rsid w:val="00F94F61"/>
    <w:rsid w:val="00FA17B4"/>
    <w:rsid w:val="00FA3581"/>
    <w:rsid w:val="00FA3A3E"/>
    <w:rsid w:val="00FB10B8"/>
    <w:rsid w:val="00FB24BA"/>
    <w:rsid w:val="00FB28C8"/>
    <w:rsid w:val="00FB381D"/>
    <w:rsid w:val="00FB6172"/>
    <w:rsid w:val="00FB6492"/>
    <w:rsid w:val="00FC007D"/>
    <w:rsid w:val="00FC131A"/>
    <w:rsid w:val="00FC224A"/>
    <w:rsid w:val="00FC4320"/>
    <w:rsid w:val="00FC43D6"/>
    <w:rsid w:val="00FD2208"/>
    <w:rsid w:val="00FD2EC4"/>
    <w:rsid w:val="00FD63D3"/>
    <w:rsid w:val="00FD717D"/>
    <w:rsid w:val="00FE1A66"/>
    <w:rsid w:val="00FE44CF"/>
    <w:rsid w:val="00FE710B"/>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BFF5C79"/>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Users\Documents\WeChat%20Files\yangyinzhu003\FileStorage\File\2022-11\&#22270;&#34920;(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Users\Documents\WeChat%20Files\yangyinzhu003\FileStorage\File\2022-11\&#22270;&#3492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I:\2021&#24180;&#24230;&#37096;&#38376;&#25972;&#20307;&#25903;&#20986;&#32489;&#25928;&#33258;&#35780;&#24037;&#20316;\&#22270;&#349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071741032371"/>
          <c:y val="0.240666731473381"/>
          <c:w val="0.686193569553807"/>
          <c:h val="0.430705421081624"/>
        </c:manualLayout>
      </c:layout>
      <c:barChart>
        <c:barDir val="col"/>
        <c:grouping val="clustered"/>
        <c:varyColors val="0"/>
        <c:ser>
          <c:idx val="0"/>
          <c:order val="0"/>
          <c:tx>
            <c:strRef>
              <c:f>预算</c:f>
              <c:strCache>
                <c:ptCount val="1"/>
                <c:pt idx="0">
                  <c:v>预算</c:v>
                </c:pt>
              </c:strCache>
            </c:strRef>
          </c:tx>
          <c:invertIfNegative val="0"/>
          <c:dLbls>
            <c:delete val="1"/>
          </c:dLbls>
          <c:cat>
            <c:strRef>
              <c:f>预算收入与决算收入对比图!$B$5:$B$8</c:f>
              <c:strCache>
                <c:ptCount val="4"/>
                <c:pt idx="0">
                  <c:v>一般公共服务支出</c:v>
                </c:pt>
                <c:pt idx="1">
                  <c:v>社会保障和就业支出</c:v>
                </c:pt>
                <c:pt idx="2">
                  <c:v>医疗卫生与计划生育支出</c:v>
                </c:pt>
                <c:pt idx="3">
                  <c:v>住房保障支出</c:v>
                </c:pt>
              </c:strCache>
            </c:strRef>
          </c:cat>
          <c:val>
            <c:numRef>
              <c:f>预算收入与决算收入对比图!$C$5:$C$8</c:f>
              <c:numCache>
                <c:formatCode>General</c:formatCode>
                <c:ptCount val="4"/>
                <c:pt idx="1">
                  <c:v>2356.76</c:v>
                </c:pt>
                <c:pt idx="2">
                  <c:v>36.35</c:v>
                </c:pt>
                <c:pt idx="3">
                  <c:v>48.88</c:v>
                </c:pt>
              </c:numCache>
            </c:numRef>
          </c:val>
        </c:ser>
        <c:ser>
          <c:idx val="1"/>
          <c:order val="1"/>
          <c:tx>
            <c:strRef>
              <c:f>决算</c:f>
              <c:strCache>
                <c:ptCount val="1"/>
                <c:pt idx="0">
                  <c:v>决算</c:v>
                </c:pt>
              </c:strCache>
            </c:strRef>
          </c:tx>
          <c:invertIfNegative val="0"/>
          <c:dLbls>
            <c:delete val="1"/>
          </c:dLbls>
          <c:cat>
            <c:strRef>
              <c:f>预算收入与决算收入对比图!$B$5:$B$8</c:f>
              <c:strCache>
                <c:ptCount val="4"/>
                <c:pt idx="0">
                  <c:v>一般公共服务支出</c:v>
                </c:pt>
                <c:pt idx="1">
                  <c:v>社会保障和就业支出</c:v>
                </c:pt>
                <c:pt idx="2">
                  <c:v>医疗卫生与计划生育支出</c:v>
                </c:pt>
                <c:pt idx="3">
                  <c:v>住房保障支出</c:v>
                </c:pt>
              </c:strCache>
            </c:strRef>
          </c:cat>
          <c:val>
            <c:numRef>
              <c:f>预算收入与决算收入对比图!$D$5:$D$8</c:f>
              <c:numCache>
                <c:formatCode>General</c:formatCode>
                <c:ptCount val="4"/>
                <c:pt idx="1">
                  <c:v>2718.95</c:v>
                </c:pt>
                <c:pt idx="2">
                  <c:v>34.98</c:v>
                </c:pt>
                <c:pt idx="3">
                  <c:v>60.78</c:v>
                </c:pt>
              </c:numCache>
            </c:numRef>
          </c:val>
        </c:ser>
        <c:dLbls>
          <c:showLegendKey val="0"/>
          <c:showVal val="0"/>
          <c:showCatName val="0"/>
          <c:showSerName val="0"/>
          <c:showPercent val="0"/>
          <c:showBubbleSize val="0"/>
        </c:dLbls>
        <c:gapWidth val="150"/>
        <c:axId val="147536128"/>
        <c:axId val="159492736"/>
      </c:barChart>
      <c:catAx>
        <c:axId val="14753612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9492736"/>
        <c:crosses val="autoZero"/>
        <c:auto val="1"/>
        <c:lblAlgn val="ctr"/>
        <c:lblOffset val="100"/>
        <c:noMultiLvlLbl val="0"/>
      </c:catAx>
      <c:valAx>
        <c:axId val="1594927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7536128"/>
        <c:crosses val="autoZero"/>
        <c:crossBetween val="between"/>
      </c:valAx>
    </c:plotArea>
    <c:legend>
      <c:legendPos val="r"/>
      <c:layout>
        <c:manualLayout>
          <c:xMode val="edge"/>
          <c:yMode val="edge"/>
          <c:x val="0.814916254976037"/>
          <c:y val="0.467532043505649"/>
          <c:w val="0.102308404395509"/>
          <c:h val="0.16020299788107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eaca260-65e8-4b66-a802-85cb9fbf4ae4}"/>
      </c:ext>
    </c:extLst>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pitchFamily="3" charset="-122"/>
                <a:ea typeface="仿宋" panose="02010609060101010101" pitchFamily="3" charset="-122"/>
              </a:rPr>
              <a:t>2021</a:t>
            </a:r>
            <a:r>
              <a:rPr lang="zh-CN" altLang="en-US" sz="1400" b="0">
                <a:latin typeface="仿宋" panose="02010609060101010101" pitchFamily="3" charset="-122"/>
                <a:ea typeface="仿宋" panose="02010609060101010101" pitchFamily="3" charset="-122"/>
              </a:rPr>
              <a:t>年决算收入结构图 </a:t>
            </a:r>
            <a:endParaRPr lang="zh-CN" altLang="en-US" sz="1400" b="0">
              <a:latin typeface="仿宋" panose="02010609060101010101" pitchFamily="3" charset="-122"/>
              <a:ea typeface="仿宋" panose="02010609060101010101" pitchFamily="3" charset="-122"/>
            </a:endParaRPr>
          </a:p>
        </c:rich>
      </c:tx>
      <c:layout/>
      <c:overlay val="0"/>
    </c:title>
    <c:autoTitleDeleted val="0"/>
    <c:plotArea>
      <c:layout/>
      <c:pieChart>
        <c:varyColors val="1"/>
        <c:ser>
          <c:idx val="0"/>
          <c:order val="0"/>
          <c:tx>
            <c:strRef>
              <c:f>单位决算收入结构图!$B$1:$B$2</c:f>
              <c:strCache>
                <c:ptCount val="1"/>
                <c:pt idx="0">
                  <c:v>2020年决算收入结构图 金额</c:v>
                </c:pt>
              </c:strCache>
            </c:strRef>
          </c:tx>
          <c:explosion val="0"/>
          <c:dPt>
            <c:idx val="0"/>
            <c:bubble3D val="0"/>
          </c:dPt>
          <c:dPt>
            <c:idx val="1"/>
            <c:bubble3D val="0"/>
          </c:dPt>
          <c:dPt>
            <c:idx val="2"/>
            <c:bubble3D val="0"/>
          </c:dPt>
          <c:dPt>
            <c:idx val="3"/>
            <c:bubble3D val="0"/>
          </c:dPt>
          <c:dLbls>
            <c:dLbl>
              <c:idx val="0"/>
              <c:layout>
                <c:manualLayout>
                  <c:x val="-0.157825651540393"/>
                  <c:y val="-0.090681071009468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15.16</a:t>
                    </a:r>
                    <a:r>
                      <a:rPr lang="zh-CN" altLang="en-US"/>
                      <a:t>，</a:t>
                    </a:r>
                    <a:r>
                      <a:rPr lang="en-US" altLang="zh-CN"/>
                      <a:t>0.54%</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22470229196034"/>
                  <c:y val="0.13342183762865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2724.21,96.09%</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24722226177424"/>
                  <c:y val="0.00060376411992869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34.98</a:t>
                    </a:r>
                    <a:r>
                      <a:rPr lang="zh-CN" altLang="en-US"/>
                      <a:t>，</a:t>
                    </a:r>
                    <a:r>
                      <a:rPr lang="en-US" altLang="zh-CN"/>
                      <a:t>1.23%</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878375646082214"/>
                  <c:y val="-0.0016586493241245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60.78,2.14%</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单位决算收入结构图!$A$3:$A$6</c:f>
              <c:strCache>
                <c:ptCount val="4"/>
                <c:pt idx="0">
                  <c:v>国有资本经营预算支出</c:v>
                </c:pt>
                <c:pt idx="1">
                  <c:v>社会保障和就业支出</c:v>
                </c:pt>
                <c:pt idx="2">
                  <c:v>医疗卫生与计划生育支出</c:v>
                </c:pt>
                <c:pt idx="3">
                  <c:v>住房保障支出</c:v>
                </c:pt>
              </c:strCache>
            </c:strRef>
          </c:cat>
          <c:val>
            <c:numRef>
              <c:f>单位决算收入结构图!$B$3:$B$6</c:f>
              <c:numCache>
                <c:formatCode>General</c:formatCode>
                <c:ptCount val="4"/>
                <c:pt idx="0">
                  <c:v>15.16</c:v>
                </c:pt>
                <c:pt idx="1">
                  <c:v>2724.21</c:v>
                </c:pt>
                <c:pt idx="2">
                  <c:v>34.98</c:v>
                </c:pt>
                <c:pt idx="3">
                  <c:v>60.78</c:v>
                </c:pt>
              </c:numCache>
            </c:numRef>
          </c:val>
        </c:ser>
        <c:ser>
          <c:idx val="1"/>
          <c:order val="1"/>
          <c:tx>
            <c:strRef>
              <c:f>单位决算收入结构图!$C$1:$C$2</c:f>
              <c:strCache>
                <c:ptCount val="1"/>
                <c:pt idx="0">
                  <c:v>2020年决算收入结构图 占比</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单位决算收入结构图!$A$3:$A$6</c:f>
              <c:strCache>
                <c:ptCount val="4"/>
                <c:pt idx="0">
                  <c:v>国有资本经营预算支出</c:v>
                </c:pt>
                <c:pt idx="1">
                  <c:v>社会保障和就业支出</c:v>
                </c:pt>
                <c:pt idx="2">
                  <c:v>医疗卫生与计划生育支出</c:v>
                </c:pt>
                <c:pt idx="3">
                  <c:v>住房保障支出</c:v>
                </c:pt>
              </c:strCache>
            </c:strRef>
          </c:cat>
          <c:val>
            <c:numRef>
              <c:f>单位决算收入结构图!$C$3:$C$6</c:f>
              <c:numCache>
                <c:formatCode>General</c:formatCode>
                <c:ptCount val="4"/>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21496110454549"/>
          <c:y val="0.370007435077442"/>
          <c:w val="0.321276313451306"/>
          <c:h val="0.34199363377450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6d9c8d9b-a8c6-4341-ac45-e978cc701271}"/>
      </c:ext>
    </c:extLst>
  </c:chart>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0717410323709"/>
          <c:y val="0.240666731473381"/>
          <c:w val="0.686193569553807"/>
          <c:h val="0.430705421081624"/>
        </c:manualLayout>
      </c:layout>
      <c:barChart>
        <c:barDir val="col"/>
        <c:grouping val="clustered"/>
        <c:varyColors val="0"/>
        <c:ser>
          <c:idx val="0"/>
          <c:order val="0"/>
          <c:tx>
            <c:strRef>
              <c:f>预算</c:f>
              <c:strCache>
                <c:ptCount val="1"/>
                <c:pt idx="0">
                  <c:v>预算</c:v>
                </c:pt>
              </c:strCache>
            </c:strRef>
          </c:tx>
          <c:invertIfNegative val="0"/>
          <c:dLbls>
            <c:delete val="1"/>
          </c:dLbls>
          <c:cat>
            <c:strRef>
              <c:f>预算支出预决算支出对比图!$B$5:$B$8</c:f>
              <c:strCache>
                <c:ptCount val="4"/>
                <c:pt idx="0">
                  <c:v>一般公共服务支出</c:v>
                </c:pt>
                <c:pt idx="1">
                  <c:v>社会保障和就业支出</c:v>
                </c:pt>
                <c:pt idx="2">
                  <c:v>医疗卫生与计划生育支出</c:v>
                </c:pt>
                <c:pt idx="3">
                  <c:v>住房保障支出</c:v>
                </c:pt>
              </c:strCache>
            </c:strRef>
          </c:cat>
          <c:val>
            <c:numRef>
              <c:f>预算支出预决算支出对比图!$C$5:$C$8</c:f>
              <c:numCache>
                <c:formatCode>General</c:formatCode>
                <c:ptCount val="4"/>
                <c:pt idx="1">
                  <c:v>2356.76</c:v>
                </c:pt>
                <c:pt idx="2">
                  <c:v>36.35</c:v>
                </c:pt>
                <c:pt idx="3">
                  <c:v>48.88</c:v>
                </c:pt>
              </c:numCache>
            </c:numRef>
          </c:val>
        </c:ser>
        <c:ser>
          <c:idx val="1"/>
          <c:order val="1"/>
          <c:tx>
            <c:strRef>
              <c:f>决算</c:f>
              <c:strCache>
                <c:ptCount val="1"/>
                <c:pt idx="0">
                  <c:v>决算</c:v>
                </c:pt>
              </c:strCache>
            </c:strRef>
          </c:tx>
          <c:invertIfNegative val="0"/>
          <c:dLbls>
            <c:delete val="1"/>
          </c:dLbls>
          <c:cat>
            <c:strRef>
              <c:f>预算支出预决算支出对比图!$B$5:$B$8</c:f>
              <c:strCache>
                <c:ptCount val="4"/>
                <c:pt idx="0">
                  <c:v>一般公共服务支出</c:v>
                </c:pt>
                <c:pt idx="1">
                  <c:v>社会保障和就业支出</c:v>
                </c:pt>
                <c:pt idx="2">
                  <c:v>医疗卫生与计划生育支出</c:v>
                </c:pt>
                <c:pt idx="3">
                  <c:v>住房保障支出</c:v>
                </c:pt>
              </c:strCache>
            </c:strRef>
          </c:cat>
          <c:val>
            <c:numRef>
              <c:f>预算支出预决算支出对比图!$D$5:$D$8</c:f>
              <c:numCache>
                <c:formatCode>General</c:formatCode>
                <c:ptCount val="4"/>
                <c:pt idx="1" c:formatCode="#,##0.00">
                  <c:v>2718.95</c:v>
                </c:pt>
                <c:pt idx="2" c:formatCode="#,##0.00">
                  <c:v>34.98</c:v>
                </c:pt>
                <c:pt idx="3">
                  <c:v>60.78</c:v>
                </c:pt>
              </c:numCache>
            </c:numRef>
          </c:val>
        </c:ser>
        <c:dLbls>
          <c:showLegendKey val="0"/>
          <c:showVal val="0"/>
          <c:showCatName val="0"/>
          <c:showSerName val="0"/>
          <c:showPercent val="0"/>
          <c:showBubbleSize val="0"/>
        </c:dLbls>
        <c:gapWidth val="150"/>
        <c:axId val="226272384"/>
        <c:axId val="226274688"/>
      </c:barChart>
      <c:catAx>
        <c:axId val="2262723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6274688"/>
        <c:crosses val="autoZero"/>
        <c:auto val="1"/>
        <c:lblAlgn val="ctr"/>
        <c:lblOffset val="100"/>
        <c:noMultiLvlLbl val="0"/>
      </c:catAx>
      <c:valAx>
        <c:axId val="2262746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6272384"/>
        <c:crosses val="autoZero"/>
        <c:crossBetween val="between"/>
      </c:valAx>
    </c:plotArea>
    <c:legend>
      <c:legendPos val="r"/>
      <c:layout>
        <c:manualLayout>
          <c:xMode val="edge"/>
          <c:yMode val="edge"/>
          <c:x val="0.814916254976037"/>
          <c:y val="0.467532043505649"/>
          <c:w val="0.102308404395509"/>
          <c:h val="0.16020299788107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6c10897-007a-4eb2-a5d6-5553ad37fc63}"/>
      </c:ext>
    </c:extLst>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0.15833</cdr:x>
      <cdr:y>0.03448</cdr:y>
    </cdr:from>
    <cdr:to>
      <cdr:x>0.825</cdr:x>
      <cdr:y>0.13333</cdr:y>
    </cdr:to>
    <cdr:sp>
      <cdr:nvSpPr>
        <cdr:cNvPr id="2" name="矩形 1"/>
        <cdr:cNvSpPr/>
      </cdr:nvSpPr>
      <cdr:spPr xmlns:a="http://schemas.openxmlformats.org/drawingml/2006/main">
        <a:xfrm xmlns:a="http://schemas.openxmlformats.org/drawingml/2006/main">
          <a:off x="784224" y="104776"/>
          <a:ext cx="3302001" cy="300356"/>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en-US" altLang="zh-CN" sz="1400">
              <a:latin typeface="仿宋" panose="02010609060101010101" pitchFamily="3" charset="-122"/>
              <a:ea typeface="仿宋" panose="02010609060101010101" pitchFamily="3" charset="-122"/>
            </a:rPr>
            <a:t>2021</a:t>
          </a:r>
          <a:r>
            <a:rPr lang="zh-CN" altLang="en-US" sz="1400">
              <a:latin typeface="仿宋" panose="02010609060101010101" pitchFamily="3" charset="-122"/>
              <a:ea typeface="仿宋" panose="02010609060101010101" pitchFamily="3" charset="-122"/>
            </a:rPr>
            <a:t>年度预算收入与决算收入对比图</a:t>
          </a:r>
          <a:endParaRPr lang="zh-CN" altLang="en-US" sz="1400">
            <a:latin typeface="仿宋" panose="02010609060101010101" pitchFamily="3" charset="-122"/>
            <a:ea typeface="仿宋" panose="02010609060101010101" pitchFamily="3" charset="-122"/>
          </a:endParaRPr>
        </a:p>
      </cdr:txBody>
    </cdr:sp>
  </cdr:relSizeAnchor>
  <cdr:relSizeAnchor xmlns:cdr="http://schemas.openxmlformats.org/drawingml/2006/chartDrawing">
    <cdr:from>
      <cdr:x>0.80833</cdr:x>
      <cdr:y>0.1679</cdr:y>
    </cdr:from>
    <cdr:to>
      <cdr:x>0.96875</cdr:x>
      <cdr:y>0.22963</cdr:y>
    </cdr:to>
    <cdr:sp>
      <cdr:nvSpPr>
        <cdr:cNvPr id="3" name="矩形 2"/>
        <cdr:cNvSpPr/>
      </cdr:nvSpPr>
      <cdr:spPr xmlns:a="http://schemas.openxmlformats.org/drawingml/2006/main">
        <a:xfrm xmlns:a="http://schemas.openxmlformats.org/drawingml/2006/main">
          <a:off x="3695700" y="647701"/>
          <a:ext cx="733425" cy="23812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800"/>
            <a:t>单位：万元</a:t>
          </a:r>
          <a:endParaRPr lang="zh-CN" altLang="en-US" sz="800"/>
        </a:p>
      </cdr:txBody>
    </cdr:sp>
  </cdr:relSizeAnchor>
</c:userShapes>
</file>

<file path=word/drawings/drawing2.xml><?xml version="1.0" encoding="utf-8"?>
<c:userShapes xmlns:c="http://schemas.openxmlformats.org/drawingml/2006/chart">
  <cdr:relSizeAnchor xmlns:cdr="http://schemas.openxmlformats.org/drawingml/2006/chartDrawing">
    <cdr:from>
      <cdr:x>0.73599</cdr:x>
      <cdr:y>0.18831</cdr:y>
    </cdr:from>
    <cdr:to>
      <cdr:x>0.94394</cdr:x>
      <cdr:y>0.26623</cdr:y>
    </cdr:to>
    <cdr:sp>
      <cdr:nvSpPr>
        <cdr:cNvPr id="2" name="矩形 1"/>
        <cdr:cNvSpPr/>
      </cdr:nvSpPr>
      <cdr:spPr xmlns:a="http://schemas.openxmlformats.org/drawingml/2006/main">
        <a:xfrm xmlns:a="http://schemas.openxmlformats.org/drawingml/2006/main">
          <a:off x="3876676" y="552450"/>
          <a:ext cx="1095375" cy="2286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3.xml><?xml version="1.0" encoding="utf-8"?>
<c:userShapes xmlns:c="http://schemas.openxmlformats.org/drawingml/2006/chart">
  <cdr:relSizeAnchor xmlns:cdr="http://schemas.openxmlformats.org/drawingml/2006/chartDrawing">
    <cdr:from>
      <cdr:x>0.15833</cdr:x>
      <cdr:y>0.03448</cdr:y>
    </cdr:from>
    <cdr:to>
      <cdr:x>0.825</cdr:x>
      <cdr:y>0.13333</cdr:y>
    </cdr:to>
    <cdr:sp>
      <cdr:nvSpPr>
        <cdr:cNvPr id="2" name="矩形 1"/>
        <cdr:cNvSpPr/>
      </cdr:nvSpPr>
      <cdr:spPr xmlns:a="http://schemas.openxmlformats.org/drawingml/2006/main">
        <a:xfrm xmlns:a="http://schemas.openxmlformats.org/drawingml/2006/main">
          <a:off x="784224" y="104776"/>
          <a:ext cx="3302001" cy="300356"/>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en-US" altLang="zh-CN" sz="1400">
              <a:latin typeface="仿宋" panose="02010609060101010101" pitchFamily="3" charset="-122"/>
              <a:ea typeface="仿宋" panose="02010609060101010101" pitchFamily="3" charset="-122"/>
            </a:rPr>
            <a:t>2021</a:t>
          </a:r>
          <a:r>
            <a:rPr lang="zh-CN" altLang="en-US" sz="1400">
              <a:latin typeface="仿宋" panose="02010609060101010101" pitchFamily="3" charset="-122"/>
              <a:ea typeface="仿宋" panose="02010609060101010101" pitchFamily="3" charset="-122"/>
            </a:rPr>
            <a:t>年预算支出与决算支出对比图</a:t>
          </a:r>
          <a:endParaRPr lang="zh-CN" altLang="en-US" sz="1400">
            <a:latin typeface="仿宋" panose="02010609060101010101" pitchFamily="3" charset="-122"/>
            <a:ea typeface="仿宋" panose="02010609060101010101" pitchFamily="3" charset="-122"/>
          </a:endParaRPr>
        </a:p>
      </cdr:txBody>
    </cdr:sp>
  </cdr:relSizeAnchor>
  <cdr:relSizeAnchor xmlns:cdr="http://schemas.openxmlformats.org/drawingml/2006/chartDrawing">
    <cdr:from>
      <cdr:x>0.80833</cdr:x>
      <cdr:y>0.1679</cdr:y>
    </cdr:from>
    <cdr:to>
      <cdr:x>0.96875</cdr:x>
      <cdr:y>0.22963</cdr:y>
    </cdr:to>
    <cdr:sp>
      <cdr:nvSpPr>
        <cdr:cNvPr id="3" name="矩形 2"/>
        <cdr:cNvSpPr/>
      </cdr:nvSpPr>
      <cdr:spPr xmlns:a="http://schemas.openxmlformats.org/drawingml/2006/main">
        <a:xfrm xmlns:a="http://schemas.openxmlformats.org/drawingml/2006/main">
          <a:off x="3695700" y="647701"/>
          <a:ext cx="733425" cy="23812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800"/>
            <a:t>单位：万元</a:t>
          </a:r>
          <a:endParaRPr lang="zh-CN" altLang="en-US" sz="8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77CD7-7649-4F61-A5AD-601B62F7A26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12688</Words>
  <Characters>13919</Characters>
  <Lines>113</Lines>
  <Paragraphs>31</Paragraphs>
  <TotalTime>775</TotalTime>
  <ScaleCrop>false</ScaleCrop>
  <LinksUpToDate>false</LinksUpToDate>
  <CharactersWithSpaces>14095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Am</cp:lastModifiedBy>
  <cp:lastPrinted>2022-11-17T06:24:00Z</cp:lastPrinted>
  <dcterms:modified xsi:type="dcterms:W3CDTF">2026-02-02T03:11:06Z</dcterms:modified>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7E7588654FC244E380CF99C244D2BB12</vt:lpwstr>
  </property>
  <property fmtid="{D5CDD505-2E9C-101B-9397-08002B2CF9AE}" pid="4" name="KSOTemplateDocerSaveRecord">
    <vt:lpwstr>eyJoZGlkIjoiYjZkOTdiNmRlNjVjYTc0MzZmZTVjZTVmMjZhMTMyMmMiLCJ1c2VySWQiOiIxMjI0Mjk2Nzk5In0=</vt:lpwstr>
  </property>
</Properties>
</file>