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696D8F">
      <w:pPr>
        <w:jc w:val="center"/>
        <w:rPr>
          <w:b/>
          <w:sz w:val="44"/>
          <w:szCs w:val="44"/>
        </w:rPr>
      </w:pPr>
      <w:r>
        <w:rPr>
          <w:rFonts w:hint="eastAsia"/>
          <w:b/>
          <w:sz w:val="44"/>
          <w:szCs w:val="44"/>
        </w:rPr>
        <w:t>第一部分</w:t>
      </w:r>
      <w:r>
        <w:rPr>
          <w:b/>
          <w:sz w:val="44"/>
          <w:szCs w:val="44"/>
        </w:rPr>
        <w:t xml:space="preserve">  </w:t>
      </w:r>
      <w:r>
        <w:rPr>
          <w:rFonts w:hint="eastAsia"/>
          <w:b/>
          <w:sz w:val="44"/>
          <w:szCs w:val="44"/>
        </w:rPr>
        <w:t>保定市徐水区交通运输局</w:t>
      </w:r>
      <w:r>
        <w:rPr>
          <w:b/>
          <w:sz w:val="44"/>
          <w:szCs w:val="44"/>
        </w:rPr>
        <w:t xml:space="preserve">      </w:t>
      </w:r>
      <w:r>
        <w:rPr>
          <w:rFonts w:hint="eastAsia"/>
          <w:b/>
          <w:sz w:val="44"/>
          <w:szCs w:val="44"/>
        </w:rPr>
        <w:t>部门概况</w:t>
      </w:r>
    </w:p>
    <w:p w14:paraId="0AFADAF8">
      <w:pPr>
        <w:ind w:firstLine="560" w:firstLineChars="200"/>
        <w:jc w:val="left"/>
        <w:rPr>
          <w:rFonts w:ascii="黑体" w:hAnsi="黑体" w:eastAsia="黑体"/>
          <w:snapToGrid w:val="0"/>
          <w:kern w:val="0"/>
          <w:sz w:val="28"/>
          <w:szCs w:val="28"/>
        </w:rPr>
      </w:pPr>
      <w:r>
        <w:rPr>
          <w:rFonts w:hint="eastAsia" w:ascii="黑体" w:hAnsi="黑体" w:eastAsia="黑体"/>
          <w:snapToGrid w:val="0"/>
          <w:kern w:val="0"/>
          <w:sz w:val="28"/>
          <w:szCs w:val="28"/>
        </w:rPr>
        <w:t>一、部门职责</w:t>
      </w:r>
    </w:p>
    <w:p w14:paraId="16555EAF">
      <w:pPr>
        <w:ind w:firstLine="540" w:firstLineChars="200"/>
        <w:jc w:val="left"/>
        <w:rPr>
          <w:rFonts w:ascii="Arial" w:hAnsi="Arial" w:cs="Arial"/>
          <w:sz w:val="27"/>
          <w:szCs w:val="27"/>
        </w:rPr>
      </w:pPr>
      <w:r>
        <w:rPr>
          <w:rFonts w:hint="eastAsia" w:ascii="Arial" w:hAnsi="Arial" w:cs="Arial"/>
          <w:sz w:val="27"/>
          <w:szCs w:val="27"/>
        </w:rPr>
        <w:t>根据保定市徐水县人民政府办公室《关于印发</w:t>
      </w:r>
      <w:r>
        <w:rPr>
          <w:rFonts w:hint="eastAsia" w:ascii="Arial" w:hAnsi="Arial" w:cs="Arial"/>
          <w:sz w:val="27"/>
          <w:szCs w:val="27"/>
          <w:lang w:eastAsia="zh-CN"/>
        </w:rPr>
        <w:t>〈</w:t>
      </w:r>
      <w:bookmarkStart w:id="3" w:name="_GoBack"/>
      <w:bookmarkEnd w:id="3"/>
      <w:r>
        <w:rPr>
          <w:rFonts w:hint="eastAsia" w:ascii="Arial" w:hAnsi="Arial" w:cs="Arial"/>
          <w:sz w:val="27"/>
          <w:szCs w:val="27"/>
        </w:rPr>
        <w:t>徐水县交通运输局主要职责、内设机构和人员编制规定</w:t>
      </w:r>
      <w:r>
        <w:rPr>
          <w:rFonts w:hint="eastAsia" w:ascii="Arial" w:hAnsi="Arial" w:cs="Arial"/>
          <w:sz w:val="27"/>
          <w:szCs w:val="27"/>
          <w:lang w:eastAsia="zh-CN"/>
        </w:rPr>
        <w:t>〉</w:t>
      </w:r>
      <w:r>
        <w:rPr>
          <w:rFonts w:hint="eastAsia" w:ascii="Arial" w:hAnsi="Arial" w:cs="Arial"/>
          <w:sz w:val="27"/>
          <w:szCs w:val="27"/>
        </w:rPr>
        <w:t>的通知》（徐政办</w:t>
      </w:r>
      <w:r>
        <w:rPr>
          <w:rFonts w:ascii="Arial" w:hAnsi="Arial" w:cs="Arial"/>
          <w:sz w:val="27"/>
          <w:szCs w:val="27"/>
        </w:rPr>
        <w:t>[2010]71</w:t>
      </w:r>
      <w:r>
        <w:rPr>
          <w:rFonts w:hint="eastAsia" w:ascii="Arial" w:hAnsi="Arial" w:cs="Arial"/>
          <w:sz w:val="27"/>
          <w:szCs w:val="27"/>
        </w:rPr>
        <w:t>号），现将我局部门职责概况说明如下：</w:t>
      </w:r>
    </w:p>
    <w:p w14:paraId="1740D3E6">
      <w:pPr>
        <w:ind w:firstLine="540" w:firstLineChars="200"/>
        <w:jc w:val="left"/>
        <w:rPr>
          <w:rFonts w:ascii="宋体"/>
          <w:b/>
          <w:sz w:val="36"/>
          <w:szCs w:val="36"/>
        </w:rPr>
      </w:pPr>
      <w:r>
        <w:rPr>
          <w:rFonts w:hint="eastAsia" w:ascii="Arial" w:hAnsi="Arial" w:cs="Arial"/>
          <w:sz w:val="27"/>
          <w:szCs w:val="27"/>
        </w:rPr>
        <w:t>（一）根据区总体部署，拟定全区公路、水路交通发展规划、中长期规划和年度计划。</w:t>
      </w:r>
      <w:r>
        <w:rPr>
          <w:rFonts w:ascii="Arial" w:hAnsi="Arial" w:cs="Arial"/>
          <w:sz w:val="27"/>
          <w:szCs w:val="27"/>
        </w:rPr>
        <w:br w:type="textWrapping"/>
      </w:r>
      <w:r>
        <w:rPr>
          <w:rFonts w:hint="eastAsia" w:ascii="Arial" w:hAnsi="Arial" w:cs="Arial"/>
          <w:sz w:val="27"/>
          <w:szCs w:val="27"/>
        </w:rPr>
        <w:t>　　（二）负责全区公路、水路的运输行业管理和运输组织管理；负责全区营业性客货运输停车站（场）的行业管理；负责全区出租汽车管理。</w:t>
      </w:r>
      <w:r>
        <w:rPr>
          <w:rFonts w:ascii="Arial" w:hAnsi="Arial" w:cs="Arial"/>
          <w:sz w:val="27"/>
          <w:szCs w:val="27"/>
        </w:rPr>
        <w:br w:type="textWrapping"/>
      </w:r>
      <w:r>
        <w:rPr>
          <w:rFonts w:hint="eastAsia" w:ascii="Arial" w:hAnsi="Arial" w:cs="Arial"/>
          <w:sz w:val="27"/>
          <w:szCs w:val="27"/>
        </w:rPr>
        <w:t>　　（三）会同有关部门培育和管理交通运输市场和交通基础设施建设，引导交通运输业优化结构，协调发展。</w:t>
      </w:r>
      <w:r>
        <w:rPr>
          <w:rFonts w:ascii="Arial" w:hAnsi="Arial" w:cs="Arial"/>
          <w:sz w:val="27"/>
          <w:szCs w:val="27"/>
        </w:rPr>
        <w:br w:type="textWrapping"/>
      </w:r>
      <w:r>
        <w:rPr>
          <w:rFonts w:hint="eastAsia" w:ascii="Arial" w:hAnsi="Arial" w:cs="Arial"/>
          <w:sz w:val="27"/>
          <w:szCs w:val="27"/>
        </w:rPr>
        <w:t>　　（四）组织县乡公路及其设施的建设、养护、管理和规费稽征；负责全区道路运输市场、汽车维修市场、车辆技术检测、汽车驾驶学校和驾驶员工作的行业管理；指导和管理城乡客、货运输的衔接协调工作。</w:t>
      </w:r>
      <w:r>
        <w:rPr>
          <w:rFonts w:ascii="Arial" w:hAnsi="Arial" w:cs="Arial"/>
          <w:sz w:val="27"/>
          <w:szCs w:val="27"/>
        </w:rPr>
        <w:br w:type="textWrapping"/>
      </w:r>
      <w:r>
        <w:rPr>
          <w:rFonts w:hint="eastAsia" w:ascii="Arial" w:hAnsi="Arial" w:cs="Arial"/>
          <w:sz w:val="27"/>
          <w:szCs w:val="27"/>
        </w:rPr>
        <w:t>　　（五）负责全区车辆规费稽征；负责水上港航监督、船舶检验维修、救助打捞、通信导航、船舶代理、航道和港航设施建设使用岸线的行业管理。</w:t>
      </w:r>
      <w:r>
        <w:rPr>
          <w:rFonts w:ascii="Arial" w:hAnsi="Arial" w:cs="Arial"/>
          <w:sz w:val="27"/>
          <w:szCs w:val="27"/>
        </w:rPr>
        <w:br w:type="textWrapping"/>
      </w:r>
      <w:r>
        <w:rPr>
          <w:rFonts w:hint="eastAsia" w:ascii="Arial" w:hAnsi="Arial" w:cs="Arial"/>
          <w:sz w:val="27"/>
          <w:szCs w:val="27"/>
        </w:rPr>
        <w:t>　　（六）指导全区交通行业体制改革和企业管理；负责局属单位国有资产管理；组织全区交通系统内部审计工作。</w:t>
      </w:r>
      <w:r>
        <w:rPr>
          <w:rFonts w:ascii="Arial" w:hAnsi="Arial" w:cs="Arial"/>
          <w:sz w:val="27"/>
          <w:szCs w:val="27"/>
        </w:rPr>
        <w:br w:type="textWrapping"/>
      </w:r>
      <w:r>
        <w:rPr>
          <w:rFonts w:hint="eastAsia" w:ascii="Arial" w:hAnsi="Arial" w:cs="Arial"/>
          <w:sz w:val="27"/>
          <w:szCs w:val="27"/>
        </w:rPr>
        <w:t>　　（七）制定交通科技政策、技术标准和规范；组织科技开发，推动行业技术进步；负责交通工程质量监督；按照有关规定组织交通工业产品的认证和质量监督。指导全区交通行业人才开发、预测、教育、培训、交流和使用工作。</w:t>
      </w:r>
      <w:r>
        <w:rPr>
          <w:rFonts w:ascii="Arial" w:hAnsi="Arial" w:cs="Arial"/>
          <w:sz w:val="27"/>
          <w:szCs w:val="27"/>
        </w:rPr>
        <w:br w:type="textWrapping"/>
      </w:r>
      <w:r>
        <w:rPr>
          <w:rFonts w:hint="eastAsia" w:ascii="Arial" w:hAnsi="Arial" w:cs="Arial"/>
          <w:sz w:val="27"/>
          <w:szCs w:val="27"/>
        </w:rPr>
        <w:t>　　（八）负责局机关并指导局属单位人事、劳动、机构编制管理，人力资源开发工作；负责直属单位领导班子建设；受有关部门委托，负责全区机关、企事业单位汽车专业和与交通相关的专业工程工人技术等级培训、考核工作；指导全区交通行业的精神文明建设和职工队伍思想建设。交通系统内的宣传工作。</w:t>
      </w:r>
      <w:r>
        <w:rPr>
          <w:rFonts w:ascii="Arial" w:hAnsi="Arial" w:cs="Arial"/>
          <w:sz w:val="27"/>
          <w:szCs w:val="27"/>
        </w:rPr>
        <w:br w:type="textWrapping"/>
      </w:r>
      <w:r>
        <w:rPr>
          <w:rFonts w:hint="eastAsia" w:ascii="Arial" w:hAnsi="Arial" w:cs="Arial"/>
          <w:sz w:val="27"/>
          <w:szCs w:val="27"/>
        </w:rPr>
        <w:t>　　（九）指导全区交通行业涉外工作，指导利用外资。</w:t>
      </w:r>
      <w:r>
        <w:rPr>
          <w:rFonts w:ascii="Arial" w:hAnsi="Arial" w:cs="Arial"/>
          <w:sz w:val="27"/>
          <w:szCs w:val="27"/>
        </w:rPr>
        <w:br w:type="textWrapping"/>
      </w:r>
      <w:r>
        <w:rPr>
          <w:rFonts w:hint="eastAsia" w:ascii="Arial" w:hAnsi="Arial" w:cs="Arial"/>
          <w:sz w:val="27"/>
          <w:szCs w:val="27"/>
        </w:rPr>
        <w:t>　　（十）承办区政府交办的其他事项。</w:t>
      </w:r>
    </w:p>
    <w:p w14:paraId="17ADB7BE">
      <w:pPr>
        <w:ind w:firstLine="560" w:firstLineChars="200"/>
        <w:jc w:val="left"/>
        <w:rPr>
          <w:rFonts w:ascii="黑体" w:hAnsi="黑体" w:eastAsia="黑体"/>
          <w:snapToGrid w:val="0"/>
          <w:kern w:val="0"/>
          <w:sz w:val="28"/>
          <w:szCs w:val="28"/>
        </w:rPr>
      </w:pPr>
      <w:r>
        <w:rPr>
          <w:rFonts w:hint="eastAsia" w:ascii="黑体" w:hAnsi="黑体" w:eastAsia="黑体"/>
          <w:snapToGrid w:val="0"/>
          <w:kern w:val="0"/>
          <w:sz w:val="28"/>
          <w:szCs w:val="28"/>
        </w:rPr>
        <w:t>二、部门决算单位构成</w:t>
      </w:r>
    </w:p>
    <w:p w14:paraId="43FFAE05">
      <w:pPr>
        <w:ind w:firstLine="540" w:firstLineChars="200"/>
        <w:rPr>
          <w:rFonts w:ascii="Arial" w:hAnsi="Arial" w:cs="Arial"/>
          <w:sz w:val="27"/>
          <w:szCs w:val="27"/>
        </w:rPr>
      </w:pPr>
      <w:r>
        <w:rPr>
          <w:rFonts w:hint="eastAsia" w:ascii="Arial" w:hAnsi="Arial" w:cs="Arial"/>
          <w:sz w:val="27"/>
          <w:szCs w:val="27"/>
        </w:rPr>
        <w:t>根据上述职责，我单位独立核算机构</w:t>
      </w:r>
      <w:r>
        <w:rPr>
          <w:rFonts w:ascii="Arial" w:hAnsi="Arial" w:cs="Arial"/>
          <w:sz w:val="27"/>
          <w:szCs w:val="27"/>
        </w:rPr>
        <w:t>1</w:t>
      </w:r>
      <w:r>
        <w:rPr>
          <w:rFonts w:hint="eastAsia" w:ascii="Arial" w:hAnsi="Arial" w:cs="Arial"/>
          <w:sz w:val="27"/>
          <w:szCs w:val="27"/>
        </w:rPr>
        <w:t>个，本单位设</w:t>
      </w:r>
      <w:r>
        <w:rPr>
          <w:rFonts w:ascii="Arial" w:hAnsi="Arial" w:cs="Arial"/>
          <w:sz w:val="27"/>
          <w:szCs w:val="27"/>
        </w:rPr>
        <w:t>3</w:t>
      </w:r>
      <w:r>
        <w:rPr>
          <w:rFonts w:hint="eastAsia" w:ascii="Arial" w:hAnsi="Arial" w:cs="Arial"/>
          <w:sz w:val="27"/>
          <w:szCs w:val="27"/>
        </w:rPr>
        <w:t>个内设机构：综合股、财务股、地方道路管理股；有</w:t>
      </w:r>
      <w:r>
        <w:rPr>
          <w:rFonts w:ascii="Arial" w:hAnsi="Arial" w:cs="Arial"/>
          <w:sz w:val="27"/>
          <w:szCs w:val="27"/>
        </w:rPr>
        <w:t>2</w:t>
      </w:r>
      <w:r>
        <w:rPr>
          <w:rFonts w:hint="eastAsia" w:ascii="Arial" w:hAnsi="Arial" w:cs="Arial"/>
          <w:sz w:val="27"/>
          <w:szCs w:val="27"/>
        </w:rPr>
        <w:t>个下属事业单位：徐水道桥管理中心、道路运输管理站。</w:t>
      </w:r>
    </w:p>
    <w:p w14:paraId="3EC13788">
      <w:pPr>
        <w:adjustRightInd w:val="0"/>
        <w:snapToGrid w:val="0"/>
        <w:spacing w:line="600" w:lineRule="exact"/>
        <w:ind w:firstLine="540" w:firstLineChars="200"/>
        <w:rPr>
          <w:rFonts w:ascii="Arial" w:hAnsi="Arial" w:cs="Arial"/>
          <w:sz w:val="27"/>
          <w:szCs w:val="27"/>
        </w:rPr>
      </w:pPr>
      <w:r>
        <w:rPr>
          <w:rFonts w:hint="eastAsia" w:ascii="Arial" w:hAnsi="Arial" w:cs="Arial"/>
          <w:sz w:val="27"/>
          <w:szCs w:val="27"/>
        </w:rPr>
        <w:t>年末实有人数</w:t>
      </w:r>
      <w:r>
        <w:rPr>
          <w:rFonts w:ascii="Arial" w:hAnsi="Arial" w:cs="Arial"/>
          <w:sz w:val="27"/>
          <w:szCs w:val="27"/>
        </w:rPr>
        <w:t>168</w:t>
      </w:r>
      <w:r>
        <w:rPr>
          <w:rFonts w:hint="eastAsia" w:ascii="Arial" w:hAnsi="Arial" w:cs="Arial"/>
          <w:sz w:val="27"/>
          <w:szCs w:val="27"/>
        </w:rPr>
        <w:t>人，其中在职人员</w:t>
      </w:r>
      <w:r>
        <w:rPr>
          <w:rFonts w:ascii="Arial" w:hAnsi="Arial" w:cs="Arial"/>
          <w:sz w:val="27"/>
          <w:szCs w:val="27"/>
        </w:rPr>
        <w:t>153</w:t>
      </w:r>
      <w:r>
        <w:rPr>
          <w:rFonts w:hint="eastAsia" w:ascii="Arial" w:hAnsi="Arial" w:cs="Arial"/>
          <w:sz w:val="27"/>
          <w:szCs w:val="27"/>
        </w:rPr>
        <w:t>人，离休人员</w:t>
      </w:r>
      <w:r>
        <w:rPr>
          <w:rFonts w:ascii="Arial" w:hAnsi="Arial" w:cs="Arial"/>
          <w:sz w:val="27"/>
          <w:szCs w:val="27"/>
        </w:rPr>
        <w:t>0</w:t>
      </w:r>
      <w:r>
        <w:rPr>
          <w:rFonts w:hint="eastAsia" w:ascii="Arial" w:hAnsi="Arial" w:cs="Arial"/>
          <w:sz w:val="27"/>
          <w:szCs w:val="27"/>
        </w:rPr>
        <w:t>人，退休人员</w:t>
      </w:r>
      <w:r>
        <w:rPr>
          <w:rFonts w:ascii="Arial" w:hAnsi="Arial" w:cs="Arial"/>
          <w:sz w:val="27"/>
          <w:szCs w:val="27"/>
        </w:rPr>
        <w:t>15</w:t>
      </w:r>
      <w:r>
        <w:rPr>
          <w:rFonts w:hint="eastAsia" w:ascii="Arial" w:hAnsi="Arial" w:cs="Arial"/>
          <w:sz w:val="27"/>
          <w:szCs w:val="27"/>
        </w:rPr>
        <w:t>人。</w:t>
      </w:r>
    </w:p>
    <w:p w14:paraId="7E2E224F">
      <w:pPr>
        <w:jc w:val="center"/>
        <w:rPr>
          <w:b/>
          <w:sz w:val="44"/>
          <w:szCs w:val="44"/>
        </w:rPr>
      </w:pPr>
      <w:r>
        <w:rPr>
          <w:rFonts w:hint="eastAsia"/>
          <w:b/>
          <w:sz w:val="44"/>
          <w:szCs w:val="44"/>
        </w:rPr>
        <w:t>第二部分</w:t>
      </w:r>
      <w:r>
        <w:rPr>
          <w:b/>
          <w:sz w:val="44"/>
          <w:szCs w:val="44"/>
        </w:rPr>
        <w:t xml:space="preserve"> </w:t>
      </w:r>
      <w:r>
        <w:rPr>
          <w:rFonts w:hint="eastAsia"/>
          <w:b/>
          <w:sz w:val="44"/>
          <w:szCs w:val="44"/>
        </w:rPr>
        <w:t>保定市徐水区交通运输局部门</w:t>
      </w:r>
      <w:r>
        <w:rPr>
          <w:b/>
          <w:sz w:val="44"/>
          <w:szCs w:val="44"/>
        </w:rPr>
        <w:t>2017</w:t>
      </w:r>
      <w:r>
        <w:rPr>
          <w:rFonts w:hint="eastAsia"/>
          <w:b/>
          <w:sz w:val="44"/>
          <w:szCs w:val="44"/>
        </w:rPr>
        <w:t>年部门决算情况说明</w:t>
      </w:r>
    </w:p>
    <w:p w14:paraId="27990082">
      <w:pPr>
        <w:adjustRightInd w:val="0"/>
        <w:snapToGrid w:val="0"/>
        <w:spacing w:line="600" w:lineRule="exact"/>
        <w:ind w:firstLine="560" w:firstLineChars="200"/>
        <w:rPr>
          <w:rFonts w:ascii="黑体" w:hAnsi="黑体" w:eastAsia="黑体"/>
          <w:snapToGrid w:val="0"/>
          <w:kern w:val="0"/>
          <w:sz w:val="28"/>
          <w:szCs w:val="28"/>
        </w:rPr>
      </w:pPr>
      <w:r>
        <w:rPr>
          <w:rFonts w:hint="eastAsia" w:ascii="黑体" w:hAnsi="黑体" w:eastAsia="黑体"/>
          <w:snapToGrid w:val="0"/>
          <w:kern w:val="0"/>
          <w:sz w:val="28"/>
          <w:szCs w:val="28"/>
        </w:rPr>
        <w:t>一、收入支出决算总体情况说明</w:t>
      </w:r>
    </w:p>
    <w:p w14:paraId="7EFFECBD">
      <w:pPr>
        <w:adjustRightInd w:val="0"/>
        <w:snapToGrid w:val="0"/>
        <w:spacing w:line="600" w:lineRule="exact"/>
        <w:ind w:firstLine="560" w:firstLineChars="200"/>
        <w:rPr>
          <w:snapToGrid w:val="0"/>
          <w:kern w:val="0"/>
          <w:sz w:val="28"/>
          <w:szCs w:val="28"/>
        </w:rPr>
      </w:pPr>
      <w:r>
        <w:rPr>
          <w:rFonts w:hint="eastAsia"/>
          <w:snapToGrid w:val="0"/>
          <w:kern w:val="0"/>
          <w:sz w:val="28"/>
          <w:szCs w:val="28"/>
        </w:rPr>
        <w:t>本部门</w:t>
      </w:r>
      <w:r>
        <w:rPr>
          <w:snapToGrid w:val="0"/>
          <w:kern w:val="0"/>
          <w:sz w:val="28"/>
          <w:szCs w:val="28"/>
        </w:rPr>
        <w:t>2017</w:t>
      </w:r>
      <w:r>
        <w:rPr>
          <w:rFonts w:hint="eastAsia"/>
          <w:snapToGrid w:val="0"/>
          <w:kern w:val="0"/>
          <w:sz w:val="28"/>
          <w:szCs w:val="28"/>
        </w:rPr>
        <w:t>年本年收入总计</w:t>
      </w:r>
      <w:r>
        <w:rPr>
          <w:snapToGrid w:val="0"/>
          <w:kern w:val="0"/>
          <w:sz w:val="28"/>
          <w:szCs w:val="28"/>
        </w:rPr>
        <w:t>12060.80</w:t>
      </w:r>
      <w:r>
        <w:rPr>
          <w:rFonts w:hint="eastAsia"/>
          <w:snapToGrid w:val="0"/>
          <w:kern w:val="0"/>
          <w:sz w:val="28"/>
          <w:szCs w:val="28"/>
        </w:rPr>
        <w:t>万元，较上年增长11.23</w:t>
      </w:r>
      <w:r>
        <w:rPr>
          <w:snapToGrid w:val="0"/>
          <w:kern w:val="0"/>
          <w:sz w:val="28"/>
          <w:szCs w:val="28"/>
        </w:rPr>
        <w:t>%</w:t>
      </w:r>
      <w:r>
        <w:rPr>
          <w:rFonts w:hint="eastAsia"/>
          <w:snapToGrid w:val="0"/>
          <w:kern w:val="0"/>
          <w:sz w:val="28"/>
          <w:szCs w:val="28"/>
        </w:rPr>
        <w:t>，增收1217.58万元，原因：工资普调及津补贴调标，人员经费增加及新增工程项目增加；本年支出总计</w:t>
      </w:r>
      <w:r>
        <w:rPr>
          <w:snapToGrid w:val="0"/>
          <w:kern w:val="0"/>
          <w:sz w:val="28"/>
          <w:szCs w:val="28"/>
        </w:rPr>
        <w:t>8920.68</w:t>
      </w:r>
      <w:r>
        <w:rPr>
          <w:rFonts w:hint="eastAsia"/>
          <w:snapToGrid w:val="0"/>
          <w:kern w:val="0"/>
          <w:sz w:val="28"/>
          <w:szCs w:val="28"/>
        </w:rPr>
        <w:t>万元，较上年减少34.65</w:t>
      </w:r>
      <w:r>
        <w:rPr>
          <w:snapToGrid w:val="0"/>
          <w:kern w:val="0"/>
          <w:sz w:val="28"/>
          <w:szCs w:val="28"/>
        </w:rPr>
        <w:t>%</w:t>
      </w:r>
      <w:r>
        <w:rPr>
          <w:rFonts w:hint="eastAsia"/>
          <w:snapToGrid w:val="0"/>
          <w:kern w:val="0"/>
          <w:sz w:val="28"/>
          <w:szCs w:val="28"/>
        </w:rPr>
        <w:t>，减少4729.77万元，原因：项目减少及部分工程当年未达进度不能进行拨款而需结转下年；年末结转结余3335.99万元。</w:t>
      </w:r>
    </w:p>
    <w:p w14:paraId="42F899FE">
      <w:pPr>
        <w:adjustRightInd w:val="0"/>
        <w:snapToGrid w:val="0"/>
        <w:spacing w:line="600" w:lineRule="exact"/>
        <w:ind w:firstLine="560" w:firstLineChars="200"/>
        <w:rPr>
          <w:rFonts w:ascii="黑体" w:hAnsi="黑体" w:eastAsia="黑体"/>
          <w:snapToGrid w:val="0"/>
          <w:kern w:val="0"/>
          <w:sz w:val="28"/>
          <w:szCs w:val="28"/>
        </w:rPr>
      </w:pPr>
      <w:r>
        <w:rPr>
          <w:rFonts w:hint="eastAsia" w:ascii="黑体" w:hAnsi="黑体" w:eastAsia="黑体"/>
          <w:snapToGrid w:val="0"/>
          <w:kern w:val="0"/>
          <w:sz w:val="28"/>
          <w:szCs w:val="28"/>
        </w:rPr>
        <w:t>二、收入决算情况说明</w:t>
      </w:r>
    </w:p>
    <w:p w14:paraId="46C08B3A">
      <w:pPr>
        <w:adjustRightInd w:val="0"/>
        <w:snapToGrid w:val="0"/>
        <w:spacing w:line="600" w:lineRule="exact"/>
        <w:ind w:firstLine="560" w:firstLineChars="200"/>
        <w:rPr>
          <w:snapToGrid w:val="0"/>
          <w:kern w:val="0"/>
          <w:sz w:val="28"/>
          <w:szCs w:val="28"/>
        </w:rPr>
      </w:pPr>
      <w:r>
        <w:rPr>
          <w:rFonts w:hint="eastAsia"/>
          <w:snapToGrid w:val="0"/>
          <w:kern w:val="0"/>
          <w:sz w:val="28"/>
          <w:szCs w:val="28"/>
        </w:rPr>
        <w:t>本部门</w:t>
      </w:r>
      <w:r>
        <w:rPr>
          <w:snapToGrid w:val="0"/>
          <w:kern w:val="0"/>
          <w:sz w:val="28"/>
          <w:szCs w:val="28"/>
        </w:rPr>
        <w:t>2017</w:t>
      </w:r>
      <w:r>
        <w:rPr>
          <w:rFonts w:hint="eastAsia"/>
          <w:snapToGrid w:val="0"/>
          <w:kern w:val="0"/>
          <w:sz w:val="28"/>
          <w:szCs w:val="28"/>
        </w:rPr>
        <w:t>年度收入总计</w:t>
      </w:r>
      <w:r>
        <w:rPr>
          <w:snapToGrid w:val="0"/>
          <w:kern w:val="0"/>
          <w:sz w:val="28"/>
          <w:szCs w:val="28"/>
        </w:rPr>
        <w:t>12060.80</w:t>
      </w:r>
      <w:r>
        <w:rPr>
          <w:rFonts w:hint="eastAsia"/>
          <w:snapToGrid w:val="0"/>
          <w:kern w:val="0"/>
          <w:sz w:val="28"/>
          <w:szCs w:val="28"/>
        </w:rPr>
        <w:t>万元，其中财政拨款收入</w:t>
      </w:r>
      <w:r>
        <w:rPr>
          <w:snapToGrid w:val="0"/>
          <w:kern w:val="0"/>
          <w:sz w:val="28"/>
          <w:szCs w:val="28"/>
        </w:rPr>
        <w:t>12039.95</w:t>
      </w:r>
      <w:r>
        <w:rPr>
          <w:rFonts w:hint="eastAsia"/>
          <w:snapToGrid w:val="0"/>
          <w:kern w:val="0"/>
          <w:sz w:val="28"/>
          <w:szCs w:val="28"/>
        </w:rPr>
        <w:t>万元，较上年增长11.13</w:t>
      </w:r>
      <w:r>
        <w:rPr>
          <w:snapToGrid w:val="0"/>
          <w:kern w:val="0"/>
          <w:sz w:val="28"/>
          <w:szCs w:val="28"/>
        </w:rPr>
        <w:t>%</w:t>
      </w:r>
      <w:r>
        <w:rPr>
          <w:rFonts w:hint="eastAsia"/>
          <w:snapToGrid w:val="0"/>
          <w:kern w:val="0"/>
          <w:sz w:val="28"/>
          <w:szCs w:val="28"/>
        </w:rPr>
        <w:t>，增收1206.23万元，主要原因：政府性基金预算用于安排工程项目支出增加；上级补助收入</w:t>
      </w:r>
      <w:r>
        <w:rPr>
          <w:snapToGrid w:val="0"/>
          <w:kern w:val="0"/>
          <w:sz w:val="28"/>
          <w:szCs w:val="28"/>
        </w:rPr>
        <w:t>0</w:t>
      </w:r>
      <w:r>
        <w:rPr>
          <w:rFonts w:hint="eastAsia"/>
          <w:snapToGrid w:val="0"/>
          <w:kern w:val="0"/>
          <w:sz w:val="28"/>
          <w:szCs w:val="28"/>
        </w:rPr>
        <w:t>万元，较上年无变化，主要原因：2016、2017年度无支出；事业收入</w:t>
      </w:r>
      <w:r>
        <w:rPr>
          <w:snapToGrid w:val="0"/>
          <w:kern w:val="0"/>
          <w:sz w:val="28"/>
          <w:szCs w:val="28"/>
        </w:rPr>
        <w:t>0</w:t>
      </w:r>
      <w:r>
        <w:rPr>
          <w:rFonts w:hint="eastAsia"/>
          <w:snapToGrid w:val="0"/>
          <w:kern w:val="0"/>
          <w:sz w:val="28"/>
          <w:szCs w:val="28"/>
        </w:rPr>
        <w:t>万元，较上年无变化，主要原因：2016、2017年度无支出；其他收入</w:t>
      </w:r>
      <w:r>
        <w:rPr>
          <w:snapToGrid w:val="0"/>
          <w:kern w:val="0"/>
          <w:sz w:val="28"/>
          <w:szCs w:val="28"/>
        </w:rPr>
        <w:t>20.85</w:t>
      </w:r>
      <w:r>
        <w:rPr>
          <w:rFonts w:hint="eastAsia"/>
          <w:snapToGrid w:val="0"/>
          <w:kern w:val="0"/>
          <w:sz w:val="28"/>
          <w:szCs w:val="28"/>
        </w:rPr>
        <w:t>万元，较上年增长290.36</w:t>
      </w:r>
      <w:r>
        <w:rPr>
          <w:snapToGrid w:val="0"/>
          <w:kern w:val="0"/>
          <w:sz w:val="28"/>
          <w:szCs w:val="28"/>
        </w:rPr>
        <w:t>%</w:t>
      </w:r>
      <w:r>
        <w:rPr>
          <w:rFonts w:hint="eastAsia"/>
          <w:snapToGrid w:val="0"/>
          <w:kern w:val="0"/>
          <w:sz w:val="28"/>
          <w:szCs w:val="28"/>
        </w:rPr>
        <w:t>，增收15.51万元，主要原因：非财政补助专项资金收入增加。</w:t>
      </w:r>
    </w:p>
    <w:p w14:paraId="07363443">
      <w:pPr>
        <w:adjustRightInd w:val="0"/>
        <w:snapToGrid w:val="0"/>
        <w:spacing w:line="600" w:lineRule="exact"/>
        <w:ind w:firstLine="560" w:firstLineChars="200"/>
        <w:rPr>
          <w:rFonts w:ascii="黑体" w:hAnsi="黑体" w:eastAsia="黑体"/>
          <w:snapToGrid w:val="0"/>
          <w:kern w:val="0"/>
          <w:sz w:val="28"/>
          <w:szCs w:val="28"/>
        </w:rPr>
      </w:pPr>
      <w:r>
        <w:rPr>
          <w:rFonts w:hint="eastAsia" w:ascii="黑体" w:hAnsi="黑体" w:eastAsia="黑体"/>
          <w:snapToGrid w:val="0"/>
          <w:kern w:val="0"/>
          <w:sz w:val="28"/>
          <w:szCs w:val="28"/>
        </w:rPr>
        <w:t>三、支出决算情况说明</w:t>
      </w:r>
    </w:p>
    <w:p w14:paraId="5EC8C94F">
      <w:pPr>
        <w:adjustRightInd w:val="0"/>
        <w:snapToGrid w:val="0"/>
        <w:spacing w:line="600" w:lineRule="exact"/>
        <w:ind w:firstLine="560" w:firstLineChars="200"/>
        <w:rPr>
          <w:snapToGrid w:val="0"/>
          <w:kern w:val="0"/>
          <w:sz w:val="28"/>
          <w:szCs w:val="28"/>
        </w:rPr>
      </w:pPr>
      <w:r>
        <w:rPr>
          <w:rFonts w:hint="eastAsia"/>
          <w:snapToGrid w:val="0"/>
          <w:kern w:val="0"/>
          <w:sz w:val="28"/>
          <w:szCs w:val="28"/>
        </w:rPr>
        <w:t>本部门</w:t>
      </w:r>
      <w:r>
        <w:rPr>
          <w:snapToGrid w:val="0"/>
          <w:kern w:val="0"/>
          <w:sz w:val="28"/>
          <w:szCs w:val="28"/>
        </w:rPr>
        <w:t>2017</w:t>
      </w:r>
      <w:r>
        <w:rPr>
          <w:rFonts w:hint="eastAsia"/>
          <w:snapToGrid w:val="0"/>
          <w:kern w:val="0"/>
          <w:sz w:val="28"/>
          <w:szCs w:val="28"/>
        </w:rPr>
        <w:t>年度支出总计</w:t>
      </w:r>
      <w:r>
        <w:rPr>
          <w:snapToGrid w:val="0"/>
          <w:kern w:val="0"/>
          <w:sz w:val="28"/>
          <w:szCs w:val="28"/>
        </w:rPr>
        <w:t>8920.68</w:t>
      </w:r>
      <w:r>
        <w:rPr>
          <w:rFonts w:hint="eastAsia"/>
          <w:snapToGrid w:val="0"/>
          <w:kern w:val="0"/>
          <w:sz w:val="28"/>
          <w:szCs w:val="28"/>
        </w:rPr>
        <w:t>万元，其中基本支出</w:t>
      </w:r>
      <w:r>
        <w:rPr>
          <w:snapToGrid w:val="0"/>
          <w:kern w:val="0"/>
          <w:sz w:val="28"/>
          <w:szCs w:val="28"/>
        </w:rPr>
        <w:t>1595.74</w:t>
      </w:r>
      <w:r>
        <w:rPr>
          <w:rFonts w:hint="eastAsia"/>
          <w:snapToGrid w:val="0"/>
          <w:kern w:val="0"/>
          <w:sz w:val="28"/>
          <w:szCs w:val="28"/>
        </w:rPr>
        <w:t>万元，占总支出17.89</w:t>
      </w:r>
      <w:r>
        <w:rPr>
          <w:snapToGrid w:val="0"/>
          <w:kern w:val="0"/>
          <w:sz w:val="28"/>
          <w:szCs w:val="28"/>
        </w:rPr>
        <w:t>%</w:t>
      </w:r>
      <w:r>
        <w:rPr>
          <w:rFonts w:hint="eastAsia"/>
          <w:snapToGrid w:val="0"/>
          <w:kern w:val="0"/>
          <w:sz w:val="28"/>
          <w:szCs w:val="28"/>
        </w:rPr>
        <w:t>；项目支出</w:t>
      </w:r>
      <w:r>
        <w:rPr>
          <w:snapToGrid w:val="0"/>
          <w:kern w:val="0"/>
          <w:sz w:val="28"/>
          <w:szCs w:val="28"/>
        </w:rPr>
        <w:t>7324.94</w:t>
      </w:r>
      <w:r>
        <w:rPr>
          <w:rFonts w:hint="eastAsia"/>
          <w:snapToGrid w:val="0"/>
          <w:kern w:val="0"/>
          <w:sz w:val="28"/>
          <w:szCs w:val="28"/>
        </w:rPr>
        <w:t>万元，占总支出82.11</w:t>
      </w:r>
      <w:r>
        <w:rPr>
          <w:snapToGrid w:val="0"/>
          <w:kern w:val="0"/>
          <w:sz w:val="28"/>
          <w:szCs w:val="28"/>
        </w:rPr>
        <w:t>%</w:t>
      </w:r>
      <w:r>
        <w:rPr>
          <w:rFonts w:hint="eastAsia"/>
          <w:snapToGrid w:val="0"/>
          <w:kern w:val="0"/>
          <w:sz w:val="28"/>
          <w:szCs w:val="28"/>
        </w:rPr>
        <w:t>。</w:t>
      </w:r>
    </w:p>
    <w:p w14:paraId="289B52F7">
      <w:pPr>
        <w:adjustRightInd w:val="0"/>
        <w:snapToGrid w:val="0"/>
        <w:spacing w:line="600" w:lineRule="exact"/>
        <w:ind w:firstLine="560" w:firstLineChars="200"/>
        <w:rPr>
          <w:rFonts w:ascii="黑体" w:hAnsi="黑体" w:eastAsia="黑体"/>
          <w:snapToGrid w:val="0"/>
          <w:kern w:val="0"/>
          <w:sz w:val="28"/>
          <w:szCs w:val="28"/>
        </w:rPr>
      </w:pPr>
      <w:r>
        <w:rPr>
          <w:rFonts w:hint="eastAsia" w:ascii="黑体" w:hAnsi="黑体" w:eastAsia="黑体"/>
          <w:snapToGrid w:val="0"/>
          <w:kern w:val="0"/>
          <w:sz w:val="28"/>
          <w:szCs w:val="28"/>
        </w:rPr>
        <w:t>四、财政拨款收入支出决算总体情况说明</w:t>
      </w:r>
    </w:p>
    <w:p w14:paraId="53315307">
      <w:pPr>
        <w:adjustRightInd w:val="0"/>
        <w:snapToGrid w:val="0"/>
        <w:spacing w:line="600" w:lineRule="exact"/>
        <w:ind w:firstLine="560" w:firstLineChars="200"/>
        <w:rPr>
          <w:snapToGrid w:val="0"/>
          <w:kern w:val="0"/>
          <w:sz w:val="28"/>
          <w:szCs w:val="28"/>
        </w:rPr>
      </w:pPr>
      <w:r>
        <w:rPr>
          <w:rFonts w:hint="eastAsia"/>
          <w:snapToGrid w:val="0"/>
          <w:kern w:val="0"/>
          <w:sz w:val="28"/>
          <w:szCs w:val="28"/>
        </w:rPr>
        <w:t>本部门</w:t>
      </w:r>
      <w:r>
        <w:rPr>
          <w:snapToGrid w:val="0"/>
          <w:kern w:val="0"/>
          <w:sz w:val="28"/>
          <w:szCs w:val="28"/>
        </w:rPr>
        <w:t>2017</w:t>
      </w:r>
      <w:r>
        <w:rPr>
          <w:rFonts w:hint="eastAsia"/>
          <w:snapToGrid w:val="0"/>
          <w:kern w:val="0"/>
          <w:sz w:val="28"/>
          <w:szCs w:val="28"/>
        </w:rPr>
        <w:t>年度财政拨款收入总计</w:t>
      </w:r>
      <w:r>
        <w:rPr>
          <w:snapToGrid w:val="0"/>
          <w:kern w:val="0"/>
          <w:sz w:val="28"/>
          <w:szCs w:val="28"/>
        </w:rPr>
        <w:t>12039.95</w:t>
      </w:r>
      <w:r>
        <w:rPr>
          <w:rFonts w:hint="eastAsia"/>
          <w:snapToGrid w:val="0"/>
          <w:kern w:val="0"/>
          <w:sz w:val="28"/>
          <w:szCs w:val="28"/>
        </w:rPr>
        <w:t>万元，较上年增长11.13</w:t>
      </w:r>
      <w:r>
        <w:rPr>
          <w:snapToGrid w:val="0"/>
          <w:kern w:val="0"/>
          <w:sz w:val="28"/>
          <w:szCs w:val="28"/>
        </w:rPr>
        <w:t>%</w:t>
      </w:r>
      <w:r>
        <w:rPr>
          <w:rFonts w:hint="eastAsia"/>
          <w:snapToGrid w:val="0"/>
          <w:kern w:val="0"/>
          <w:sz w:val="28"/>
          <w:szCs w:val="28"/>
        </w:rPr>
        <w:t>，增收1206.23万元；财政拨款支出总计</w:t>
      </w:r>
      <w:r>
        <w:rPr>
          <w:snapToGrid w:val="0"/>
          <w:kern w:val="0"/>
          <w:sz w:val="28"/>
          <w:szCs w:val="28"/>
        </w:rPr>
        <w:t>8917.35</w:t>
      </w:r>
      <w:r>
        <w:rPr>
          <w:rFonts w:hint="eastAsia"/>
          <w:snapToGrid w:val="0"/>
          <w:kern w:val="0"/>
          <w:sz w:val="28"/>
          <w:szCs w:val="28"/>
        </w:rPr>
        <w:t>万元，较上年减少30.80</w:t>
      </w:r>
      <w:r>
        <w:rPr>
          <w:snapToGrid w:val="0"/>
          <w:kern w:val="0"/>
          <w:sz w:val="28"/>
          <w:szCs w:val="28"/>
        </w:rPr>
        <w:t>%</w:t>
      </w:r>
      <w:r>
        <w:rPr>
          <w:rFonts w:hint="eastAsia"/>
          <w:snapToGrid w:val="0"/>
          <w:kern w:val="0"/>
          <w:sz w:val="28"/>
          <w:szCs w:val="28"/>
        </w:rPr>
        <w:t>，减少3968.40万元，主要原因是：项目减少及部分工程当年未达进度不能进行拨款；年末财政拨款结转结余3323.99万元。</w:t>
      </w:r>
    </w:p>
    <w:p w14:paraId="6C1FCA23">
      <w:pPr>
        <w:adjustRightInd w:val="0"/>
        <w:snapToGrid w:val="0"/>
        <w:spacing w:line="600" w:lineRule="exact"/>
        <w:ind w:firstLine="560" w:firstLineChars="200"/>
        <w:rPr>
          <w:snapToGrid w:val="0"/>
          <w:kern w:val="0"/>
          <w:sz w:val="28"/>
          <w:szCs w:val="28"/>
        </w:rPr>
      </w:pPr>
      <w:r>
        <w:rPr>
          <w:snapToGrid w:val="0"/>
          <w:kern w:val="0"/>
          <w:sz w:val="28"/>
          <w:szCs w:val="28"/>
        </w:rPr>
        <w:t xml:space="preserve"> 2017</w:t>
      </w:r>
      <w:r>
        <w:rPr>
          <w:rFonts w:hint="eastAsia"/>
          <w:snapToGrid w:val="0"/>
          <w:kern w:val="0"/>
          <w:sz w:val="28"/>
          <w:szCs w:val="28"/>
        </w:rPr>
        <w:t>年财政拨款支出年初预算数为2040.81万元，本年支出决算数为</w:t>
      </w:r>
      <w:r>
        <w:rPr>
          <w:snapToGrid w:val="0"/>
          <w:kern w:val="0"/>
          <w:sz w:val="28"/>
          <w:szCs w:val="28"/>
        </w:rPr>
        <w:t>8917.35</w:t>
      </w:r>
      <w:r>
        <w:rPr>
          <w:rFonts w:hint="eastAsia"/>
          <w:snapToGrid w:val="0"/>
          <w:kern w:val="0"/>
          <w:sz w:val="28"/>
          <w:szCs w:val="28"/>
        </w:rPr>
        <w:t>万元，占年初预算数的436.95</w:t>
      </w:r>
      <w:r>
        <w:rPr>
          <w:snapToGrid w:val="0"/>
          <w:kern w:val="0"/>
          <w:sz w:val="28"/>
          <w:szCs w:val="28"/>
        </w:rPr>
        <w:t>%</w:t>
      </w:r>
      <w:r>
        <w:rPr>
          <w:rFonts w:hint="eastAsia"/>
          <w:snapToGrid w:val="0"/>
          <w:kern w:val="0"/>
          <w:sz w:val="28"/>
          <w:szCs w:val="28"/>
        </w:rPr>
        <w:t>，主要原因：部分项目新增和工资普调及津补贴调标增加人员经费而追加了预算支出。</w:t>
      </w:r>
    </w:p>
    <w:p w14:paraId="66DE0CEF">
      <w:pPr>
        <w:ind w:firstLine="560" w:firstLineChars="200"/>
        <w:rPr>
          <w:rFonts w:ascii="宋体" w:hAnsi="宋体" w:cs="宋体"/>
          <w:sz w:val="28"/>
          <w:szCs w:val="28"/>
        </w:rPr>
      </w:pPr>
      <w:bookmarkStart w:id="0" w:name="_Hlk3385520"/>
      <w:r>
        <w:rPr>
          <w:rFonts w:hint="eastAsia" w:ascii="宋体" w:hAnsi="宋体" w:cs="宋体"/>
          <w:sz w:val="28"/>
          <w:szCs w:val="28"/>
        </w:rPr>
        <w:t>我单位无国有资本经营预算收支。</w:t>
      </w:r>
      <w:bookmarkEnd w:id="0"/>
    </w:p>
    <w:p w14:paraId="3DC45FEB">
      <w:pPr>
        <w:adjustRightInd w:val="0"/>
        <w:snapToGrid w:val="0"/>
        <w:spacing w:line="600" w:lineRule="exact"/>
        <w:ind w:firstLine="560" w:firstLineChars="200"/>
        <w:rPr>
          <w:rFonts w:ascii="黑体" w:hAnsi="黑体" w:eastAsia="黑体"/>
          <w:snapToGrid w:val="0"/>
          <w:kern w:val="0"/>
          <w:sz w:val="28"/>
          <w:szCs w:val="28"/>
        </w:rPr>
      </w:pPr>
      <w:r>
        <w:rPr>
          <w:rFonts w:hint="eastAsia" w:ascii="黑体" w:hAnsi="黑体" w:eastAsia="黑体"/>
          <w:snapToGrid w:val="0"/>
          <w:kern w:val="0"/>
          <w:sz w:val="28"/>
          <w:szCs w:val="28"/>
        </w:rPr>
        <w:t>五、一般公共预算财政拨款“三公”经费支出决算情况说明</w:t>
      </w:r>
    </w:p>
    <w:p w14:paraId="338E5D19">
      <w:pPr>
        <w:adjustRightInd w:val="0"/>
        <w:snapToGrid w:val="0"/>
        <w:spacing w:line="560" w:lineRule="exact"/>
        <w:ind w:firstLine="560" w:firstLineChars="200"/>
        <w:rPr>
          <w:snapToGrid w:val="0"/>
          <w:kern w:val="0"/>
          <w:sz w:val="28"/>
          <w:szCs w:val="28"/>
        </w:rPr>
      </w:pPr>
      <w:r>
        <w:rPr>
          <w:snapToGrid w:val="0"/>
          <w:kern w:val="0"/>
          <w:sz w:val="28"/>
          <w:szCs w:val="28"/>
        </w:rPr>
        <w:t>2017</w:t>
      </w:r>
      <w:r>
        <w:rPr>
          <w:rFonts w:hint="eastAsia"/>
          <w:snapToGrid w:val="0"/>
          <w:kern w:val="0"/>
          <w:sz w:val="28"/>
          <w:szCs w:val="28"/>
        </w:rPr>
        <w:t>年，在做好各项工作的前提下，节省各项开支，尤其严格控制“三公”经费的支出，全年一般公共预算财政拨款“三公”经费支出合计</w:t>
      </w:r>
      <w:r>
        <w:rPr>
          <w:snapToGrid w:val="0"/>
          <w:kern w:val="0"/>
          <w:sz w:val="28"/>
          <w:szCs w:val="28"/>
        </w:rPr>
        <w:t>18.36</w:t>
      </w:r>
      <w:r>
        <w:rPr>
          <w:rFonts w:hint="eastAsia"/>
          <w:snapToGrid w:val="0"/>
          <w:kern w:val="0"/>
          <w:sz w:val="28"/>
          <w:szCs w:val="28"/>
        </w:rPr>
        <w:t>万元，较</w:t>
      </w:r>
      <w:r>
        <w:rPr>
          <w:snapToGrid w:val="0"/>
          <w:kern w:val="0"/>
          <w:sz w:val="28"/>
          <w:szCs w:val="28"/>
        </w:rPr>
        <w:t>2016</w:t>
      </w:r>
      <w:r>
        <w:rPr>
          <w:rFonts w:hint="eastAsia"/>
          <w:snapToGrid w:val="0"/>
          <w:kern w:val="0"/>
          <w:sz w:val="28"/>
          <w:szCs w:val="28"/>
        </w:rPr>
        <w:t>年减少</w:t>
      </w:r>
      <w:r>
        <w:rPr>
          <w:snapToGrid w:val="0"/>
          <w:kern w:val="0"/>
          <w:sz w:val="28"/>
          <w:szCs w:val="28"/>
        </w:rPr>
        <w:t>6.92</w:t>
      </w:r>
      <w:r>
        <w:rPr>
          <w:rFonts w:hint="eastAsia"/>
          <w:snapToGrid w:val="0"/>
          <w:kern w:val="0"/>
          <w:sz w:val="28"/>
          <w:szCs w:val="28"/>
        </w:rPr>
        <w:t>万元，减少</w:t>
      </w:r>
      <w:r>
        <w:rPr>
          <w:snapToGrid w:val="0"/>
          <w:kern w:val="0"/>
          <w:sz w:val="28"/>
          <w:szCs w:val="28"/>
        </w:rPr>
        <w:t>27.37%</w:t>
      </w:r>
      <w:r>
        <w:rPr>
          <w:rFonts w:hint="eastAsia"/>
          <w:snapToGrid w:val="0"/>
          <w:kern w:val="0"/>
          <w:sz w:val="28"/>
          <w:szCs w:val="28"/>
        </w:rPr>
        <w:t>。</w:t>
      </w:r>
    </w:p>
    <w:p w14:paraId="56B4AF38">
      <w:pPr>
        <w:adjustRightInd w:val="0"/>
        <w:snapToGrid w:val="0"/>
        <w:spacing w:line="560" w:lineRule="exact"/>
        <w:ind w:firstLine="560" w:firstLineChars="200"/>
        <w:rPr>
          <w:snapToGrid w:val="0"/>
          <w:kern w:val="0"/>
          <w:sz w:val="28"/>
          <w:szCs w:val="28"/>
        </w:rPr>
      </w:pPr>
      <w:r>
        <w:rPr>
          <w:snapToGrid w:val="0"/>
          <w:kern w:val="0"/>
          <w:sz w:val="28"/>
          <w:szCs w:val="28"/>
        </w:rPr>
        <w:t>1</w:t>
      </w:r>
      <w:r>
        <w:rPr>
          <w:rFonts w:hint="eastAsia"/>
          <w:snapToGrid w:val="0"/>
          <w:kern w:val="0"/>
          <w:sz w:val="28"/>
          <w:szCs w:val="28"/>
        </w:rPr>
        <w:t>、本部门</w:t>
      </w:r>
      <w:r>
        <w:rPr>
          <w:snapToGrid w:val="0"/>
          <w:kern w:val="0"/>
          <w:sz w:val="28"/>
          <w:szCs w:val="28"/>
        </w:rPr>
        <w:t>2017</w:t>
      </w:r>
      <w:r>
        <w:rPr>
          <w:rFonts w:hint="eastAsia"/>
          <w:snapToGrid w:val="0"/>
          <w:kern w:val="0"/>
          <w:sz w:val="28"/>
          <w:szCs w:val="28"/>
        </w:rPr>
        <w:t>年因公出国（境）费本年支出</w:t>
      </w:r>
      <w:r>
        <w:rPr>
          <w:snapToGrid w:val="0"/>
          <w:kern w:val="0"/>
          <w:sz w:val="28"/>
          <w:szCs w:val="28"/>
        </w:rPr>
        <w:t>0</w:t>
      </w:r>
      <w:r>
        <w:rPr>
          <w:rFonts w:hint="eastAsia"/>
          <w:snapToGrid w:val="0"/>
          <w:kern w:val="0"/>
          <w:sz w:val="28"/>
          <w:szCs w:val="28"/>
        </w:rPr>
        <w:t>万元，较预算无变化，较</w:t>
      </w:r>
      <w:r>
        <w:rPr>
          <w:snapToGrid w:val="0"/>
          <w:kern w:val="0"/>
          <w:sz w:val="28"/>
          <w:szCs w:val="28"/>
        </w:rPr>
        <w:t>2016</w:t>
      </w:r>
      <w:r>
        <w:rPr>
          <w:rFonts w:hint="eastAsia"/>
          <w:snapToGrid w:val="0"/>
          <w:kern w:val="0"/>
          <w:sz w:val="28"/>
          <w:szCs w:val="28"/>
        </w:rPr>
        <w:t>年无变化。主要原因：</w:t>
      </w:r>
      <w:r>
        <w:rPr>
          <w:snapToGrid w:val="0"/>
          <w:kern w:val="0"/>
          <w:sz w:val="28"/>
          <w:szCs w:val="28"/>
        </w:rPr>
        <w:t>2016</w:t>
      </w:r>
      <w:r>
        <w:rPr>
          <w:rFonts w:hint="eastAsia"/>
          <w:snapToGrid w:val="0"/>
          <w:kern w:val="0"/>
          <w:sz w:val="28"/>
          <w:szCs w:val="28"/>
        </w:rPr>
        <w:t>、</w:t>
      </w:r>
      <w:r>
        <w:rPr>
          <w:snapToGrid w:val="0"/>
          <w:kern w:val="0"/>
          <w:sz w:val="28"/>
          <w:szCs w:val="28"/>
        </w:rPr>
        <w:t>2017</w:t>
      </w:r>
      <w:r>
        <w:rPr>
          <w:rFonts w:hint="eastAsia"/>
          <w:snapToGrid w:val="0"/>
          <w:kern w:val="0"/>
          <w:sz w:val="28"/>
          <w:szCs w:val="28"/>
        </w:rPr>
        <w:t>年度无支出。因公出国（境）团组</w:t>
      </w:r>
      <w:r>
        <w:rPr>
          <w:snapToGrid w:val="0"/>
          <w:kern w:val="0"/>
          <w:sz w:val="28"/>
          <w:szCs w:val="28"/>
        </w:rPr>
        <w:t>0</w:t>
      </w:r>
      <w:r>
        <w:rPr>
          <w:rFonts w:hint="eastAsia"/>
          <w:snapToGrid w:val="0"/>
          <w:kern w:val="0"/>
          <w:sz w:val="28"/>
          <w:szCs w:val="28"/>
        </w:rPr>
        <w:t>个，因公出国（境）人次数</w:t>
      </w:r>
      <w:r>
        <w:rPr>
          <w:snapToGrid w:val="0"/>
          <w:kern w:val="0"/>
          <w:sz w:val="28"/>
          <w:szCs w:val="28"/>
        </w:rPr>
        <w:t>0</w:t>
      </w:r>
      <w:r>
        <w:rPr>
          <w:rFonts w:hint="eastAsia"/>
          <w:snapToGrid w:val="0"/>
          <w:kern w:val="0"/>
          <w:sz w:val="28"/>
          <w:szCs w:val="28"/>
        </w:rPr>
        <w:t>人。</w:t>
      </w:r>
    </w:p>
    <w:p w14:paraId="6FA3C7FE">
      <w:pPr>
        <w:adjustRightInd w:val="0"/>
        <w:snapToGrid w:val="0"/>
        <w:spacing w:line="600" w:lineRule="exact"/>
        <w:ind w:left="105" w:leftChars="50" w:firstLine="560" w:firstLineChars="200"/>
        <w:rPr>
          <w:snapToGrid w:val="0"/>
          <w:kern w:val="0"/>
          <w:sz w:val="28"/>
          <w:szCs w:val="28"/>
        </w:rPr>
      </w:pPr>
      <w:r>
        <w:rPr>
          <w:snapToGrid w:val="0"/>
          <w:kern w:val="0"/>
          <w:sz w:val="28"/>
          <w:szCs w:val="28"/>
        </w:rPr>
        <w:t>2</w:t>
      </w:r>
      <w:r>
        <w:rPr>
          <w:rFonts w:hint="eastAsia"/>
          <w:snapToGrid w:val="0"/>
          <w:kern w:val="0"/>
          <w:sz w:val="28"/>
          <w:szCs w:val="28"/>
        </w:rPr>
        <w:t>、本部门</w:t>
      </w:r>
      <w:r>
        <w:rPr>
          <w:snapToGrid w:val="0"/>
          <w:kern w:val="0"/>
          <w:sz w:val="28"/>
          <w:szCs w:val="28"/>
        </w:rPr>
        <w:t>2017</w:t>
      </w:r>
      <w:r>
        <w:rPr>
          <w:rFonts w:hint="eastAsia"/>
          <w:snapToGrid w:val="0"/>
          <w:kern w:val="0"/>
          <w:sz w:val="28"/>
          <w:szCs w:val="28"/>
        </w:rPr>
        <w:t>年度公务用车购置及运行维护费本年支出</w:t>
      </w:r>
      <w:r>
        <w:rPr>
          <w:snapToGrid w:val="0"/>
          <w:kern w:val="0"/>
          <w:sz w:val="28"/>
          <w:szCs w:val="28"/>
        </w:rPr>
        <w:t>18.04</w:t>
      </w:r>
      <w:r>
        <w:rPr>
          <w:rFonts w:hint="eastAsia"/>
          <w:snapToGrid w:val="0"/>
          <w:kern w:val="0"/>
          <w:sz w:val="28"/>
          <w:szCs w:val="28"/>
        </w:rPr>
        <w:t>万元。（</w:t>
      </w:r>
      <w:r>
        <w:rPr>
          <w:snapToGrid w:val="0"/>
          <w:kern w:val="0"/>
          <w:sz w:val="28"/>
          <w:szCs w:val="28"/>
        </w:rPr>
        <w:t>2017</w:t>
      </w:r>
      <w:r>
        <w:rPr>
          <w:rFonts w:hint="eastAsia"/>
          <w:snapToGrid w:val="0"/>
          <w:kern w:val="0"/>
          <w:sz w:val="28"/>
          <w:szCs w:val="28"/>
        </w:rPr>
        <w:t>年度末购置公务用车</w:t>
      </w:r>
      <w:r>
        <w:rPr>
          <w:snapToGrid w:val="0"/>
          <w:kern w:val="0"/>
          <w:sz w:val="28"/>
          <w:szCs w:val="28"/>
        </w:rPr>
        <w:t>0</w:t>
      </w:r>
      <w:r>
        <w:rPr>
          <w:rFonts w:hint="eastAsia"/>
          <w:snapToGrid w:val="0"/>
          <w:kern w:val="0"/>
          <w:sz w:val="28"/>
          <w:szCs w:val="28"/>
        </w:rPr>
        <w:t>辆，年末单位用车保有量16辆，其中：一般公务用车2辆，一般执法执勤用车7辆，其他用车7辆。）</w:t>
      </w:r>
    </w:p>
    <w:p w14:paraId="7039DF13">
      <w:pPr>
        <w:adjustRightInd w:val="0"/>
        <w:snapToGrid w:val="0"/>
        <w:spacing w:line="600" w:lineRule="exact"/>
        <w:ind w:left="105" w:leftChars="50" w:firstLine="560" w:firstLineChars="200"/>
        <w:rPr>
          <w:snapToGrid w:val="0"/>
          <w:kern w:val="0"/>
          <w:sz w:val="28"/>
          <w:szCs w:val="28"/>
        </w:rPr>
      </w:pPr>
      <w:r>
        <w:rPr>
          <w:rFonts w:hint="eastAsia"/>
          <w:snapToGrid w:val="0"/>
          <w:kern w:val="0"/>
          <w:sz w:val="28"/>
          <w:szCs w:val="28"/>
        </w:rPr>
        <w:t>公务用车购置费本年支出</w:t>
      </w:r>
      <w:r>
        <w:rPr>
          <w:snapToGrid w:val="0"/>
          <w:kern w:val="0"/>
          <w:sz w:val="28"/>
          <w:szCs w:val="28"/>
        </w:rPr>
        <w:t>0</w:t>
      </w:r>
      <w:r>
        <w:rPr>
          <w:rFonts w:hint="eastAsia"/>
          <w:snapToGrid w:val="0"/>
          <w:kern w:val="0"/>
          <w:sz w:val="28"/>
          <w:szCs w:val="28"/>
        </w:rPr>
        <w:t>万元；较预算无变化；较</w:t>
      </w:r>
      <w:r>
        <w:rPr>
          <w:snapToGrid w:val="0"/>
          <w:kern w:val="0"/>
          <w:sz w:val="28"/>
          <w:szCs w:val="28"/>
        </w:rPr>
        <w:t>2016</w:t>
      </w:r>
      <w:r>
        <w:rPr>
          <w:rFonts w:hint="eastAsia"/>
          <w:snapToGrid w:val="0"/>
          <w:kern w:val="0"/>
          <w:sz w:val="28"/>
          <w:szCs w:val="28"/>
        </w:rPr>
        <w:t>年减无变化。主要原因：</w:t>
      </w:r>
      <w:r>
        <w:rPr>
          <w:snapToGrid w:val="0"/>
          <w:kern w:val="0"/>
          <w:sz w:val="28"/>
          <w:szCs w:val="28"/>
        </w:rPr>
        <w:t>2016</w:t>
      </w:r>
      <w:r>
        <w:rPr>
          <w:rFonts w:hint="eastAsia"/>
          <w:snapToGrid w:val="0"/>
          <w:kern w:val="0"/>
          <w:sz w:val="28"/>
          <w:szCs w:val="28"/>
        </w:rPr>
        <w:t>、</w:t>
      </w:r>
      <w:r>
        <w:rPr>
          <w:snapToGrid w:val="0"/>
          <w:kern w:val="0"/>
          <w:sz w:val="28"/>
          <w:szCs w:val="28"/>
        </w:rPr>
        <w:t>2017</w:t>
      </w:r>
      <w:r>
        <w:rPr>
          <w:rFonts w:hint="eastAsia"/>
          <w:snapToGrid w:val="0"/>
          <w:kern w:val="0"/>
          <w:sz w:val="28"/>
          <w:szCs w:val="28"/>
        </w:rPr>
        <w:t>年度无支出。</w:t>
      </w:r>
    </w:p>
    <w:p w14:paraId="6CF46D0F">
      <w:pPr>
        <w:adjustRightInd w:val="0"/>
        <w:snapToGrid w:val="0"/>
        <w:spacing w:line="600" w:lineRule="exact"/>
        <w:ind w:left="105" w:leftChars="50" w:firstLine="560" w:firstLineChars="200"/>
        <w:rPr>
          <w:snapToGrid w:val="0"/>
          <w:kern w:val="0"/>
          <w:sz w:val="28"/>
          <w:szCs w:val="28"/>
        </w:rPr>
      </w:pPr>
      <w:r>
        <w:rPr>
          <w:rFonts w:hint="eastAsia"/>
          <w:snapToGrid w:val="0"/>
          <w:kern w:val="0"/>
          <w:sz w:val="28"/>
          <w:szCs w:val="28"/>
        </w:rPr>
        <w:t>公务用车运行维护费本年支出</w:t>
      </w:r>
      <w:r>
        <w:rPr>
          <w:snapToGrid w:val="0"/>
          <w:kern w:val="0"/>
          <w:sz w:val="28"/>
          <w:szCs w:val="28"/>
        </w:rPr>
        <w:t>18.04</w:t>
      </w:r>
      <w:r>
        <w:rPr>
          <w:rFonts w:hint="eastAsia"/>
          <w:snapToGrid w:val="0"/>
          <w:kern w:val="0"/>
          <w:sz w:val="28"/>
          <w:szCs w:val="28"/>
        </w:rPr>
        <w:t>万元；较预算压减</w:t>
      </w:r>
      <w:r>
        <w:rPr>
          <w:snapToGrid w:val="0"/>
          <w:kern w:val="0"/>
          <w:sz w:val="28"/>
          <w:szCs w:val="28"/>
        </w:rPr>
        <w:t>6.36</w:t>
      </w:r>
      <w:r>
        <w:rPr>
          <w:rFonts w:hint="eastAsia"/>
          <w:snapToGrid w:val="0"/>
          <w:kern w:val="0"/>
          <w:sz w:val="28"/>
          <w:szCs w:val="28"/>
        </w:rPr>
        <w:t>万元，减少</w:t>
      </w:r>
      <w:r>
        <w:rPr>
          <w:snapToGrid w:val="0"/>
          <w:kern w:val="0"/>
          <w:sz w:val="28"/>
          <w:szCs w:val="28"/>
        </w:rPr>
        <w:t>26.07%</w:t>
      </w:r>
      <w:r>
        <w:rPr>
          <w:rFonts w:hint="eastAsia"/>
          <w:snapToGrid w:val="0"/>
          <w:kern w:val="0"/>
          <w:sz w:val="28"/>
          <w:szCs w:val="28"/>
        </w:rPr>
        <w:t>；较</w:t>
      </w:r>
      <w:r>
        <w:rPr>
          <w:snapToGrid w:val="0"/>
          <w:kern w:val="0"/>
          <w:sz w:val="28"/>
          <w:szCs w:val="28"/>
        </w:rPr>
        <w:t>2016</w:t>
      </w:r>
      <w:r>
        <w:rPr>
          <w:rFonts w:hint="eastAsia"/>
          <w:snapToGrid w:val="0"/>
          <w:kern w:val="0"/>
          <w:sz w:val="28"/>
          <w:szCs w:val="28"/>
        </w:rPr>
        <w:t>年减少</w:t>
      </w:r>
      <w:r>
        <w:rPr>
          <w:snapToGrid w:val="0"/>
          <w:kern w:val="0"/>
          <w:sz w:val="28"/>
          <w:szCs w:val="28"/>
        </w:rPr>
        <w:t>6.36</w:t>
      </w:r>
      <w:r>
        <w:rPr>
          <w:rFonts w:hint="eastAsia"/>
          <w:snapToGrid w:val="0"/>
          <w:kern w:val="0"/>
          <w:sz w:val="28"/>
          <w:szCs w:val="28"/>
        </w:rPr>
        <w:t>万元，减少</w:t>
      </w:r>
      <w:r>
        <w:rPr>
          <w:snapToGrid w:val="0"/>
          <w:kern w:val="0"/>
          <w:sz w:val="28"/>
          <w:szCs w:val="28"/>
        </w:rPr>
        <w:t>26.07%</w:t>
      </w:r>
      <w:r>
        <w:rPr>
          <w:rFonts w:hint="eastAsia"/>
          <w:snapToGrid w:val="0"/>
          <w:kern w:val="0"/>
          <w:sz w:val="28"/>
          <w:szCs w:val="28"/>
        </w:rPr>
        <w:t>。主要原因：严格控制、厉行节约降低费用支出及上年已对老化车辆大修今年维修费用降低。</w:t>
      </w:r>
    </w:p>
    <w:p w14:paraId="4EC9DFB4">
      <w:pPr>
        <w:adjustRightInd w:val="0"/>
        <w:snapToGrid w:val="0"/>
        <w:spacing w:line="600" w:lineRule="exact"/>
        <w:ind w:left="105" w:leftChars="50" w:firstLine="560" w:firstLineChars="200"/>
        <w:rPr>
          <w:snapToGrid w:val="0"/>
          <w:kern w:val="0"/>
          <w:sz w:val="28"/>
          <w:szCs w:val="28"/>
        </w:rPr>
      </w:pPr>
      <w:r>
        <w:rPr>
          <w:snapToGrid w:val="0"/>
          <w:kern w:val="0"/>
          <w:sz w:val="28"/>
          <w:szCs w:val="28"/>
        </w:rPr>
        <w:t>3</w:t>
      </w:r>
      <w:r>
        <w:rPr>
          <w:rFonts w:hint="eastAsia"/>
          <w:snapToGrid w:val="0"/>
          <w:kern w:val="0"/>
          <w:sz w:val="28"/>
          <w:szCs w:val="28"/>
        </w:rPr>
        <w:t>、本部门</w:t>
      </w:r>
      <w:r>
        <w:rPr>
          <w:snapToGrid w:val="0"/>
          <w:kern w:val="0"/>
          <w:sz w:val="28"/>
          <w:szCs w:val="28"/>
        </w:rPr>
        <w:t>2017</w:t>
      </w:r>
      <w:r>
        <w:rPr>
          <w:rFonts w:hint="eastAsia"/>
          <w:snapToGrid w:val="0"/>
          <w:kern w:val="0"/>
          <w:sz w:val="28"/>
          <w:szCs w:val="28"/>
        </w:rPr>
        <w:t>年公务接待费全年支出</w:t>
      </w:r>
      <w:r>
        <w:rPr>
          <w:snapToGrid w:val="0"/>
          <w:kern w:val="0"/>
          <w:sz w:val="28"/>
          <w:szCs w:val="28"/>
        </w:rPr>
        <w:t>0.32</w:t>
      </w:r>
      <w:r>
        <w:rPr>
          <w:rFonts w:hint="eastAsia"/>
          <w:snapToGrid w:val="0"/>
          <w:kern w:val="0"/>
          <w:sz w:val="28"/>
          <w:szCs w:val="28"/>
        </w:rPr>
        <w:t>万元，较预算减少</w:t>
      </w:r>
      <w:r>
        <w:rPr>
          <w:snapToGrid w:val="0"/>
          <w:kern w:val="0"/>
          <w:sz w:val="28"/>
          <w:szCs w:val="28"/>
        </w:rPr>
        <w:t>0.55</w:t>
      </w:r>
      <w:r>
        <w:rPr>
          <w:rFonts w:hint="eastAsia"/>
          <w:snapToGrid w:val="0"/>
          <w:kern w:val="0"/>
          <w:sz w:val="28"/>
          <w:szCs w:val="28"/>
        </w:rPr>
        <w:t>万元，减少</w:t>
      </w:r>
      <w:r>
        <w:rPr>
          <w:snapToGrid w:val="0"/>
          <w:kern w:val="0"/>
          <w:sz w:val="28"/>
          <w:szCs w:val="28"/>
        </w:rPr>
        <w:t>6</w:t>
      </w:r>
      <w:r>
        <w:rPr>
          <w:rFonts w:hint="eastAsia"/>
          <w:snapToGrid w:val="0"/>
          <w:kern w:val="0"/>
          <w:sz w:val="28"/>
          <w:szCs w:val="28"/>
        </w:rPr>
        <w:t>2.89</w:t>
      </w:r>
      <w:r>
        <w:rPr>
          <w:snapToGrid w:val="0"/>
          <w:kern w:val="0"/>
          <w:sz w:val="28"/>
          <w:szCs w:val="28"/>
        </w:rPr>
        <w:t>%</w:t>
      </w:r>
      <w:r>
        <w:rPr>
          <w:rFonts w:hint="eastAsia"/>
          <w:snapToGrid w:val="0"/>
          <w:kern w:val="0"/>
          <w:sz w:val="28"/>
          <w:szCs w:val="28"/>
        </w:rPr>
        <w:t>；较</w:t>
      </w:r>
      <w:r>
        <w:rPr>
          <w:snapToGrid w:val="0"/>
          <w:kern w:val="0"/>
          <w:sz w:val="28"/>
          <w:szCs w:val="28"/>
        </w:rPr>
        <w:t>2016</w:t>
      </w:r>
      <w:r>
        <w:rPr>
          <w:rFonts w:hint="eastAsia"/>
          <w:snapToGrid w:val="0"/>
          <w:kern w:val="0"/>
          <w:sz w:val="28"/>
          <w:szCs w:val="28"/>
        </w:rPr>
        <w:t>年减少</w:t>
      </w:r>
      <w:r>
        <w:rPr>
          <w:snapToGrid w:val="0"/>
          <w:kern w:val="0"/>
          <w:sz w:val="28"/>
          <w:szCs w:val="28"/>
        </w:rPr>
        <w:t>0.55</w:t>
      </w:r>
      <w:r>
        <w:rPr>
          <w:rFonts w:hint="eastAsia"/>
          <w:snapToGrid w:val="0"/>
          <w:kern w:val="0"/>
          <w:sz w:val="28"/>
          <w:szCs w:val="28"/>
        </w:rPr>
        <w:t>万元，减少</w:t>
      </w:r>
      <w:r>
        <w:rPr>
          <w:snapToGrid w:val="0"/>
          <w:kern w:val="0"/>
          <w:sz w:val="28"/>
          <w:szCs w:val="28"/>
        </w:rPr>
        <w:t>6</w:t>
      </w:r>
      <w:r>
        <w:rPr>
          <w:rFonts w:hint="eastAsia"/>
          <w:snapToGrid w:val="0"/>
          <w:kern w:val="0"/>
          <w:sz w:val="28"/>
          <w:szCs w:val="28"/>
        </w:rPr>
        <w:t>2</w:t>
      </w:r>
      <w:r>
        <w:rPr>
          <w:snapToGrid w:val="0"/>
          <w:kern w:val="0"/>
          <w:sz w:val="28"/>
          <w:szCs w:val="28"/>
        </w:rPr>
        <w:t>.</w:t>
      </w:r>
      <w:r>
        <w:rPr>
          <w:rFonts w:hint="eastAsia"/>
          <w:snapToGrid w:val="0"/>
          <w:kern w:val="0"/>
          <w:sz w:val="28"/>
          <w:szCs w:val="28"/>
        </w:rPr>
        <w:t>91</w:t>
      </w:r>
      <w:r>
        <w:rPr>
          <w:snapToGrid w:val="0"/>
          <w:kern w:val="0"/>
          <w:sz w:val="28"/>
          <w:szCs w:val="28"/>
        </w:rPr>
        <w:t>%</w:t>
      </w:r>
      <w:r>
        <w:rPr>
          <w:rFonts w:hint="eastAsia"/>
          <w:snapToGrid w:val="0"/>
          <w:kern w:val="0"/>
          <w:sz w:val="28"/>
          <w:szCs w:val="28"/>
        </w:rPr>
        <w:t>。主要原因：严格控制招待业务、厉行节约降低招待费用及招待事项减少。</w:t>
      </w:r>
    </w:p>
    <w:p w14:paraId="67308E66">
      <w:pPr>
        <w:adjustRightInd w:val="0"/>
        <w:snapToGrid w:val="0"/>
        <w:spacing w:line="600" w:lineRule="exact"/>
        <w:ind w:left="105" w:leftChars="50" w:firstLine="560" w:firstLineChars="200"/>
        <w:rPr>
          <w:snapToGrid w:val="0"/>
          <w:kern w:val="0"/>
          <w:sz w:val="28"/>
          <w:szCs w:val="28"/>
        </w:rPr>
      </w:pPr>
      <w:r>
        <w:rPr>
          <w:rFonts w:hint="eastAsia"/>
          <w:snapToGrid w:val="0"/>
          <w:kern w:val="0"/>
          <w:sz w:val="28"/>
          <w:szCs w:val="28"/>
        </w:rPr>
        <w:t>国内公务接待批次5个，国内公务接待人次52人；国外公务接待批次</w:t>
      </w:r>
      <w:r>
        <w:rPr>
          <w:snapToGrid w:val="0"/>
          <w:kern w:val="0"/>
          <w:sz w:val="28"/>
          <w:szCs w:val="28"/>
        </w:rPr>
        <w:t>0</w:t>
      </w:r>
      <w:r>
        <w:rPr>
          <w:rFonts w:hint="eastAsia"/>
          <w:snapToGrid w:val="0"/>
          <w:kern w:val="0"/>
          <w:sz w:val="28"/>
          <w:szCs w:val="28"/>
        </w:rPr>
        <w:t>个，国外公务接待人次</w:t>
      </w:r>
      <w:r>
        <w:rPr>
          <w:snapToGrid w:val="0"/>
          <w:kern w:val="0"/>
          <w:sz w:val="28"/>
          <w:szCs w:val="28"/>
        </w:rPr>
        <w:t>0</w:t>
      </w:r>
      <w:r>
        <w:rPr>
          <w:rFonts w:hint="eastAsia"/>
          <w:snapToGrid w:val="0"/>
          <w:kern w:val="0"/>
          <w:sz w:val="28"/>
          <w:szCs w:val="28"/>
        </w:rPr>
        <w:t>人。</w:t>
      </w:r>
    </w:p>
    <w:p w14:paraId="50D75EB0">
      <w:pPr>
        <w:adjustRightInd w:val="0"/>
        <w:snapToGrid w:val="0"/>
        <w:spacing w:line="600" w:lineRule="exact"/>
        <w:ind w:firstLine="560" w:firstLineChars="200"/>
        <w:rPr>
          <w:rFonts w:ascii="黑体" w:hAnsi="黑体" w:eastAsia="黑体"/>
          <w:snapToGrid w:val="0"/>
          <w:kern w:val="0"/>
          <w:sz w:val="28"/>
          <w:szCs w:val="28"/>
        </w:rPr>
      </w:pPr>
      <w:r>
        <w:rPr>
          <w:rFonts w:hint="eastAsia" w:ascii="黑体" w:hAnsi="黑体" w:eastAsia="黑体"/>
          <w:snapToGrid w:val="0"/>
          <w:kern w:val="0"/>
          <w:sz w:val="28"/>
          <w:szCs w:val="28"/>
        </w:rPr>
        <w:t>六、预算绩效管理工作开展情况说明</w:t>
      </w:r>
    </w:p>
    <w:p w14:paraId="1E9BF408">
      <w:pPr>
        <w:adjustRightInd w:val="0"/>
        <w:snapToGrid w:val="0"/>
        <w:spacing w:line="600" w:lineRule="exact"/>
        <w:ind w:firstLine="560" w:firstLineChars="200"/>
        <w:rPr>
          <w:snapToGrid w:val="0"/>
          <w:kern w:val="0"/>
          <w:sz w:val="28"/>
          <w:szCs w:val="28"/>
        </w:rPr>
      </w:pPr>
      <w:r>
        <w:rPr>
          <w:snapToGrid w:val="0"/>
          <w:kern w:val="0"/>
          <w:sz w:val="28"/>
          <w:szCs w:val="28"/>
        </w:rPr>
        <w:t xml:space="preserve">（一）预算绩效管理工作开展情况 </w:t>
      </w:r>
    </w:p>
    <w:p w14:paraId="2A1B5DA1">
      <w:pPr>
        <w:adjustRightInd w:val="0"/>
        <w:snapToGrid w:val="0"/>
        <w:spacing w:line="600" w:lineRule="exact"/>
        <w:ind w:firstLine="560" w:firstLineChars="200"/>
        <w:rPr>
          <w:snapToGrid w:val="0"/>
          <w:kern w:val="0"/>
          <w:sz w:val="28"/>
          <w:szCs w:val="28"/>
        </w:rPr>
      </w:pPr>
      <w:r>
        <w:rPr>
          <w:rFonts w:hint="eastAsia"/>
          <w:snapToGrid w:val="0"/>
          <w:kern w:val="0"/>
          <w:sz w:val="28"/>
          <w:szCs w:val="28"/>
        </w:rPr>
        <w:t>根据省财政预算绩效管理要求，省财政厅部门以“部门职责</w:t>
      </w:r>
      <w:r>
        <w:rPr>
          <w:snapToGrid w:val="0"/>
          <w:kern w:val="0"/>
          <w:sz w:val="28"/>
          <w:szCs w:val="28"/>
        </w:rPr>
        <w:t xml:space="preserve"> —工作活动”为依据，确定部门预算项目和预算额度，清晰描述预算项目开支范围和内容，确定预算项目的绩效目标、绩效指标和评价标准，为预算绩效控制、绩效分析、绩效评价打下好的基础。 </w:t>
      </w:r>
    </w:p>
    <w:p w14:paraId="68CE1E42">
      <w:pPr>
        <w:adjustRightInd w:val="0"/>
        <w:snapToGrid w:val="0"/>
        <w:spacing w:line="600" w:lineRule="exact"/>
        <w:ind w:firstLine="560" w:firstLineChars="200"/>
        <w:rPr>
          <w:snapToGrid w:val="0"/>
          <w:kern w:val="0"/>
          <w:sz w:val="28"/>
          <w:szCs w:val="28"/>
        </w:rPr>
      </w:pPr>
      <w:r>
        <w:rPr>
          <w:rFonts w:hint="eastAsia"/>
          <w:snapToGrid w:val="0"/>
          <w:kern w:val="0"/>
          <w:sz w:val="28"/>
          <w:szCs w:val="28"/>
        </w:rPr>
        <w:t>（二）预算项目绩效评价开展情况</w:t>
      </w:r>
      <w:r>
        <w:rPr>
          <w:snapToGrid w:val="0"/>
          <w:kern w:val="0"/>
          <w:sz w:val="28"/>
          <w:szCs w:val="28"/>
        </w:rPr>
        <w:t xml:space="preserve"> </w:t>
      </w:r>
    </w:p>
    <w:p w14:paraId="55096A9A">
      <w:pPr>
        <w:adjustRightInd w:val="0"/>
        <w:snapToGrid w:val="0"/>
        <w:spacing w:line="600" w:lineRule="exact"/>
        <w:ind w:firstLine="560" w:firstLineChars="200"/>
        <w:rPr>
          <w:snapToGrid w:val="0"/>
          <w:kern w:val="0"/>
          <w:sz w:val="28"/>
          <w:szCs w:val="28"/>
        </w:rPr>
      </w:pPr>
      <w:r>
        <w:rPr>
          <w:rFonts w:hint="eastAsia"/>
          <w:snapToGrid w:val="0"/>
          <w:kern w:val="0"/>
          <w:sz w:val="28"/>
          <w:szCs w:val="28"/>
        </w:rPr>
        <w:t>按照省财政预算绩效管理要求，省财政厅部门对</w:t>
      </w:r>
      <w:r>
        <w:rPr>
          <w:snapToGrid w:val="0"/>
          <w:kern w:val="0"/>
          <w:sz w:val="28"/>
          <w:szCs w:val="28"/>
        </w:rPr>
        <w:t>2017年初确定的部门一般公共预算支出专项项目全面开展了绩效自评。省财政厅部门决算专项项目7项，共涉及预算资金4,035.51万元，绩效自评覆盖率达到100%。</w:t>
      </w:r>
      <w:bookmarkStart w:id="1" w:name="_Hlk3384517"/>
      <w:r>
        <w:rPr>
          <w:rFonts w:hint="eastAsia" w:ascii="宋体" w:hAnsi="宋体" w:cs="宋体"/>
          <w:sz w:val="28"/>
          <w:szCs w:val="28"/>
        </w:rPr>
        <w:t>较好的完成了各项绩效指标，年底通过绩效评价。</w:t>
      </w:r>
      <w:bookmarkEnd w:id="1"/>
      <w:r>
        <w:rPr>
          <w:snapToGrid w:val="0"/>
          <w:kern w:val="0"/>
          <w:sz w:val="28"/>
          <w:szCs w:val="28"/>
        </w:rPr>
        <w:t xml:space="preserve"> </w:t>
      </w:r>
    </w:p>
    <w:p w14:paraId="1B3A0A38">
      <w:pPr>
        <w:adjustRightInd w:val="0"/>
        <w:snapToGrid w:val="0"/>
        <w:spacing w:line="600" w:lineRule="exact"/>
        <w:ind w:firstLine="560" w:firstLineChars="200"/>
        <w:rPr>
          <w:snapToGrid w:val="0"/>
          <w:kern w:val="0"/>
          <w:sz w:val="28"/>
          <w:szCs w:val="28"/>
        </w:rPr>
      </w:pPr>
      <w:r>
        <w:rPr>
          <w:rFonts w:hint="eastAsia"/>
          <w:snapToGrid w:val="0"/>
          <w:kern w:val="0"/>
          <w:sz w:val="28"/>
          <w:szCs w:val="28"/>
        </w:rPr>
        <w:t>（三）预算项目绩效自评选例</w:t>
      </w:r>
      <w:r>
        <w:rPr>
          <w:snapToGrid w:val="0"/>
          <w:kern w:val="0"/>
          <w:sz w:val="28"/>
          <w:szCs w:val="28"/>
        </w:rPr>
        <w:t xml:space="preserve"> </w:t>
      </w:r>
    </w:p>
    <w:p w14:paraId="144A1750">
      <w:pPr>
        <w:adjustRightInd w:val="0"/>
        <w:snapToGrid w:val="0"/>
        <w:spacing w:line="600" w:lineRule="exact"/>
        <w:ind w:firstLine="560" w:firstLineChars="200"/>
        <w:rPr>
          <w:snapToGrid w:val="0"/>
          <w:kern w:val="0"/>
          <w:sz w:val="28"/>
          <w:szCs w:val="28"/>
        </w:rPr>
      </w:pPr>
      <w:r>
        <w:rPr>
          <w:rFonts w:hint="eastAsia"/>
          <w:snapToGrid w:val="0"/>
          <w:kern w:val="0"/>
          <w:sz w:val="28"/>
          <w:szCs w:val="28"/>
        </w:rPr>
        <w:t>“保安保洁购买服务”项目。 该项目是为维护办公场所安全，保障办公环境干净整洁，为工作人员安心舒适工作、提高工作效率和质量创造条件，为更好树立交通形象打下基础而实施的。该项目绩效目标为：加强机关事务性管理，提高机关自身工作能力；产出指标设定为：综合事务管理工作量完成率和综合事务管理工作投资完成率是否达到100%</w:t>
      </w:r>
      <w:r>
        <w:rPr>
          <w:snapToGrid w:val="0"/>
          <w:kern w:val="0"/>
          <w:sz w:val="28"/>
          <w:szCs w:val="28"/>
        </w:rPr>
        <w:t>；设定效果指标为</w:t>
      </w:r>
      <w:r>
        <w:rPr>
          <w:rFonts w:hint="eastAsia"/>
          <w:snapToGrid w:val="0"/>
          <w:kern w:val="0"/>
          <w:sz w:val="28"/>
          <w:szCs w:val="28"/>
        </w:rPr>
        <w:t>：综合事务管理工作职工满意率是否达到≥95%</w:t>
      </w:r>
      <w:r>
        <w:rPr>
          <w:snapToGrid w:val="0"/>
          <w:kern w:val="0"/>
          <w:sz w:val="28"/>
          <w:szCs w:val="28"/>
        </w:rPr>
        <w:t>。</w:t>
      </w:r>
      <w:r>
        <w:rPr>
          <w:rFonts w:hint="eastAsia"/>
          <w:snapToGrid w:val="0"/>
          <w:kern w:val="0"/>
          <w:sz w:val="28"/>
          <w:szCs w:val="28"/>
        </w:rPr>
        <w:t>该项目</w:t>
      </w:r>
      <w:r>
        <w:rPr>
          <w:snapToGrid w:val="0"/>
          <w:kern w:val="0"/>
          <w:sz w:val="28"/>
          <w:szCs w:val="28"/>
        </w:rPr>
        <w:t>年初预算安排</w:t>
      </w:r>
      <w:r>
        <w:rPr>
          <w:rFonts w:hint="eastAsia"/>
          <w:snapToGrid w:val="0"/>
          <w:kern w:val="0"/>
          <w:sz w:val="28"/>
          <w:szCs w:val="28"/>
        </w:rPr>
        <w:t>12万元</w:t>
      </w:r>
      <w:r>
        <w:rPr>
          <w:snapToGrid w:val="0"/>
          <w:kern w:val="0"/>
          <w:sz w:val="28"/>
          <w:szCs w:val="28"/>
        </w:rPr>
        <w:t>，</w:t>
      </w:r>
      <w:r>
        <w:rPr>
          <w:rFonts w:hint="eastAsia"/>
          <w:snapToGrid w:val="0"/>
          <w:kern w:val="0"/>
          <w:sz w:val="28"/>
          <w:szCs w:val="28"/>
        </w:rPr>
        <w:t>按月发放，截至年末</w:t>
      </w:r>
      <w:r>
        <w:rPr>
          <w:snapToGrid w:val="0"/>
          <w:kern w:val="0"/>
          <w:sz w:val="28"/>
          <w:szCs w:val="28"/>
        </w:rPr>
        <w:t>实际支出</w:t>
      </w:r>
      <w:r>
        <w:rPr>
          <w:rFonts w:hint="eastAsia"/>
          <w:snapToGrid w:val="0"/>
          <w:kern w:val="0"/>
          <w:sz w:val="28"/>
          <w:szCs w:val="28"/>
        </w:rPr>
        <w:t>12 万元，</w:t>
      </w:r>
      <w:r>
        <w:rPr>
          <w:snapToGrid w:val="0"/>
          <w:kern w:val="0"/>
          <w:sz w:val="28"/>
          <w:szCs w:val="28"/>
        </w:rPr>
        <w:t>取得了</w:t>
      </w:r>
      <w:r>
        <w:rPr>
          <w:rFonts w:hint="eastAsia"/>
          <w:snapToGrid w:val="0"/>
          <w:kern w:val="0"/>
          <w:sz w:val="28"/>
          <w:szCs w:val="28"/>
        </w:rPr>
        <w:t>办公环境安全和清洁的保障</w:t>
      </w:r>
      <w:r>
        <w:rPr>
          <w:snapToGrid w:val="0"/>
          <w:kern w:val="0"/>
          <w:sz w:val="28"/>
          <w:szCs w:val="28"/>
        </w:rPr>
        <w:t>成果</w:t>
      </w:r>
      <w:r>
        <w:rPr>
          <w:rFonts w:hint="eastAsia"/>
          <w:snapToGrid w:val="0"/>
          <w:kern w:val="0"/>
          <w:sz w:val="28"/>
          <w:szCs w:val="28"/>
        </w:rPr>
        <w:t>，很</w:t>
      </w:r>
      <w:r>
        <w:rPr>
          <w:snapToGrid w:val="0"/>
          <w:kern w:val="0"/>
          <w:sz w:val="28"/>
          <w:szCs w:val="28"/>
        </w:rPr>
        <w:t>好的</w:t>
      </w:r>
      <w:r>
        <w:rPr>
          <w:rFonts w:hint="eastAsia"/>
          <w:snapToGrid w:val="0"/>
          <w:kern w:val="0"/>
          <w:sz w:val="28"/>
          <w:szCs w:val="28"/>
        </w:rPr>
        <w:t>实现了</w:t>
      </w:r>
      <w:r>
        <w:rPr>
          <w:snapToGrid w:val="0"/>
          <w:kern w:val="0"/>
          <w:sz w:val="28"/>
          <w:szCs w:val="28"/>
        </w:rPr>
        <w:t>预算项目绩效</w:t>
      </w:r>
      <w:r>
        <w:rPr>
          <w:rFonts w:hint="eastAsia"/>
          <w:snapToGrid w:val="0"/>
          <w:kern w:val="0"/>
          <w:sz w:val="28"/>
          <w:szCs w:val="28"/>
        </w:rPr>
        <w:t>目标，</w:t>
      </w:r>
      <w:r>
        <w:rPr>
          <w:snapToGrid w:val="0"/>
          <w:kern w:val="0"/>
          <w:sz w:val="28"/>
          <w:szCs w:val="28"/>
        </w:rPr>
        <w:t>绩效自评等级为“优”</w:t>
      </w:r>
      <w:r>
        <w:rPr>
          <w:rFonts w:hint="eastAsia"/>
          <w:snapToGrid w:val="0"/>
          <w:kern w:val="0"/>
          <w:sz w:val="28"/>
          <w:szCs w:val="28"/>
        </w:rPr>
        <w:t>。</w:t>
      </w:r>
    </w:p>
    <w:p w14:paraId="447602E2">
      <w:pPr>
        <w:adjustRightInd w:val="0"/>
        <w:snapToGrid w:val="0"/>
        <w:spacing w:line="600" w:lineRule="exact"/>
        <w:ind w:firstLine="560" w:firstLineChars="200"/>
        <w:rPr>
          <w:rFonts w:ascii="黑体" w:hAnsi="黑体" w:eastAsia="黑体"/>
          <w:snapToGrid w:val="0"/>
          <w:kern w:val="0"/>
          <w:sz w:val="28"/>
          <w:szCs w:val="28"/>
        </w:rPr>
      </w:pPr>
      <w:r>
        <w:rPr>
          <w:rFonts w:hint="eastAsia" w:ascii="黑体" w:hAnsi="黑体" w:eastAsia="黑体"/>
          <w:snapToGrid w:val="0"/>
          <w:kern w:val="0"/>
          <w:sz w:val="28"/>
          <w:szCs w:val="28"/>
        </w:rPr>
        <w:t>七、其他重要事项的说明</w:t>
      </w:r>
    </w:p>
    <w:p w14:paraId="11D567A1">
      <w:pPr>
        <w:adjustRightInd w:val="0"/>
        <w:snapToGrid w:val="0"/>
        <w:spacing w:line="600" w:lineRule="exact"/>
        <w:ind w:firstLine="560" w:firstLineChars="200"/>
        <w:rPr>
          <w:snapToGrid w:val="0"/>
          <w:kern w:val="0"/>
          <w:sz w:val="28"/>
          <w:szCs w:val="28"/>
        </w:rPr>
      </w:pPr>
      <w:r>
        <w:rPr>
          <w:snapToGrid w:val="0"/>
          <w:kern w:val="0"/>
          <w:sz w:val="28"/>
          <w:szCs w:val="28"/>
        </w:rPr>
        <w:t>1</w:t>
      </w:r>
      <w:r>
        <w:rPr>
          <w:rFonts w:hint="eastAsia"/>
          <w:snapToGrid w:val="0"/>
          <w:kern w:val="0"/>
          <w:sz w:val="28"/>
          <w:szCs w:val="28"/>
        </w:rPr>
        <w:t>、机关运行经费支出情况说明</w:t>
      </w:r>
    </w:p>
    <w:p w14:paraId="6C568EBA">
      <w:pPr>
        <w:pStyle w:val="8"/>
        <w:adjustRightInd w:val="0"/>
        <w:snapToGrid w:val="0"/>
        <w:spacing w:line="600" w:lineRule="exact"/>
        <w:ind w:left="210" w:leftChars="100" w:firstLineChars="150"/>
        <w:rPr>
          <w:snapToGrid w:val="0"/>
          <w:kern w:val="0"/>
          <w:sz w:val="28"/>
          <w:szCs w:val="28"/>
        </w:rPr>
      </w:pPr>
      <w:r>
        <w:rPr>
          <w:snapToGrid w:val="0"/>
          <w:kern w:val="0"/>
          <w:sz w:val="28"/>
          <w:szCs w:val="28"/>
        </w:rPr>
        <w:t>2017</w:t>
      </w:r>
      <w:r>
        <w:rPr>
          <w:rFonts w:hint="eastAsia"/>
          <w:snapToGrid w:val="0"/>
          <w:kern w:val="0"/>
          <w:sz w:val="28"/>
          <w:szCs w:val="28"/>
        </w:rPr>
        <w:t>年本部门机关运行经费支出0万元，比</w:t>
      </w:r>
      <w:r>
        <w:rPr>
          <w:snapToGrid w:val="0"/>
          <w:kern w:val="0"/>
          <w:sz w:val="28"/>
          <w:szCs w:val="28"/>
        </w:rPr>
        <w:t>2016</w:t>
      </w:r>
      <w:r>
        <w:rPr>
          <w:rFonts w:hint="eastAsia"/>
          <w:snapToGrid w:val="0"/>
          <w:kern w:val="0"/>
          <w:sz w:val="28"/>
          <w:szCs w:val="28"/>
        </w:rPr>
        <w:t>年增加（减少）0万元。主要原因是：我单位实行事业单位会计制度无机关运行经费支出。</w:t>
      </w:r>
    </w:p>
    <w:p w14:paraId="6DD47746">
      <w:pPr>
        <w:adjustRightInd w:val="0"/>
        <w:snapToGrid w:val="0"/>
        <w:spacing w:line="600" w:lineRule="exact"/>
        <w:ind w:firstLine="560" w:firstLineChars="200"/>
        <w:rPr>
          <w:snapToGrid w:val="0"/>
          <w:kern w:val="0"/>
          <w:sz w:val="28"/>
          <w:szCs w:val="28"/>
        </w:rPr>
      </w:pPr>
      <w:r>
        <w:rPr>
          <w:snapToGrid w:val="0"/>
          <w:kern w:val="0"/>
          <w:sz w:val="28"/>
          <w:szCs w:val="28"/>
        </w:rPr>
        <w:t>2</w:t>
      </w:r>
      <w:r>
        <w:rPr>
          <w:rFonts w:hint="eastAsia"/>
          <w:snapToGrid w:val="0"/>
          <w:kern w:val="0"/>
          <w:sz w:val="28"/>
          <w:szCs w:val="28"/>
        </w:rPr>
        <w:t>、政府采购情况说明</w:t>
      </w:r>
    </w:p>
    <w:p w14:paraId="008DCE86">
      <w:pPr>
        <w:adjustRightInd w:val="0"/>
        <w:snapToGrid w:val="0"/>
        <w:spacing w:line="600" w:lineRule="exact"/>
        <w:ind w:left="210" w:leftChars="100" w:firstLine="420" w:firstLineChars="150"/>
        <w:jc w:val="left"/>
        <w:rPr>
          <w:rFonts w:ascii="宋体" w:hAnsi="宋体" w:cs="宋体"/>
          <w:sz w:val="28"/>
          <w:szCs w:val="28"/>
        </w:rPr>
      </w:pPr>
      <w:bookmarkStart w:id="2" w:name="_Hlk3384535"/>
      <w:r>
        <w:rPr>
          <w:rFonts w:hint="eastAsia" w:ascii="宋体" w:hAnsi="宋体" w:cs="宋体"/>
          <w:sz w:val="28"/>
          <w:szCs w:val="28"/>
        </w:rPr>
        <w:t>我单位本年度未发生政府采购。</w:t>
      </w:r>
      <w:bookmarkEnd w:id="2"/>
    </w:p>
    <w:p w14:paraId="41B0BB52">
      <w:pPr>
        <w:adjustRightInd w:val="0"/>
        <w:snapToGrid w:val="0"/>
        <w:spacing w:line="600" w:lineRule="exact"/>
        <w:ind w:left="210" w:leftChars="100" w:firstLine="420" w:firstLineChars="150"/>
        <w:rPr>
          <w:snapToGrid w:val="0"/>
          <w:kern w:val="0"/>
          <w:sz w:val="28"/>
          <w:szCs w:val="28"/>
        </w:rPr>
      </w:pPr>
      <w:r>
        <w:rPr>
          <w:rFonts w:hint="eastAsia"/>
          <w:snapToGrid w:val="0"/>
          <w:kern w:val="0"/>
          <w:sz w:val="28"/>
          <w:szCs w:val="28"/>
        </w:rPr>
        <w:t>201</w:t>
      </w:r>
      <w:r>
        <w:rPr>
          <w:snapToGrid w:val="0"/>
          <w:kern w:val="0"/>
          <w:sz w:val="28"/>
          <w:szCs w:val="28"/>
        </w:rPr>
        <w:t>7</w:t>
      </w:r>
      <w:r>
        <w:rPr>
          <w:rFonts w:hint="eastAsia"/>
          <w:snapToGrid w:val="0"/>
          <w:kern w:val="0"/>
          <w:sz w:val="28"/>
          <w:szCs w:val="28"/>
        </w:rPr>
        <w:t>年政府采购预算总额为0万元，主要包括政府采购货物    0万元，工程0万元及服务0万元。</w:t>
      </w:r>
    </w:p>
    <w:p w14:paraId="1C7283EA">
      <w:pPr>
        <w:pStyle w:val="8"/>
        <w:adjustRightInd w:val="0"/>
        <w:snapToGrid w:val="0"/>
        <w:spacing w:line="600" w:lineRule="exact"/>
        <w:ind w:left="105" w:leftChars="50" w:firstLine="560"/>
        <w:rPr>
          <w:snapToGrid w:val="0"/>
          <w:kern w:val="0"/>
          <w:sz w:val="28"/>
          <w:szCs w:val="28"/>
        </w:rPr>
      </w:pPr>
      <w:r>
        <w:rPr>
          <w:rFonts w:hint="eastAsia"/>
          <w:snapToGrid w:val="0"/>
          <w:kern w:val="0"/>
          <w:sz w:val="28"/>
          <w:szCs w:val="28"/>
        </w:rPr>
        <w:t>2017年本部门政府采购支出总额0万元，其中：政府采购货物支出0万元、政府采购工程支出0万元、政府采购服务支出0</w:t>
      </w:r>
      <w:r>
        <w:rPr>
          <w:snapToGrid w:val="0"/>
          <w:kern w:val="0"/>
          <w:sz w:val="28"/>
          <w:szCs w:val="28"/>
        </w:rPr>
        <w:t xml:space="preserve"> </w:t>
      </w:r>
      <w:r>
        <w:rPr>
          <w:rFonts w:hint="eastAsia"/>
          <w:snapToGrid w:val="0"/>
          <w:kern w:val="0"/>
          <w:sz w:val="28"/>
          <w:szCs w:val="28"/>
        </w:rPr>
        <w:t>万元。</w:t>
      </w:r>
    </w:p>
    <w:p w14:paraId="5AE2F921">
      <w:pPr>
        <w:pStyle w:val="8"/>
        <w:adjustRightInd w:val="0"/>
        <w:snapToGrid w:val="0"/>
        <w:spacing w:line="600" w:lineRule="exact"/>
        <w:ind w:left="105" w:leftChars="50" w:firstLine="560"/>
        <w:rPr>
          <w:snapToGrid w:val="0"/>
          <w:kern w:val="0"/>
          <w:sz w:val="28"/>
          <w:szCs w:val="28"/>
        </w:rPr>
      </w:pPr>
      <w:r>
        <w:rPr>
          <w:snapToGrid w:val="0"/>
          <w:kern w:val="0"/>
          <w:sz w:val="28"/>
          <w:szCs w:val="28"/>
        </w:rPr>
        <w:t>3</w:t>
      </w:r>
      <w:r>
        <w:rPr>
          <w:rFonts w:hint="eastAsia"/>
          <w:snapToGrid w:val="0"/>
          <w:kern w:val="0"/>
          <w:sz w:val="28"/>
          <w:szCs w:val="28"/>
        </w:rPr>
        <w:t>、国有资产占用情况</w:t>
      </w:r>
    </w:p>
    <w:p w14:paraId="408FE9D4">
      <w:pPr>
        <w:pStyle w:val="8"/>
        <w:adjustRightInd w:val="0"/>
        <w:snapToGrid w:val="0"/>
        <w:spacing w:line="600" w:lineRule="exact"/>
        <w:ind w:firstLine="560"/>
        <w:rPr>
          <w:snapToGrid w:val="0"/>
          <w:kern w:val="0"/>
          <w:sz w:val="28"/>
          <w:szCs w:val="28"/>
        </w:rPr>
      </w:pPr>
      <w:r>
        <w:rPr>
          <w:rFonts w:hint="eastAsia"/>
          <w:snapToGrid w:val="0"/>
          <w:kern w:val="0"/>
          <w:sz w:val="28"/>
          <w:szCs w:val="28"/>
        </w:rPr>
        <w:t>我单位</w:t>
      </w:r>
      <w:r>
        <w:rPr>
          <w:snapToGrid w:val="0"/>
          <w:kern w:val="0"/>
          <w:sz w:val="28"/>
          <w:szCs w:val="28"/>
        </w:rPr>
        <w:t>2017</w:t>
      </w:r>
      <w:r>
        <w:rPr>
          <w:rFonts w:hint="eastAsia"/>
          <w:snapToGrid w:val="0"/>
          <w:kern w:val="0"/>
          <w:sz w:val="28"/>
          <w:szCs w:val="28"/>
        </w:rPr>
        <w:t>年末固定资产总额为2021.69万元，主要包括房屋14878.00平方米价值1295.84万元，车辆16辆价值85.88万元，单价在</w:t>
      </w:r>
      <w:r>
        <w:rPr>
          <w:snapToGrid w:val="0"/>
          <w:kern w:val="0"/>
          <w:sz w:val="28"/>
          <w:szCs w:val="28"/>
        </w:rPr>
        <w:t>50</w:t>
      </w:r>
      <w:r>
        <w:rPr>
          <w:rFonts w:hint="eastAsia"/>
          <w:snapToGrid w:val="0"/>
          <w:kern w:val="0"/>
          <w:sz w:val="28"/>
          <w:szCs w:val="28"/>
        </w:rPr>
        <w:t>万元以上的设备0台，及其他固定资产626.68万元。</w:t>
      </w:r>
      <w:r>
        <w:rPr>
          <w:snapToGrid w:val="0"/>
          <w:kern w:val="0"/>
          <w:sz w:val="28"/>
          <w:szCs w:val="28"/>
        </w:rPr>
        <w:t xml:space="preserve"> </w:t>
      </w:r>
    </w:p>
    <w:p w14:paraId="00213F9E">
      <w:pPr>
        <w:pStyle w:val="8"/>
        <w:adjustRightInd w:val="0"/>
        <w:snapToGrid w:val="0"/>
        <w:spacing w:line="600" w:lineRule="exact"/>
        <w:ind w:firstLine="560"/>
        <w:rPr>
          <w:snapToGrid w:val="0"/>
          <w:kern w:val="0"/>
          <w:sz w:val="28"/>
          <w:szCs w:val="28"/>
        </w:rPr>
      </w:pPr>
      <w:r>
        <w:rPr>
          <w:snapToGrid w:val="0"/>
          <w:kern w:val="0"/>
          <w:sz w:val="28"/>
          <w:szCs w:val="28"/>
        </w:rPr>
        <w:t>2017</w:t>
      </w:r>
      <w:r>
        <w:rPr>
          <w:rFonts w:hint="eastAsia"/>
          <w:snapToGrid w:val="0"/>
          <w:kern w:val="0"/>
          <w:sz w:val="28"/>
          <w:szCs w:val="28"/>
        </w:rPr>
        <w:t>年资产变动情况：固定资产增加22.71万元，包括房屋变化0万元</w:t>
      </w:r>
      <w:r>
        <w:rPr>
          <w:snapToGrid w:val="0"/>
          <w:kern w:val="0"/>
          <w:sz w:val="28"/>
          <w:szCs w:val="28"/>
        </w:rPr>
        <w:t>,</w:t>
      </w:r>
      <w:r>
        <w:rPr>
          <w:rFonts w:hint="eastAsia"/>
          <w:snapToGrid w:val="0"/>
          <w:kern w:val="0"/>
          <w:sz w:val="28"/>
          <w:szCs w:val="28"/>
        </w:rPr>
        <w:t>车辆减少15.99万元，单价在</w:t>
      </w:r>
      <w:r>
        <w:rPr>
          <w:snapToGrid w:val="0"/>
          <w:kern w:val="0"/>
          <w:sz w:val="28"/>
          <w:szCs w:val="28"/>
        </w:rPr>
        <w:t>50</w:t>
      </w:r>
      <w:r>
        <w:rPr>
          <w:rFonts w:hint="eastAsia"/>
          <w:snapToGrid w:val="0"/>
          <w:kern w:val="0"/>
          <w:sz w:val="28"/>
          <w:szCs w:val="28"/>
        </w:rPr>
        <w:t>万元以上的设备变化0万元，其他固定资产增加38.70万元。</w:t>
      </w:r>
    </w:p>
    <w:p w14:paraId="755051F3">
      <w:pPr>
        <w:pStyle w:val="8"/>
        <w:adjustRightInd w:val="0"/>
        <w:snapToGrid w:val="0"/>
        <w:spacing w:line="600" w:lineRule="exact"/>
        <w:ind w:left="105" w:leftChars="50" w:firstLine="560"/>
        <w:rPr>
          <w:snapToGrid w:val="0"/>
          <w:kern w:val="0"/>
          <w:sz w:val="28"/>
          <w:szCs w:val="28"/>
        </w:rPr>
      </w:pPr>
      <w:r>
        <w:rPr>
          <w:snapToGrid w:val="0"/>
          <w:kern w:val="0"/>
          <w:sz w:val="28"/>
          <w:szCs w:val="28"/>
        </w:rPr>
        <w:t>4</w:t>
      </w:r>
      <w:r>
        <w:rPr>
          <w:rFonts w:hint="eastAsia"/>
          <w:snapToGrid w:val="0"/>
          <w:kern w:val="0"/>
          <w:sz w:val="28"/>
          <w:szCs w:val="28"/>
        </w:rPr>
        <w:t>、其他需要说明的情况</w:t>
      </w:r>
    </w:p>
    <w:p w14:paraId="6E697871">
      <w:pPr>
        <w:pStyle w:val="8"/>
        <w:adjustRightInd w:val="0"/>
        <w:snapToGrid w:val="0"/>
        <w:spacing w:line="600" w:lineRule="exact"/>
        <w:ind w:left="105" w:leftChars="50" w:firstLine="560"/>
        <w:rPr>
          <w:b/>
          <w:sz w:val="44"/>
          <w:szCs w:val="44"/>
        </w:rPr>
      </w:pPr>
      <w:r>
        <w:rPr>
          <w:rFonts w:hint="eastAsia"/>
          <w:snapToGrid w:val="0"/>
          <w:kern w:val="0"/>
          <w:sz w:val="28"/>
          <w:szCs w:val="28"/>
        </w:rPr>
        <w:t>无</w:t>
      </w:r>
    </w:p>
    <w:p w14:paraId="044FF38B">
      <w:pPr>
        <w:jc w:val="center"/>
        <w:rPr>
          <w:b/>
          <w:sz w:val="44"/>
          <w:szCs w:val="44"/>
        </w:rPr>
      </w:pPr>
      <w:r>
        <w:rPr>
          <w:rFonts w:hint="eastAsia"/>
          <w:b/>
          <w:sz w:val="44"/>
          <w:szCs w:val="44"/>
        </w:rPr>
        <w:t>第三部分</w:t>
      </w:r>
      <w:r>
        <w:rPr>
          <w:b/>
          <w:sz w:val="44"/>
          <w:szCs w:val="44"/>
        </w:rPr>
        <w:t xml:space="preserve">      </w:t>
      </w:r>
      <w:r>
        <w:rPr>
          <w:rFonts w:hint="eastAsia"/>
          <w:b/>
          <w:sz w:val="44"/>
          <w:szCs w:val="44"/>
        </w:rPr>
        <w:t>名词解释</w:t>
      </w:r>
    </w:p>
    <w:p w14:paraId="15E0B733">
      <w:pPr>
        <w:pStyle w:val="5"/>
        <w:spacing w:before="0" w:beforeAutospacing="0" w:after="0" w:afterAutospacing="0" w:line="384" w:lineRule="atLeast"/>
        <w:ind w:firstLine="540"/>
        <w:rPr>
          <w:rFonts w:ascii="Helvetica" w:hAnsi="Helvetica" w:cs="Helvetica"/>
          <w:color w:val="3E3E3E"/>
        </w:rPr>
      </w:pPr>
      <w:r>
        <w:rPr>
          <w:rFonts w:hint="eastAsia" w:ascii="仿宋_GB2312" w:hAnsi="Helvetica" w:eastAsia="仿宋_GB2312" w:cs="Helvetica"/>
          <w:color w:val="3E3E3E"/>
          <w:sz w:val="27"/>
          <w:szCs w:val="27"/>
        </w:rPr>
        <w:t>（一）财政拨款收入：本年度从本级财政部门取得的财政拨款，包括一般公共预算财政拨款和政府性基金预算财政拨款。</w:t>
      </w:r>
    </w:p>
    <w:p w14:paraId="125D5188">
      <w:pPr>
        <w:pStyle w:val="5"/>
        <w:spacing w:before="0" w:beforeAutospacing="0" w:after="0" w:afterAutospacing="0" w:line="384" w:lineRule="atLeast"/>
        <w:ind w:firstLine="540"/>
        <w:rPr>
          <w:rFonts w:ascii="Helvetica" w:hAnsi="Helvetica" w:cs="Helvetica"/>
          <w:color w:val="3E3E3E"/>
        </w:rPr>
      </w:pPr>
      <w:r>
        <w:rPr>
          <w:rFonts w:hint="eastAsia" w:ascii="仿宋_GB2312" w:hAnsi="Helvetica" w:eastAsia="仿宋_GB2312" w:cs="Helvetica"/>
          <w:color w:val="3E3E3E"/>
          <w:sz w:val="27"/>
          <w:szCs w:val="27"/>
        </w:rPr>
        <w:t>（二）事业收入：指事业单位开展专业业务活动及辅助活动所取得的收入。</w:t>
      </w:r>
    </w:p>
    <w:p w14:paraId="6525B737">
      <w:pPr>
        <w:pStyle w:val="5"/>
        <w:spacing w:before="0" w:beforeAutospacing="0" w:after="0" w:afterAutospacing="0" w:line="384" w:lineRule="atLeast"/>
        <w:ind w:firstLine="540"/>
        <w:rPr>
          <w:rFonts w:ascii="Helvetica" w:hAnsi="Helvetica" w:cs="Helvetica"/>
          <w:color w:val="3E3E3E"/>
        </w:rPr>
      </w:pPr>
      <w:r>
        <w:rPr>
          <w:rFonts w:hint="eastAsia" w:ascii="仿宋_GB2312" w:hAnsi="Helvetica" w:eastAsia="仿宋_GB2312" w:cs="Helvetica"/>
          <w:color w:val="3E3E3E"/>
          <w:sz w:val="27"/>
          <w:szCs w:val="27"/>
        </w:rPr>
        <w:t>（三）其他收入：指除上述“财政拨款收入”、“事业收入”、“经营收入”等以外的收入。</w:t>
      </w:r>
    </w:p>
    <w:p w14:paraId="6A743477">
      <w:pPr>
        <w:pStyle w:val="5"/>
        <w:spacing w:before="0" w:beforeAutospacing="0" w:after="0" w:afterAutospacing="0" w:line="384" w:lineRule="atLeast"/>
        <w:ind w:firstLine="540"/>
        <w:rPr>
          <w:rFonts w:ascii="Helvetica" w:hAnsi="Helvetica" w:cs="Helvetica"/>
          <w:color w:val="3E3E3E"/>
        </w:rPr>
      </w:pPr>
      <w:r>
        <w:rPr>
          <w:rFonts w:hint="eastAsia" w:ascii="仿宋_GB2312" w:hAnsi="Helvetica" w:eastAsia="仿宋_GB2312" w:cs="Helvetica"/>
          <w:color w:val="3E3E3E"/>
          <w:sz w:val="27"/>
          <w:szCs w:val="27"/>
        </w:rPr>
        <w:t>（四）用事业基金弥补收支差额：指事业单位在用当年的“财政拨款收入”、“财政拨款结转和结余资金”、“事业收入”、“经营收入”、“其他收入”不足以安排当年支出的情况下，使用以前年度积累的事业基金（事业单位当年收支相抵后按国家规定提取、用于弥补以后年度收支差额的基金）弥补本年度收支缺口的资金。</w:t>
      </w:r>
    </w:p>
    <w:p w14:paraId="73908007">
      <w:pPr>
        <w:pStyle w:val="5"/>
        <w:spacing w:before="0" w:beforeAutospacing="0" w:after="0" w:afterAutospacing="0" w:line="384" w:lineRule="atLeast"/>
        <w:ind w:firstLine="540"/>
        <w:rPr>
          <w:rFonts w:ascii="Helvetica" w:hAnsi="Helvetica" w:cs="Helvetica"/>
          <w:color w:val="3E3E3E"/>
        </w:rPr>
      </w:pPr>
      <w:r>
        <w:rPr>
          <w:rFonts w:hint="eastAsia" w:ascii="仿宋_GB2312" w:hAnsi="Helvetica" w:eastAsia="仿宋_GB2312" w:cs="Helvetica"/>
          <w:color w:val="3E3E3E"/>
          <w:sz w:val="27"/>
          <w:szCs w:val="27"/>
        </w:rPr>
        <w:t>（五）年初结转和结余：指以前年度尚未完成、结转到本年仍按原规定用途继续使用的资金，或项目已完成等产生的结余资金。</w:t>
      </w:r>
    </w:p>
    <w:p w14:paraId="6B6E0AFD">
      <w:pPr>
        <w:pStyle w:val="5"/>
        <w:spacing w:before="0" w:beforeAutospacing="0" w:after="0" w:afterAutospacing="0" w:line="384" w:lineRule="atLeast"/>
        <w:ind w:firstLine="540"/>
        <w:rPr>
          <w:rFonts w:ascii="Helvetica" w:hAnsi="Helvetica" w:cs="Helvetica"/>
          <w:color w:val="3E3E3E"/>
        </w:rPr>
      </w:pPr>
      <w:r>
        <w:rPr>
          <w:rFonts w:hint="eastAsia" w:ascii="仿宋_GB2312" w:hAnsi="Helvetica" w:eastAsia="仿宋_GB2312" w:cs="Helvetica"/>
          <w:color w:val="3E3E3E"/>
          <w:sz w:val="27"/>
          <w:szCs w:val="27"/>
        </w:rPr>
        <w:t>（六）结余分配：指事业单位按照事业单位会计制度的规定从非财政补助结余中分配的事业基金和职工福利基金等。</w:t>
      </w:r>
    </w:p>
    <w:p w14:paraId="18C23245">
      <w:pPr>
        <w:pStyle w:val="5"/>
        <w:spacing w:before="0" w:beforeAutospacing="0" w:after="0" w:afterAutospacing="0" w:line="384" w:lineRule="atLeast"/>
        <w:ind w:firstLine="540"/>
        <w:rPr>
          <w:rFonts w:ascii="Helvetica" w:hAnsi="Helvetica" w:cs="Helvetica"/>
          <w:color w:val="3E3E3E"/>
        </w:rPr>
      </w:pPr>
      <w:r>
        <w:rPr>
          <w:rFonts w:hint="eastAsia" w:ascii="仿宋_GB2312" w:hAnsi="Helvetica" w:eastAsia="仿宋_GB2312" w:cs="Helvetica"/>
          <w:color w:val="3E3E3E"/>
          <w:sz w:val="27"/>
          <w:szCs w:val="27"/>
        </w:rPr>
        <w:t>（七）年末结转和结余：指单位按有关规定结转到下年或以后年度继续使用的资金，或项目已完成等产生的结余资金。</w:t>
      </w:r>
    </w:p>
    <w:p w14:paraId="78482EF0">
      <w:pPr>
        <w:pStyle w:val="5"/>
        <w:spacing w:before="0" w:beforeAutospacing="0" w:after="0" w:afterAutospacing="0" w:line="384" w:lineRule="atLeast"/>
        <w:ind w:firstLine="540"/>
        <w:rPr>
          <w:rFonts w:ascii="Helvetica" w:hAnsi="Helvetica" w:cs="Helvetica"/>
          <w:color w:val="3E3E3E"/>
        </w:rPr>
      </w:pPr>
      <w:r>
        <w:rPr>
          <w:rFonts w:hint="eastAsia" w:ascii="仿宋_GB2312" w:hAnsi="Helvetica" w:eastAsia="仿宋_GB2312" w:cs="Helvetica"/>
          <w:color w:val="3E3E3E"/>
          <w:sz w:val="27"/>
          <w:szCs w:val="27"/>
        </w:rPr>
        <w:t>（八）基本支出：填列单位为保障机构正常运转、完成日常工作任务而发生的各项支出。</w:t>
      </w:r>
    </w:p>
    <w:p w14:paraId="164A581D">
      <w:pPr>
        <w:pStyle w:val="5"/>
        <w:spacing w:before="0" w:beforeAutospacing="0" w:after="0" w:afterAutospacing="0" w:line="384" w:lineRule="atLeast"/>
        <w:ind w:firstLine="540"/>
        <w:rPr>
          <w:rFonts w:ascii="Helvetica" w:hAnsi="Helvetica" w:cs="Helvetica"/>
          <w:color w:val="3E3E3E"/>
        </w:rPr>
      </w:pPr>
      <w:r>
        <w:rPr>
          <w:rFonts w:hint="eastAsia" w:ascii="仿宋_GB2312" w:hAnsi="Helvetica" w:eastAsia="仿宋_GB2312" w:cs="Helvetica"/>
          <w:color w:val="3E3E3E"/>
          <w:sz w:val="27"/>
          <w:szCs w:val="27"/>
        </w:rPr>
        <w:t>（九）项目支出：填列单位为完成特定的行政工作任务或事业发展目标，在基本支出之外发生的各项支出</w:t>
      </w:r>
    </w:p>
    <w:p w14:paraId="5E7EB8FF">
      <w:pPr>
        <w:pStyle w:val="5"/>
        <w:spacing w:before="0" w:beforeAutospacing="0" w:after="0" w:afterAutospacing="0" w:line="384" w:lineRule="atLeast"/>
        <w:ind w:firstLine="540"/>
        <w:rPr>
          <w:rFonts w:ascii="Helvetica" w:hAnsi="Helvetica" w:cs="Helvetica"/>
          <w:color w:val="3E3E3E"/>
        </w:rPr>
      </w:pPr>
      <w:r>
        <w:rPr>
          <w:rFonts w:hint="eastAsia" w:ascii="仿宋_GB2312" w:hAnsi="Helvetica" w:eastAsia="仿宋_GB2312" w:cs="Helvetica"/>
          <w:color w:val="3E3E3E"/>
          <w:sz w:val="27"/>
          <w:szCs w:val="27"/>
        </w:rPr>
        <w:t>（十）基本建设支出：填列由本级发展与改革部门集中安排的用于购置固定资产、战略性和应急性储备、土地和无形资产，以及购建基础设施、大型修缮所发生的一般公共预算财政拨款支出，不包括政府性基金、财政专户管理资金以及各类拼盘自筹资金等。</w:t>
      </w:r>
    </w:p>
    <w:p w14:paraId="5B3CC6E8">
      <w:pPr>
        <w:pStyle w:val="5"/>
        <w:spacing w:before="0" w:beforeAutospacing="0" w:after="0" w:afterAutospacing="0" w:line="384" w:lineRule="atLeast"/>
        <w:ind w:firstLine="540"/>
        <w:rPr>
          <w:rFonts w:ascii="Helvetica" w:hAnsi="Helvetica" w:cs="Helvetica"/>
          <w:color w:val="3E3E3E"/>
        </w:rPr>
      </w:pPr>
      <w:r>
        <w:rPr>
          <w:rFonts w:hint="eastAsia" w:ascii="仿宋_GB2312" w:hAnsi="Helvetica" w:eastAsia="仿宋_GB2312" w:cs="Helvetica"/>
          <w:color w:val="3E3E3E"/>
          <w:sz w:val="27"/>
          <w:szCs w:val="27"/>
        </w:rPr>
        <w:t>（十一）其他资本性支出：填列由各级非发展与改革部门集中安排的用于购置固定资产、战备性和应急性储备、土地和无形资产，以及购建基础设施、大型修缮和财政支持企业更新改造所发生的支出。</w:t>
      </w:r>
    </w:p>
    <w:p w14:paraId="0DD9DFEF">
      <w:pPr>
        <w:pStyle w:val="5"/>
        <w:spacing w:before="0" w:beforeAutospacing="0" w:after="0" w:afterAutospacing="0" w:line="384" w:lineRule="atLeast"/>
        <w:ind w:firstLine="540"/>
        <w:rPr>
          <w:rFonts w:ascii="Helvetica" w:hAnsi="Helvetica" w:cs="Helvetica"/>
          <w:color w:val="3E3E3E"/>
        </w:rPr>
      </w:pPr>
      <w:r>
        <w:rPr>
          <w:rFonts w:hint="eastAsia" w:ascii="仿宋_GB2312" w:hAnsi="Helvetica" w:eastAsia="仿宋_GB2312" w:cs="Helvetica"/>
          <w:color w:val="3E3E3E"/>
          <w:sz w:val="27"/>
          <w:szCs w:val="27"/>
        </w:rPr>
        <w:t>（十二）“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购置支出（含车辆购置税）及租用费、燃料费、维修费、过路过桥费、保险费、安全奖励费用等支出；公务接待费反映单位按规定开支的各类公务接待（含外宾接待）支出。</w:t>
      </w:r>
    </w:p>
    <w:p w14:paraId="143EA948">
      <w:pPr>
        <w:pStyle w:val="5"/>
        <w:spacing w:before="0" w:beforeAutospacing="0" w:after="0" w:afterAutospacing="0" w:line="384" w:lineRule="atLeast"/>
        <w:ind w:firstLine="540"/>
        <w:rPr>
          <w:rFonts w:ascii="Helvetica" w:hAnsi="Helvetica" w:cs="Helvetica"/>
          <w:color w:val="3E3E3E"/>
        </w:rPr>
      </w:pPr>
      <w:r>
        <w:rPr>
          <w:rFonts w:hint="eastAsia" w:ascii="仿宋_GB2312" w:hAnsi="Helvetica" w:eastAsia="仿宋_GB2312" w:cs="Helvetica"/>
          <w:color w:val="3E3E3E"/>
          <w:sz w:val="27"/>
          <w:szCs w:val="27"/>
        </w:rPr>
        <w:t>  （十三）其他交通费用：填列单位除公务用车运行维护费以外的其他交通费用。如飞机、船舶等的燃料费、维修费、过桥过路费、保险费、出租车费用、公务交通补贴等。</w:t>
      </w:r>
    </w:p>
    <w:p w14:paraId="4A6127CD">
      <w:pPr>
        <w:pStyle w:val="5"/>
        <w:spacing w:before="0" w:beforeAutospacing="0" w:after="0" w:afterAutospacing="0" w:line="384" w:lineRule="atLeast"/>
        <w:ind w:firstLine="540"/>
        <w:rPr>
          <w:rFonts w:ascii="Helvetica" w:hAnsi="Helvetica" w:cs="Helvetica"/>
          <w:color w:val="3E3E3E"/>
        </w:rPr>
      </w:pPr>
      <w:r>
        <w:rPr>
          <w:rFonts w:hint="eastAsia" w:ascii="仿宋_GB2312" w:hAnsi="Helvetica" w:eastAsia="仿宋_GB2312" w:cs="Helvetica"/>
          <w:color w:val="3E3E3E"/>
          <w:sz w:val="27"/>
          <w:szCs w:val="27"/>
        </w:rPr>
        <w:t>（十四）公务用车购置：填列单位公务用车车辆购置支出（含车辆购置税）。</w:t>
      </w:r>
    </w:p>
    <w:p w14:paraId="0772123D">
      <w:pPr>
        <w:pStyle w:val="5"/>
        <w:spacing w:before="0" w:beforeAutospacing="0" w:after="0" w:afterAutospacing="0" w:line="384" w:lineRule="atLeast"/>
        <w:ind w:firstLine="540"/>
        <w:rPr>
          <w:rFonts w:ascii="Helvetica" w:hAnsi="Helvetica" w:cs="Helvetica"/>
          <w:color w:val="3E3E3E"/>
        </w:rPr>
      </w:pPr>
      <w:r>
        <w:rPr>
          <w:rFonts w:hint="eastAsia" w:ascii="仿宋_GB2312" w:hAnsi="Helvetica" w:eastAsia="仿宋_GB2312" w:cs="Helvetica"/>
          <w:color w:val="3E3E3E"/>
          <w:sz w:val="27"/>
          <w:szCs w:val="27"/>
        </w:rPr>
        <w:t>（十五）其他交通工具购置：填列单位除公务用车外的其他各类交通工具（如船舶、飞机）购置支出（含车辆购置税）。</w:t>
      </w:r>
    </w:p>
    <w:p w14:paraId="20252917">
      <w:pPr>
        <w:pStyle w:val="5"/>
        <w:spacing w:before="0" w:beforeAutospacing="0" w:after="0" w:afterAutospacing="0" w:line="384" w:lineRule="atLeast"/>
        <w:ind w:firstLine="540"/>
        <w:rPr>
          <w:rFonts w:ascii="Helvetica" w:hAnsi="Helvetica" w:cs="Helvetica"/>
          <w:color w:val="3E3E3E"/>
        </w:rPr>
      </w:pPr>
      <w:r>
        <w:rPr>
          <w:rFonts w:hint="eastAsia" w:ascii="仿宋_GB2312" w:hAnsi="Helvetica" w:eastAsia="仿宋_GB2312" w:cs="Helvetica"/>
          <w:color w:val="3E3E3E"/>
          <w:sz w:val="27"/>
          <w:szCs w:val="27"/>
        </w:rPr>
        <w:t>（十六） 机关运行经费：指为保障行政单位（包括参照公务员法管理的事业单位）运行用于购买货物和服务的各项资金，包括办公及印刷费、邮电费、差旅费、会议费、福利费、日常维修费、专用材料以及一般设备购置费、办公用房水电费、办公用房取暖费、办公用房物业管理费、公务用车运行维护费以及其他费用。</w:t>
      </w:r>
    </w:p>
    <w:p w14:paraId="09F12F06">
      <w:pPr>
        <w:rPr>
          <w:b/>
          <w:sz w:val="44"/>
          <w:szCs w:val="4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Helvetica">
    <w:altName w:val="Arial"/>
    <w:panose1 w:val="020B0604020202020204"/>
    <w:charset w:val="00"/>
    <w:family w:val="swiss"/>
    <w:pitch w:val="default"/>
    <w:sig w:usb0="00000000" w:usb1="00000000" w:usb2="00000000" w:usb3="00000000" w:csb0="0000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NotTrackMoves/>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423F5"/>
    <w:rsid w:val="0000154F"/>
    <w:rsid w:val="00032940"/>
    <w:rsid w:val="0004180C"/>
    <w:rsid w:val="000F6364"/>
    <w:rsid w:val="000F784A"/>
    <w:rsid w:val="001041EE"/>
    <w:rsid w:val="00105E6A"/>
    <w:rsid w:val="00126393"/>
    <w:rsid w:val="001470C3"/>
    <w:rsid w:val="0015089B"/>
    <w:rsid w:val="00152908"/>
    <w:rsid w:val="0017103D"/>
    <w:rsid w:val="001A5309"/>
    <w:rsid w:val="001C673D"/>
    <w:rsid w:val="001E68F2"/>
    <w:rsid w:val="002078C6"/>
    <w:rsid w:val="00246838"/>
    <w:rsid w:val="002A4780"/>
    <w:rsid w:val="003277A3"/>
    <w:rsid w:val="0033167F"/>
    <w:rsid w:val="00372DF7"/>
    <w:rsid w:val="00390D5C"/>
    <w:rsid w:val="003D6BC8"/>
    <w:rsid w:val="003F0B48"/>
    <w:rsid w:val="003F3B34"/>
    <w:rsid w:val="00471A6A"/>
    <w:rsid w:val="00493BA1"/>
    <w:rsid w:val="0058572E"/>
    <w:rsid w:val="005B3169"/>
    <w:rsid w:val="0060361A"/>
    <w:rsid w:val="00647EF9"/>
    <w:rsid w:val="00672A2F"/>
    <w:rsid w:val="00674EC2"/>
    <w:rsid w:val="00694FE2"/>
    <w:rsid w:val="006B564B"/>
    <w:rsid w:val="006E71D0"/>
    <w:rsid w:val="00713038"/>
    <w:rsid w:val="00791B38"/>
    <w:rsid w:val="007A226A"/>
    <w:rsid w:val="007D3CAC"/>
    <w:rsid w:val="007F25DB"/>
    <w:rsid w:val="008026BF"/>
    <w:rsid w:val="0082704B"/>
    <w:rsid w:val="008423F5"/>
    <w:rsid w:val="00842CBB"/>
    <w:rsid w:val="008711E4"/>
    <w:rsid w:val="00877831"/>
    <w:rsid w:val="008E40DC"/>
    <w:rsid w:val="00923A35"/>
    <w:rsid w:val="00933524"/>
    <w:rsid w:val="00945D0B"/>
    <w:rsid w:val="00985214"/>
    <w:rsid w:val="009B74FB"/>
    <w:rsid w:val="00A372C2"/>
    <w:rsid w:val="00A609A3"/>
    <w:rsid w:val="00A70349"/>
    <w:rsid w:val="00A91052"/>
    <w:rsid w:val="00AA21A2"/>
    <w:rsid w:val="00AC4F3F"/>
    <w:rsid w:val="00B005DA"/>
    <w:rsid w:val="00B17297"/>
    <w:rsid w:val="00B408DE"/>
    <w:rsid w:val="00B40ED6"/>
    <w:rsid w:val="00B45105"/>
    <w:rsid w:val="00BB445C"/>
    <w:rsid w:val="00BF0F01"/>
    <w:rsid w:val="00C14C85"/>
    <w:rsid w:val="00C222CB"/>
    <w:rsid w:val="00C82568"/>
    <w:rsid w:val="00C868EB"/>
    <w:rsid w:val="00CA2480"/>
    <w:rsid w:val="00CB1E06"/>
    <w:rsid w:val="00CB45AA"/>
    <w:rsid w:val="00D16564"/>
    <w:rsid w:val="00D6325B"/>
    <w:rsid w:val="00D9008B"/>
    <w:rsid w:val="00D96FB4"/>
    <w:rsid w:val="00DB3197"/>
    <w:rsid w:val="00DB7E7C"/>
    <w:rsid w:val="00DC5EA2"/>
    <w:rsid w:val="00DD3837"/>
    <w:rsid w:val="00E37D7B"/>
    <w:rsid w:val="00E52B57"/>
    <w:rsid w:val="00E57806"/>
    <w:rsid w:val="00E70A55"/>
    <w:rsid w:val="00E71A30"/>
    <w:rsid w:val="00F00F83"/>
    <w:rsid w:val="00F37219"/>
    <w:rsid w:val="00F46674"/>
    <w:rsid w:val="00F7078F"/>
    <w:rsid w:val="00FA219C"/>
    <w:rsid w:val="00FD6570"/>
    <w:rsid w:val="064A3FAD"/>
    <w:rsid w:val="0B6A15E4"/>
    <w:rsid w:val="0D6054DA"/>
    <w:rsid w:val="1AF90D88"/>
    <w:rsid w:val="1F545778"/>
    <w:rsid w:val="62A02981"/>
    <w:rsid w:val="648642E4"/>
    <w:rsid w:val="67317415"/>
    <w:rsid w:val="6DB55011"/>
    <w:rsid w:val="6E5238A6"/>
    <w:rsid w:val="70FA7241"/>
    <w:rsid w:val="739A1501"/>
    <w:rsid w:val="7C5200B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qFormat/>
    <w:uiPriority w:val="99"/>
    <w:rPr>
      <w:sz w:val="18"/>
      <w:szCs w:val="18"/>
    </w:rPr>
  </w:style>
  <w:style w:type="paragraph" w:styleId="3">
    <w:name w:val="footer"/>
    <w:basedOn w:val="1"/>
    <w:link w:val="11"/>
    <w:qFormat/>
    <w:uiPriority w:val="99"/>
    <w:pPr>
      <w:tabs>
        <w:tab w:val="center" w:pos="4153"/>
        <w:tab w:val="right" w:pos="8306"/>
      </w:tabs>
      <w:snapToGrid w:val="0"/>
      <w:jc w:val="left"/>
    </w:pPr>
    <w:rPr>
      <w:sz w:val="18"/>
      <w:szCs w:val="18"/>
    </w:rPr>
  </w:style>
  <w:style w:type="paragraph" w:styleId="4">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cs="宋体"/>
      <w:kern w:val="0"/>
      <w:sz w:val="24"/>
      <w:szCs w:val="24"/>
    </w:rPr>
  </w:style>
  <w:style w:type="paragraph" w:customStyle="1" w:styleId="8">
    <w:name w:val="列出段落1"/>
    <w:basedOn w:val="1"/>
    <w:qFormat/>
    <w:uiPriority w:val="34"/>
    <w:pPr>
      <w:ind w:firstLine="420" w:firstLineChars="200"/>
    </w:pPr>
  </w:style>
  <w:style w:type="paragraph" w:styleId="9">
    <w:name w:val="List Paragraph"/>
    <w:basedOn w:val="1"/>
    <w:qFormat/>
    <w:uiPriority w:val="99"/>
    <w:pPr>
      <w:ind w:firstLine="420" w:firstLineChars="200"/>
    </w:pPr>
  </w:style>
  <w:style w:type="character" w:customStyle="1" w:styleId="10">
    <w:name w:val="页眉 字符"/>
    <w:link w:val="4"/>
    <w:qFormat/>
    <w:locked/>
    <w:uiPriority w:val="99"/>
    <w:rPr>
      <w:rFonts w:ascii="Calibri" w:hAnsi="Calibri" w:eastAsia="宋体" w:cs="Times New Roman"/>
      <w:kern w:val="2"/>
      <w:sz w:val="18"/>
      <w:szCs w:val="18"/>
    </w:rPr>
  </w:style>
  <w:style w:type="character" w:customStyle="1" w:styleId="11">
    <w:name w:val="页脚 字符"/>
    <w:link w:val="3"/>
    <w:qFormat/>
    <w:locked/>
    <w:uiPriority w:val="99"/>
    <w:rPr>
      <w:rFonts w:ascii="Calibri" w:hAnsi="Calibri" w:eastAsia="宋体" w:cs="Times New Roman"/>
      <w:kern w:val="2"/>
      <w:sz w:val="18"/>
      <w:szCs w:val="18"/>
    </w:rPr>
  </w:style>
  <w:style w:type="character" w:customStyle="1" w:styleId="12">
    <w:name w:val="批注框文本 字符"/>
    <w:link w:val="2"/>
    <w:semiHidden/>
    <w:qFormat/>
    <w:locked/>
    <w:uiPriority w:val="99"/>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 (Beijing) Limited</Company>
  <Pages>8</Pages>
  <Words>4068</Words>
  <Characters>4457</Characters>
  <Lines>4</Lines>
  <Paragraphs>9</Paragraphs>
  <TotalTime>510</TotalTime>
  <ScaleCrop>false</ScaleCrop>
  <LinksUpToDate>false</LinksUpToDate>
  <CharactersWithSpaces>4508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2015-11-03T02:02:00Z</dcterms:created>
  <dc:creator>yuanxiaowei</dc:creator>
  <cp:lastModifiedBy>Am</cp:lastModifiedBy>
  <cp:lastPrinted>2018-10-30T03:50:00Z</cp:lastPrinted>
  <dcterms:modified xsi:type="dcterms:W3CDTF">2026-02-02T03:00:07Z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eyJoZGlkIjoiYjZkOTdiNmRlNjVjYTc0MzZmZTVjZTVmMjZhMTMyMmMiLCJ1c2VySWQiOiIxMjI0Mjk2Nzk5In0=</vt:lpwstr>
  </property>
  <property fmtid="{D5CDD505-2E9C-101B-9397-08002B2CF9AE}" pid="4" name="ICV">
    <vt:lpwstr>5A2A2B2855C7407BA59DDEB6649E5AE1_12</vt:lpwstr>
  </property>
</Properties>
</file>