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0A346">
      <w:pPr>
        <w:jc w:val="center"/>
        <w:rPr>
          <w:b/>
          <w:sz w:val="44"/>
          <w:szCs w:val="44"/>
        </w:rPr>
      </w:pPr>
      <w:r>
        <w:rPr>
          <w:rFonts w:hint="eastAsia"/>
          <w:b/>
          <w:sz w:val="44"/>
          <w:szCs w:val="44"/>
        </w:rPr>
        <w:t>第一部分  保定市徐水区交通运输局</w:t>
      </w:r>
    </w:p>
    <w:p w14:paraId="0F688FB3">
      <w:pPr>
        <w:jc w:val="center"/>
        <w:rPr>
          <w:b/>
          <w:sz w:val="44"/>
          <w:szCs w:val="44"/>
        </w:rPr>
      </w:pPr>
      <w:r>
        <w:rPr>
          <w:rFonts w:hint="eastAsia"/>
          <w:b/>
          <w:sz w:val="44"/>
          <w:szCs w:val="44"/>
        </w:rPr>
        <w:t xml:space="preserve">      部门</w:t>
      </w:r>
      <w:r>
        <w:rPr>
          <w:b/>
          <w:sz w:val="44"/>
          <w:szCs w:val="44"/>
        </w:rPr>
        <w:t>概况</w:t>
      </w:r>
    </w:p>
    <w:p w14:paraId="4E4E54A7">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14:paraId="3F4E21D9">
      <w:pPr>
        <w:ind w:firstLine="560" w:firstLineChars="200"/>
        <w:jc w:val="left"/>
        <w:rPr>
          <w:snapToGrid w:val="0"/>
          <w:kern w:val="0"/>
          <w:sz w:val="28"/>
          <w:szCs w:val="28"/>
        </w:rPr>
      </w:pPr>
      <w:r>
        <w:rPr>
          <w:rFonts w:hint="eastAsia"/>
          <w:snapToGrid w:val="0"/>
          <w:kern w:val="0"/>
          <w:sz w:val="28"/>
          <w:szCs w:val="28"/>
        </w:rPr>
        <w:t>根据保定市徐水县人民政府办公</w:t>
      </w:r>
      <w:bookmarkStart w:id="0" w:name="_GoBack"/>
      <w:bookmarkEnd w:id="0"/>
      <w:r>
        <w:rPr>
          <w:rFonts w:hint="eastAsia"/>
          <w:snapToGrid w:val="0"/>
          <w:kern w:val="0"/>
          <w:sz w:val="28"/>
          <w:szCs w:val="28"/>
        </w:rPr>
        <w:t>室《关于印发</w:t>
      </w:r>
      <w:r>
        <w:rPr>
          <w:rFonts w:hint="eastAsia"/>
          <w:snapToGrid w:val="0"/>
          <w:kern w:val="0"/>
          <w:sz w:val="28"/>
          <w:szCs w:val="28"/>
          <w:lang w:eastAsia="zh-CN"/>
        </w:rPr>
        <w:t>〈</w:t>
      </w:r>
      <w:r>
        <w:rPr>
          <w:rFonts w:hint="eastAsia"/>
          <w:snapToGrid w:val="0"/>
          <w:kern w:val="0"/>
          <w:sz w:val="28"/>
          <w:szCs w:val="28"/>
        </w:rPr>
        <w:t>徐水县交通运输局主要职责、内设机构和人员编制规定</w:t>
      </w:r>
      <w:r>
        <w:rPr>
          <w:rFonts w:hint="eastAsia"/>
          <w:snapToGrid w:val="0"/>
          <w:kern w:val="0"/>
          <w:sz w:val="28"/>
          <w:szCs w:val="28"/>
          <w:lang w:eastAsia="zh-CN"/>
        </w:rPr>
        <w:t>〉</w:t>
      </w:r>
      <w:r>
        <w:rPr>
          <w:rFonts w:hint="eastAsia"/>
          <w:snapToGrid w:val="0"/>
          <w:kern w:val="0"/>
          <w:sz w:val="28"/>
          <w:szCs w:val="28"/>
        </w:rPr>
        <w:t>的通知》（徐政办[2010]71号），现将我局部门职责概况说明如下：</w:t>
      </w:r>
    </w:p>
    <w:p w14:paraId="1A6061A5">
      <w:pPr>
        <w:ind w:firstLine="420" w:firstLineChars="150"/>
        <w:jc w:val="left"/>
        <w:rPr>
          <w:snapToGrid w:val="0"/>
          <w:kern w:val="0"/>
          <w:sz w:val="28"/>
          <w:szCs w:val="28"/>
        </w:rPr>
      </w:pPr>
      <w:r>
        <w:rPr>
          <w:rFonts w:hint="eastAsia"/>
          <w:snapToGrid w:val="0"/>
          <w:kern w:val="0"/>
          <w:sz w:val="28"/>
          <w:szCs w:val="28"/>
        </w:rPr>
        <w:t>（一）根据区总体部署，拟定全区公路、水路交通发展规划、中长期规划和年度计划。</w:t>
      </w:r>
    </w:p>
    <w:p w14:paraId="33F910ED">
      <w:pPr>
        <w:ind w:firstLine="420" w:firstLineChars="150"/>
        <w:jc w:val="left"/>
        <w:rPr>
          <w:snapToGrid w:val="0"/>
          <w:kern w:val="0"/>
          <w:sz w:val="28"/>
          <w:szCs w:val="28"/>
        </w:rPr>
      </w:pPr>
      <w:r>
        <w:rPr>
          <w:rFonts w:hint="eastAsia"/>
          <w:snapToGrid w:val="0"/>
          <w:kern w:val="0"/>
          <w:sz w:val="28"/>
          <w:szCs w:val="28"/>
        </w:rPr>
        <w:t>（二）负责全区公路、水路的运输行业管理和运输组织管理；负责全区营业性客货运输停车站（场）的行业管理；负责全区出租汽车管理。</w:t>
      </w:r>
    </w:p>
    <w:p w14:paraId="060A09CA">
      <w:pPr>
        <w:ind w:firstLine="420" w:firstLineChars="150"/>
        <w:jc w:val="left"/>
        <w:rPr>
          <w:snapToGrid w:val="0"/>
          <w:kern w:val="0"/>
          <w:sz w:val="28"/>
          <w:szCs w:val="28"/>
        </w:rPr>
      </w:pPr>
      <w:r>
        <w:rPr>
          <w:rFonts w:hint="eastAsia"/>
          <w:snapToGrid w:val="0"/>
          <w:kern w:val="0"/>
          <w:sz w:val="28"/>
          <w:szCs w:val="28"/>
        </w:rPr>
        <w:t>（三）会同有关部门培育和管理交通运输市场和交通基础设施建设，引导交通运输业优化结构，协调发展。</w:t>
      </w:r>
    </w:p>
    <w:p w14:paraId="721F4EB5">
      <w:pPr>
        <w:ind w:firstLine="420" w:firstLineChars="150"/>
        <w:jc w:val="left"/>
        <w:rPr>
          <w:snapToGrid w:val="0"/>
          <w:kern w:val="0"/>
          <w:sz w:val="28"/>
          <w:szCs w:val="28"/>
        </w:rPr>
      </w:pPr>
      <w:r>
        <w:rPr>
          <w:rFonts w:hint="eastAsia"/>
          <w:snapToGrid w:val="0"/>
          <w:kern w:val="0"/>
          <w:sz w:val="28"/>
          <w:szCs w:val="28"/>
        </w:rPr>
        <w:t>（四）组织县乡公路及其设施的建设、养护、管理和规费稽征；负责全区道路运输市场、汽车维修市场、车辆技术检测、汽车驾驶学校和驾驶员工作的行业管理；指导和管理城乡客、货运输的衔接协调工作。</w:t>
      </w:r>
    </w:p>
    <w:p w14:paraId="3F4CA306">
      <w:pPr>
        <w:ind w:firstLine="420" w:firstLineChars="150"/>
        <w:jc w:val="left"/>
        <w:rPr>
          <w:snapToGrid w:val="0"/>
          <w:kern w:val="0"/>
          <w:sz w:val="28"/>
          <w:szCs w:val="28"/>
        </w:rPr>
      </w:pPr>
      <w:r>
        <w:rPr>
          <w:rFonts w:hint="eastAsia"/>
          <w:snapToGrid w:val="0"/>
          <w:kern w:val="0"/>
          <w:sz w:val="28"/>
          <w:szCs w:val="28"/>
        </w:rPr>
        <w:t>（五）负责全区车辆规费稽征；负责水上港航监督、船舶检验维修、救助打捞、通信导航、船舶代理、航道和港航设施建设使用岸线的行业管理。</w:t>
      </w:r>
    </w:p>
    <w:p w14:paraId="1DDC359B">
      <w:pPr>
        <w:ind w:firstLine="560" w:firstLineChars="200"/>
        <w:jc w:val="left"/>
        <w:rPr>
          <w:snapToGrid w:val="0"/>
          <w:kern w:val="0"/>
          <w:sz w:val="28"/>
          <w:szCs w:val="28"/>
        </w:rPr>
      </w:pPr>
      <w:r>
        <w:rPr>
          <w:rFonts w:hint="eastAsia"/>
          <w:snapToGrid w:val="0"/>
          <w:kern w:val="0"/>
          <w:sz w:val="28"/>
          <w:szCs w:val="28"/>
        </w:rPr>
        <w:t>（六）指导全区交通行业体制改革和企业管理；负责局属单位国有资产管理；组织全区交通系统内部审计工作。</w:t>
      </w:r>
    </w:p>
    <w:p w14:paraId="052C3672">
      <w:pPr>
        <w:ind w:firstLine="280" w:firstLineChars="100"/>
        <w:jc w:val="left"/>
        <w:rPr>
          <w:snapToGrid w:val="0"/>
          <w:kern w:val="0"/>
          <w:sz w:val="28"/>
          <w:szCs w:val="28"/>
        </w:rPr>
      </w:pPr>
      <w:r>
        <w:rPr>
          <w:rFonts w:hint="eastAsia"/>
          <w:snapToGrid w:val="0"/>
          <w:kern w:val="0"/>
          <w:sz w:val="28"/>
          <w:szCs w:val="28"/>
        </w:rP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725978CD">
      <w:pPr>
        <w:ind w:firstLine="420" w:firstLineChars="150"/>
        <w:jc w:val="left"/>
        <w:rPr>
          <w:snapToGrid w:val="0"/>
          <w:kern w:val="0"/>
          <w:sz w:val="28"/>
          <w:szCs w:val="28"/>
        </w:rPr>
      </w:pPr>
      <w:r>
        <w:rPr>
          <w:rFonts w:hint="eastAsia"/>
          <w:snapToGrid w:val="0"/>
          <w:kern w:val="0"/>
          <w:sz w:val="28"/>
          <w:szCs w:val="28"/>
        </w:rP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5D249C21">
      <w:pPr>
        <w:ind w:firstLine="560" w:firstLineChars="200"/>
        <w:jc w:val="left"/>
        <w:rPr>
          <w:snapToGrid w:val="0"/>
          <w:kern w:val="0"/>
          <w:sz w:val="28"/>
          <w:szCs w:val="28"/>
        </w:rPr>
      </w:pPr>
      <w:r>
        <w:rPr>
          <w:rFonts w:hint="eastAsia"/>
          <w:snapToGrid w:val="0"/>
          <w:kern w:val="0"/>
          <w:sz w:val="28"/>
          <w:szCs w:val="28"/>
        </w:rPr>
        <w:t>（九）指导全区交通行业涉外工作，指导利用外资。</w:t>
      </w:r>
    </w:p>
    <w:p w14:paraId="7646AEC2">
      <w:pPr>
        <w:ind w:firstLine="560" w:firstLineChars="200"/>
        <w:jc w:val="left"/>
        <w:rPr>
          <w:snapToGrid w:val="0"/>
          <w:kern w:val="0"/>
          <w:sz w:val="28"/>
          <w:szCs w:val="28"/>
        </w:rPr>
      </w:pPr>
      <w:r>
        <w:rPr>
          <w:rFonts w:hint="eastAsia"/>
          <w:snapToGrid w:val="0"/>
          <w:kern w:val="0"/>
          <w:sz w:val="28"/>
          <w:szCs w:val="28"/>
        </w:rPr>
        <w:t>（十）承办区政府交办的其他事项。</w:t>
      </w:r>
    </w:p>
    <w:p w14:paraId="5DC95160">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14:paraId="03D6A370">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w:t>
      </w:r>
      <w:r>
        <w:rPr>
          <w:snapToGrid w:val="0"/>
          <w:kern w:val="0"/>
          <w:sz w:val="28"/>
          <w:szCs w:val="28"/>
        </w:rPr>
        <w:t xml:space="preserve"> </w:t>
      </w:r>
      <w:r>
        <w:rPr>
          <w:rFonts w:hint="eastAsia"/>
          <w:snapToGrid w:val="0"/>
          <w:kern w:val="0"/>
          <w:sz w:val="28"/>
          <w:szCs w:val="28"/>
        </w:rPr>
        <w:t>1个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171人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158人</w:t>
      </w:r>
      <w:r>
        <w:rPr>
          <w:snapToGrid w:val="0"/>
          <w:kern w:val="0"/>
          <w:sz w:val="28"/>
          <w:szCs w:val="28"/>
        </w:rPr>
        <w:t xml:space="preserve">，离休人员 </w:t>
      </w:r>
      <w:r>
        <w:rPr>
          <w:rFonts w:hint="eastAsia"/>
          <w:snapToGrid w:val="0"/>
          <w:kern w:val="0"/>
          <w:sz w:val="28"/>
          <w:szCs w:val="28"/>
        </w:rPr>
        <w:t>0</w:t>
      </w:r>
      <w:r>
        <w:rPr>
          <w:snapToGrid w:val="0"/>
          <w:kern w:val="0"/>
          <w:sz w:val="28"/>
          <w:szCs w:val="28"/>
        </w:rPr>
        <w:t xml:space="preserve"> </w:t>
      </w:r>
      <w:r>
        <w:rPr>
          <w:rFonts w:hint="eastAsia"/>
          <w:snapToGrid w:val="0"/>
          <w:kern w:val="0"/>
          <w:sz w:val="28"/>
          <w:szCs w:val="28"/>
        </w:rPr>
        <w:t>人</w:t>
      </w:r>
      <w:r>
        <w:rPr>
          <w:snapToGrid w:val="0"/>
          <w:kern w:val="0"/>
          <w:sz w:val="28"/>
          <w:szCs w:val="28"/>
        </w:rPr>
        <w:t>，退休人员</w:t>
      </w:r>
      <w:r>
        <w:rPr>
          <w:rFonts w:hint="eastAsia"/>
          <w:snapToGrid w:val="0"/>
          <w:kern w:val="0"/>
          <w:sz w:val="28"/>
          <w:szCs w:val="28"/>
        </w:rPr>
        <w:t>13人</w:t>
      </w:r>
      <w:r>
        <w:rPr>
          <w:snapToGrid w:val="0"/>
          <w:kern w:val="0"/>
          <w:sz w:val="28"/>
          <w:szCs w:val="28"/>
        </w:rPr>
        <w:t>。</w:t>
      </w:r>
    </w:p>
    <w:p w14:paraId="3E186517">
      <w:pPr>
        <w:ind w:firstLine="560" w:firstLineChars="200"/>
        <w:rPr>
          <w:snapToGrid w:val="0"/>
          <w:kern w:val="0"/>
          <w:sz w:val="28"/>
          <w:szCs w:val="28"/>
        </w:rPr>
      </w:pPr>
      <w:r>
        <w:rPr>
          <w:rFonts w:hint="eastAsia"/>
          <w:snapToGrid w:val="0"/>
          <w:kern w:val="0"/>
          <w:sz w:val="28"/>
          <w:szCs w:val="28"/>
        </w:rPr>
        <w:t>根据上述职责，交通局设10个内设机构：办公室、人事股、财务股、宣法股、地方道路管理股、交通案件处理室、路政执法二大队、道路运输管理站、出租管理站、道桥管理中心。下属事业单位2个：道路运输管理站和道桥管理中心。</w:t>
      </w:r>
    </w:p>
    <w:p w14:paraId="066CCA31">
      <w:pPr>
        <w:adjustRightInd w:val="0"/>
        <w:snapToGrid w:val="0"/>
        <w:spacing w:line="600" w:lineRule="exact"/>
        <w:ind w:firstLine="560" w:firstLineChars="200"/>
        <w:rPr>
          <w:snapToGrid w:val="0"/>
          <w:kern w:val="0"/>
          <w:sz w:val="28"/>
          <w:szCs w:val="28"/>
        </w:rPr>
      </w:pPr>
    </w:p>
    <w:p w14:paraId="468719C5">
      <w:pPr>
        <w:jc w:val="center"/>
        <w:rPr>
          <w:b/>
          <w:sz w:val="44"/>
          <w:szCs w:val="44"/>
        </w:rPr>
      </w:pPr>
      <w:r>
        <w:rPr>
          <w:rFonts w:hint="eastAsia"/>
          <w:b/>
          <w:sz w:val="44"/>
          <w:szCs w:val="44"/>
        </w:rPr>
        <w:t>第二部分 保定市徐水区交通运输局</w:t>
      </w:r>
    </w:p>
    <w:p w14:paraId="564CE200">
      <w:pPr>
        <w:jc w:val="center"/>
        <w:rPr>
          <w:b/>
          <w:sz w:val="44"/>
          <w:szCs w:val="44"/>
        </w:rPr>
      </w:pPr>
      <w:r>
        <w:rPr>
          <w:rFonts w:hint="eastAsia"/>
          <w:b/>
          <w:sz w:val="44"/>
          <w:szCs w:val="44"/>
        </w:rPr>
        <w:t xml:space="preserve">        部门2016年</w:t>
      </w:r>
      <w:r>
        <w:rPr>
          <w:b/>
          <w:sz w:val="44"/>
          <w:szCs w:val="44"/>
        </w:rPr>
        <w:t>部门决算</w:t>
      </w:r>
    </w:p>
    <w:p w14:paraId="599623C4">
      <w:pPr>
        <w:jc w:val="center"/>
        <w:rPr>
          <w:b/>
          <w:sz w:val="44"/>
          <w:szCs w:val="44"/>
        </w:rPr>
      </w:pPr>
      <w:r>
        <w:rPr>
          <w:rFonts w:hint="eastAsia"/>
          <w:b/>
          <w:sz w:val="44"/>
          <w:szCs w:val="44"/>
        </w:rPr>
        <w:t xml:space="preserve">       </w:t>
      </w:r>
      <w:r>
        <w:rPr>
          <w:b/>
          <w:sz w:val="44"/>
          <w:szCs w:val="44"/>
        </w:rPr>
        <w:t>情况说明</w:t>
      </w:r>
    </w:p>
    <w:p w14:paraId="7F169932">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14:paraId="1993BF77">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本部门2016年本</w:t>
      </w:r>
      <w:r>
        <w:rPr>
          <w:snapToGrid w:val="0"/>
          <w:kern w:val="0"/>
          <w:sz w:val="28"/>
          <w:szCs w:val="28"/>
        </w:rPr>
        <w:t>年收入总计</w:t>
      </w:r>
      <w:r>
        <w:rPr>
          <w:rFonts w:hint="eastAsia"/>
          <w:snapToGrid w:val="0"/>
          <w:kern w:val="0"/>
          <w:sz w:val="28"/>
          <w:szCs w:val="28"/>
        </w:rPr>
        <w:t>10843.22万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 xml:space="preserve">32.25 </w:t>
      </w:r>
      <w:r>
        <w:rPr>
          <w:snapToGrid w:val="0"/>
          <w:kern w:val="0"/>
          <w:sz w:val="28"/>
          <w:szCs w:val="28"/>
        </w:rPr>
        <w:t>%，增</w:t>
      </w:r>
      <w:r>
        <w:rPr>
          <w:rFonts w:hint="eastAsia"/>
          <w:snapToGrid w:val="0"/>
          <w:kern w:val="0"/>
          <w:sz w:val="28"/>
          <w:szCs w:val="28"/>
        </w:rPr>
        <w:t>收2644.42万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本年收入_原因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工资普调及津补贴调标，人员经费增加及新增工程项目</w:t>
      </w:r>
      <w:r>
        <w:rPr>
          <w:snapToGrid w:val="0"/>
          <w:kern w:val="0"/>
          <w:sz w:val="28"/>
          <w:szCs w:val="28"/>
        </w:rPr>
        <w:fldChar w:fldCharType="end"/>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13650.45万</w:t>
      </w:r>
      <w:r>
        <w:rPr>
          <w:snapToGrid w:val="0"/>
          <w:kern w:val="0"/>
          <w:sz w:val="28"/>
          <w:szCs w:val="28"/>
        </w:rPr>
        <w:t>元，较上年</w:t>
      </w:r>
      <w:r>
        <w:rPr>
          <w:rFonts w:hint="eastAsia"/>
          <w:snapToGrid w:val="0"/>
          <w:kern w:val="0"/>
          <w:sz w:val="28"/>
          <w:szCs w:val="28"/>
        </w:rPr>
        <w:t>减少8.76</w:t>
      </w:r>
      <w:r>
        <w:rPr>
          <w:snapToGrid w:val="0"/>
          <w:kern w:val="0"/>
          <w:sz w:val="28"/>
          <w:szCs w:val="28"/>
        </w:rPr>
        <w:t>%，</w:t>
      </w:r>
      <w:r>
        <w:rPr>
          <w:rFonts w:hint="eastAsia"/>
          <w:snapToGrid w:val="0"/>
          <w:kern w:val="0"/>
          <w:sz w:val="28"/>
          <w:szCs w:val="28"/>
        </w:rPr>
        <w:t>减少1310.65万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项目减少及部分工程当年未竣工或手续不全，未进行拨款</w:t>
      </w:r>
      <w:r>
        <w:rPr>
          <w:snapToGrid w:val="0"/>
          <w:kern w:val="0"/>
          <w:sz w:val="28"/>
          <w:szCs w:val="28"/>
        </w:rPr>
        <w:fldChar w:fldCharType="end"/>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201.39万</w:t>
      </w:r>
      <w:r>
        <w:rPr>
          <w:snapToGrid w:val="0"/>
          <w:kern w:val="0"/>
          <w:sz w:val="28"/>
          <w:szCs w:val="28"/>
        </w:rPr>
        <w:t>元。</w:t>
      </w:r>
    </w:p>
    <w:p w14:paraId="67A61C58">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14:paraId="5101F7A0">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收</w:t>
      </w:r>
      <w:r>
        <w:rPr>
          <w:snapToGrid w:val="0"/>
          <w:kern w:val="0"/>
          <w:sz w:val="28"/>
          <w:szCs w:val="28"/>
        </w:rPr>
        <w:t>入总计10843.22</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10833.72万元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45.40</w:t>
      </w:r>
      <w:r>
        <w:rPr>
          <w:snapToGrid w:val="0"/>
          <w:kern w:val="0"/>
          <w:sz w:val="28"/>
          <w:szCs w:val="28"/>
        </w:rPr>
        <w:t>%，增收</w:t>
      </w:r>
      <w:r>
        <w:rPr>
          <w:rFonts w:hint="eastAsia"/>
          <w:snapToGrid w:val="0"/>
          <w:kern w:val="0"/>
          <w:sz w:val="28"/>
          <w:szCs w:val="28"/>
        </w:rPr>
        <w:t>3382.73万元，</w:t>
      </w:r>
      <w:r>
        <w:rPr>
          <w:snapToGrid w:val="0"/>
          <w:kern w:val="0"/>
          <w:sz w:val="28"/>
          <w:szCs w:val="28"/>
        </w:rPr>
        <w:t>主要原因</w:t>
      </w:r>
      <w:r>
        <w:rPr>
          <w:rFonts w:hint="eastAsia"/>
          <w:snapToGrid w:val="0"/>
          <w:kern w:val="0"/>
          <w:sz w:val="28"/>
          <w:szCs w:val="28"/>
        </w:rPr>
        <w:t>是工资普调及津补贴调标、人员经费增加及新增工程项目；上</w:t>
      </w:r>
      <w:r>
        <w:rPr>
          <w:snapToGrid w:val="0"/>
          <w:kern w:val="0"/>
          <w:sz w:val="28"/>
          <w:szCs w:val="28"/>
        </w:rPr>
        <w:t>级补助收入</w:t>
      </w:r>
      <w:r>
        <w:rPr>
          <w:rFonts w:hint="eastAsia"/>
          <w:snapToGrid w:val="0"/>
          <w:kern w:val="0"/>
          <w:sz w:val="28"/>
          <w:szCs w:val="28"/>
        </w:rPr>
        <w:t>4.16万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减少99.26</w:t>
      </w:r>
      <w:r>
        <w:rPr>
          <w:snapToGrid w:val="0"/>
          <w:kern w:val="0"/>
          <w:sz w:val="28"/>
          <w:szCs w:val="28"/>
        </w:rPr>
        <w:t>%，</w:t>
      </w:r>
      <w:r>
        <w:rPr>
          <w:rFonts w:hint="eastAsia"/>
          <w:snapToGrid w:val="0"/>
          <w:kern w:val="0"/>
          <w:sz w:val="28"/>
          <w:szCs w:val="28"/>
        </w:rPr>
        <w:t>减少</w:t>
      </w:r>
      <w:r>
        <w:rPr>
          <w:snapToGrid w:val="0"/>
          <w:kern w:val="0"/>
          <w:sz w:val="28"/>
          <w:szCs w:val="28"/>
        </w:rPr>
        <w:t>561.26</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是市级拨款项目和补助经费减少； 事业</w:t>
      </w:r>
      <w:r>
        <w:rPr>
          <w:snapToGrid w:val="0"/>
          <w:kern w:val="0"/>
          <w:sz w:val="28"/>
          <w:szCs w:val="28"/>
        </w:rPr>
        <w:t>收入</w:t>
      </w:r>
      <w:r>
        <w:rPr>
          <w:rFonts w:hint="eastAsia"/>
          <w:snapToGrid w:val="0"/>
          <w:kern w:val="0"/>
          <w:sz w:val="28"/>
          <w:szCs w:val="28"/>
        </w:rPr>
        <w:t>0万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 xml:space="preserve">0 </w:t>
      </w:r>
      <w:r>
        <w:rPr>
          <w:snapToGrid w:val="0"/>
          <w:kern w:val="0"/>
          <w:sz w:val="28"/>
          <w:szCs w:val="28"/>
        </w:rPr>
        <w:t>%，增收</w:t>
      </w:r>
      <w:r>
        <w:rPr>
          <w:rFonts w:hint="eastAsia"/>
          <w:snapToGrid w:val="0"/>
          <w:kern w:val="0"/>
          <w:sz w:val="28"/>
          <w:szCs w:val="28"/>
        </w:rPr>
        <w:t>0万元；</w:t>
      </w:r>
      <w:r>
        <w:rPr>
          <w:snapToGrid w:val="0"/>
          <w:kern w:val="0"/>
          <w:sz w:val="28"/>
          <w:szCs w:val="28"/>
        </w:rPr>
        <w:t>其他收入</w:t>
      </w:r>
      <w:r>
        <w:rPr>
          <w:rFonts w:hint="eastAsia"/>
          <w:snapToGrid w:val="0"/>
          <w:kern w:val="0"/>
          <w:sz w:val="28"/>
          <w:szCs w:val="28"/>
        </w:rPr>
        <w:t>5.34万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减少97.07</w:t>
      </w:r>
      <w:r>
        <w:rPr>
          <w:snapToGrid w:val="0"/>
          <w:kern w:val="0"/>
          <w:sz w:val="28"/>
          <w:szCs w:val="28"/>
        </w:rPr>
        <w:t>%，</w:t>
      </w:r>
      <w:r>
        <w:rPr>
          <w:rFonts w:hint="eastAsia"/>
          <w:snapToGrid w:val="0"/>
          <w:kern w:val="0"/>
          <w:sz w:val="28"/>
          <w:szCs w:val="28"/>
        </w:rPr>
        <w:t>减少</w:t>
      </w:r>
      <w:r>
        <w:rPr>
          <w:snapToGrid w:val="0"/>
          <w:kern w:val="0"/>
          <w:sz w:val="28"/>
          <w:szCs w:val="28"/>
        </w:rPr>
        <w:t>177.06</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非财政补助工程项目减少。</w:t>
      </w:r>
    </w:p>
    <w:p w14:paraId="5ABD4E50">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14:paraId="44E6BFD6">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度支出总计</w:t>
      </w:r>
      <w:r>
        <w:rPr>
          <w:rFonts w:hint="eastAsia"/>
          <w:snapToGrid w:val="0"/>
          <w:kern w:val="0"/>
          <w:sz w:val="28"/>
          <w:szCs w:val="28"/>
        </w:rPr>
        <w:t>13650.45万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 xml:space="preserve">1542.96 </w:t>
      </w:r>
      <w:r>
        <w:rPr>
          <w:snapToGrid w:val="0"/>
          <w:kern w:val="0"/>
          <w:sz w:val="28"/>
          <w:szCs w:val="28"/>
        </w:rPr>
        <w:t xml:space="preserve">   </w:t>
      </w:r>
      <w:r>
        <w:rPr>
          <w:rFonts w:hint="eastAsia"/>
          <w:snapToGrid w:val="0"/>
          <w:kern w:val="0"/>
          <w:sz w:val="28"/>
          <w:szCs w:val="28"/>
        </w:rPr>
        <w:t xml:space="preserve"> 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 xml:space="preserve">11.30 </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12107.49万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 xml:space="preserve">88.70 </w:t>
      </w:r>
      <w:r>
        <w:rPr>
          <w:snapToGrid w:val="0"/>
          <w:kern w:val="0"/>
          <w:sz w:val="28"/>
          <w:szCs w:val="28"/>
        </w:rPr>
        <w:t>%</w:t>
      </w:r>
      <w:r>
        <w:rPr>
          <w:rFonts w:hint="eastAsia"/>
          <w:snapToGrid w:val="0"/>
          <w:kern w:val="0"/>
          <w:sz w:val="28"/>
          <w:szCs w:val="28"/>
        </w:rPr>
        <w:t>。</w:t>
      </w:r>
    </w:p>
    <w:p w14:paraId="207EB323">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14:paraId="47F809F7">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10833.72万</w:t>
      </w:r>
      <w:r>
        <w:rPr>
          <w:snapToGrid w:val="0"/>
          <w:kern w:val="0"/>
          <w:sz w:val="28"/>
          <w:szCs w:val="28"/>
        </w:rPr>
        <w:t>元，较上年增长</w:t>
      </w:r>
      <w:r>
        <w:rPr>
          <w:rFonts w:hint="eastAsia"/>
          <w:snapToGrid w:val="0"/>
          <w:kern w:val="0"/>
          <w:sz w:val="28"/>
          <w:szCs w:val="28"/>
        </w:rPr>
        <w:t>45.40</w:t>
      </w:r>
      <w:r>
        <w:rPr>
          <w:snapToGrid w:val="0"/>
          <w:kern w:val="0"/>
          <w:sz w:val="28"/>
          <w:szCs w:val="28"/>
        </w:rPr>
        <w:t>%，增收</w:t>
      </w:r>
      <w:r>
        <w:rPr>
          <w:rFonts w:hint="eastAsia"/>
          <w:snapToGrid w:val="0"/>
          <w:kern w:val="0"/>
          <w:sz w:val="28"/>
          <w:szCs w:val="28"/>
        </w:rPr>
        <w:t>3382.73万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12885.75万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减少10.10</w:t>
      </w:r>
      <w:r>
        <w:rPr>
          <w:snapToGrid w:val="0"/>
          <w:kern w:val="0"/>
          <w:sz w:val="28"/>
          <w:szCs w:val="28"/>
        </w:rPr>
        <w:t xml:space="preserve"> %，</w:t>
      </w:r>
      <w:r>
        <w:rPr>
          <w:rFonts w:hint="eastAsia"/>
          <w:snapToGrid w:val="0"/>
          <w:kern w:val="0"/>
          <w:sz w:val="28"/>
          <w:szCs w:val="28"/>
        </w:rPr>
        <w:t>减少1447.01万</w:t>
      </w:r>
      <w:r>
        <w:rPr>
          <w:snapToGrid w:val="0"/>
          <w:kern w:val="0"/>
          <w:sz w:val="28"/>
          <w:szCs w:val="28"/>
        </w:rPr>
        <w:t>元，</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201.39  万</w:t>
      </w:r>
      <w:r>
        <w:rPr>
          <w:snapToGrid w:val="0"/>
          <w:kern w:val="0"/>
          <w:sz w:val="28"/>
          <w:szCs w:val="28"/>
        </w:rPr>
        <w:t>元。</w:t>
      </w:r>
    </w:p>
    <w:p w14:paraId="13992F43">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本年支出合计_支出年初预算数小计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1489.14</w:t>
      </w:r>
      <w:r>
        <w:rPr>
          <w:snapToGrid w:val="0"/>
          <w:kern w:val="0"/>
          <w:sz w:val="28"/>
          <w:szCs w:val="28"/>
        </w:rPr>
        <w:fldChar w:fldCharType="end"/>
      </w:r>
      <w:r>
        <w:rPr>
          <w:rFonts w:hint="eastAsia"/>
          <w:snapToGrid w:val="0"/>
          <w:kern w:val="0"/>
          <w:sz w:val="28"/>
          <w:szCs w:val="28"/>
        </w:rPr>
        <w:t>万元，本年</w:t>
      </w:r>
      <w:r>
        <w:rPr>
          <w:snapToGrid w:val="0"/>
          <w:kern w:val="0"/>
          <w:sz w:val="28"/>
          <w:szCs w:val="28"/>
        </w:rPr>
        <w:t>支出决算数为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本年支出合计_支出决算数小计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12885.75</w:t>
      </w:r>
      <w:r>
        <w:rPr>
          <w:snapToGrid w:val="0"/>
          <w:kern w:val="0"/>
          <w:sz w:val="28"/>
          <w:szCs w:val="28"/>
        </w:rPr>
        <w:fldChar w:fldCharType="end"/>
      </w:r>
      <w:r>
        <w:rPr>
          <w:rFonts w:hint="eastAsia"/>
          <w:snapToGrid w:val="0"/>
          <w:kern w:val="0"/>
          <w:sz w:val="28"/>
          <w:szCs w:val="28"/>
        </w:rPr>
        <w:t>万元，占</w:t>
      </w:r>
      <w:r>
        <w:rPr>
          <w:snapToGrid w:val="0"/>
          <w:kern w:val="0"/>
          <w:sz w:val="28"/>
          <w:szCs w:val="28"/>
        </w:rPr>
        <w:t>年初预算数的</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决算占预算</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865.31</w:t>
      </w:r>
      <w:r>
        <w:rPr>
          <w:snapToGrid w:val="0"/>
          <w:kern w:val="0"/>
          <w:sz w:val="28"/>
          <w:szCs w:val="28"/>
        </w:rPr>
        <w:fldChar w:fldCharType="end"/>
      </w:r>
      <w:r>
        <w:rPr>
          <w:snapToGrid w:val="0"/>
          <w:kern w:val="0"/>
          <w:sz w:val="28"/>
          <w:szCs w:val="28"/>
        </w:rPr>
        <w:t>%</w:t>
      </w:r>
      <w:r>
        <w:rPr>
          <w:rFonts w:hint="eastAsia"/>
          <w:snapToGrid w:val="0"/>
          <w:kern w:val="0"/>
          <w:sz w:val="28"/>
          <w:szCs w:val="28"/>
        </w:rPr>
        <w:t>，主要</w:t>
      </w:r>
      <w:r>
        <w:rPr>
          <w:snapToGrid w:val="0"/>
          <w:kern w:val="0"/>
          <w:sz w:val="28"/>
          <w:szCs w:val="28"/>
        </w:rPr>
        <w:t>原因：2016</w:t>
      </w:r>
      <w:r>
        <w:rPr>
          <w:rFonts w:hint="eastAsia"/>
          <w:snapToGrid w:val="0"/>
          <w:kern w:val="0"/>
          <w:sz w:val="28"/>
          <w:szCs w:val="28"/>
        </w:rPr>
        <w:t>年</w:t>
      </w:r>
      <w:r>
        <w:rPr>
          <w:snapToGrid w:val="0"/>
          <w:kern w:val="0"/>
          <w:sz w:val="28"/>
          <w:szCs w:val="28"/>
        </w:rPr>
        <w:t>期间有追加项目预算</w:t>
      </w:r>
      <w:r>
        <w:rPr>
          <w:rFonts w:hint="eastAsia"/>
          <w:snapToGrid w:val="0"/>
          <w:kern w:val="0"/>
          <w:sz w:val="28"/>
          <w:szCs w:val="28"/>
        </w:rPr>
        <w:t>。</w:t>
      </w:r>
    </w:p>
    <w:p w14:paraId="39C88806">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14:paraId="790DB282">
      <w:pPr>
        <w:adjustRightInd w:val="0"/>
        <w:snapToGrid w:val="0"/>
        <w:spacing w:line="560" w:lineRule="exact"/>
        <w:ind w:firstLine="560" w:firstLineChars="200"/>
        <w:rPr>
          <w:snapToGrid w:val="0"/>
          <w:kern w:val="0"/>
          <w:sz w:val="28"/>
          <w:szCs w:val="28"/>
        </w:rPr>
      </w:pPr>
      <w:r>
        <w:rPr>
          <w:rFonts w:hint="eastAsia"/>
          <w:snapToGrid w:val="0"/>
          <w:kern w:val="0"/>
          <w:sz w:val="28"/>
          <w:szCs w:val="28"/>
        </w:rPr>
        <w:t>2016年，在做好各项工作的前提下，节省各项开支，尤其严格控制"三公"经费的支出，全年一般公共预算财政拨款"三公"经费支出合计</w:t>
      </w:r>
      <w:r>
        <w:rPr>
          <w:snapToGrid w:val="0"/>
          <w:kern w:val="0"/>
          <w:sz w:val="28"/>
          <w:szCs w:val="28"/>
        </w:rPr>
        <w:t>25.27</w:t>
      </w:r>
      <w:r>
        <w:rPr>
          <w:rFonts w:hint="eastAsia"/>
          <w:snapToGrid w:val="0"/>
          <w:kern w:val="0"/>
          <w:sz w:val="28"/>
          <w:szCs w:val="28"/>
        </w:rPr>
        <w:t>万元，较2015年减少</w:t>
      </w:r>
      <w:r>
        <w:rPr>
          <w:snapToGrid w:val="0"/>
          <w:kern w:val="0"/>
          <w:sz w:val="28"/>
          <w:szCs w:val="28"/>
        </w:rPr>
        <w:t>1.36</w:t>
      </w:r>
      <w:r>
        <w:rPr>
          <w:rFonts w:hint="eastAsia"/>
          <w:snapToGrid w:val="0"/>
          <w:kern w:val="0"/>
          <w:sz w:val="28"/>
          <w:szCs w:val="28"/>
        </w:rPr>
        <w:t>万元，减少</w:t>
      </w:r>
      <w:r>
        <w:rPr>
          <w:snapToGrid w:val="0"/>
          <w:kern w:val="0"/>
          <w:sz w:val="28"/>
          <w:szCs w:val="28"/>
        </w:rPr>
        <w:t>5.12</w:t>
      </w:r>
      <w:r>
        <w:rPr>
          <w:rFonts w:hint="eastAsia"/>
          <w:snapToGrid w:val="0"/>
          <w:kern w:val="0"/>
          <w:sz w:val="28"/>
          <w:szCs w:val="28"/>
        </w:rPr>
        <w:t>%。</w:t>
      </w:r>
    </w:p>
    <w:p w14:paraId="34341FD8">
      <w:pPr>
        <w:adjustRightInd w:val="0"/>
        <w:snapToGrid w:val="0"/>
        <w:spacing w:line="560" w:lineRule="exact"/>
        <w:ind w:firstLine="560" w:firstLineChars="200"/>
        <w:rPr>
          <w:rFonts w:ascii="仿宋_GB2312" w:hAnsi="仿宋" w:eastAsia="仿宋_GB2312" w:cs="仿宋"/>
          <w:color w:val="000000"/>
          <w:sz w:val="32"/>
          <w:szCs w:val="32"/>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2016年因公出国（境）费本年支出0万元</w:t>
      </w:r>
      <w:r>
        <w:rPr>
          <w:snapToGrid w:val="0"/>
          <w:kern w:val="0"/>
          <w:sz w:val="28"/>
          <w:szCs w:val="28"/>
        </w:rPr>
        <w:t>，</w:t>
      </w:r>
      <w:r>
        <w:rPr>
          <w:rFonts w:hint="eastAsia"/>
          <w:snapToGrid w:val="0"/>
          <w:kern w:val="0"/>
          <w:sz w:val="28"/>
          <w:szCs w:val="28"/>
        </w:rPr>
        <w:t>较预算压减0万元，增加0%，较2015年增加0万元，增加0 %。主</w:t>
      </w:r>
      <w:r>
        <w:rPr>
          <w:snapToGrid w:val="0"/>
          <w:kern w:val="0"/>
          <w:sz w:val="28"/>
          <w:szCs w:val="28"/>
        </w:rPr>
        <w:t>要原因：无</w:t>
      </w:r>
      <w:r>
        <w:rPr>
          <w:rFonts w:hint="eastAsia"/>
          <w:snapToGrid w:val="0"/>
          <w:kern w:val="0"/>
          <w:sz w:val="28"/>
          <w:szCs w:val="28"/>
        </w:rPr>
        <w:t>出</w:t>
      </w:r>
      <w:r>
        <w:rPr>
          <w:snapToGrid w:val="0"/>
          <w:kern w:val="0"/>
          <w:sz w:val="28"/>
          <w:szCs w:val="28"/>
        </w:rPr>
        <w:t>国出境安排。</w:t>
      </w:r>
      <w:r>
        <w:rPr>
          <w:rFonts w:hint="eastAsia"/>
          <w:snapToGrid w:val="0"/>
          <w:kern w:val="0"/>
          <w:sz w:val="28"/>
          <w:szCs w:val="28"/>
        </w:rPr>
        <w:t>因公出国（境）团组0</w:t>
      </w:r>
      <w:r>
        <w:rPr>
          <w:rFonts w:ascii="仿宋_GB2312" w:hAnsi="仿宋" w:eastAsia="仿宋_GB2312" w:cs="仿宋"/>
          <w:color w:val="000000"/>
          <w:sz w:val="32"/>
          <w:szCs w:val="32"/>
        </w:rPr>
        <w:t xml:space="preserve"> </w:t>
      </w:r>
      <w:r>
        <w:rPr>
          <w:rFonts w:hint="eastAsia"/>
          <w:snapToGrid w:val="0"/>
          <w:kern w:val="0"/>
          <w:sz w:val="28"/>
          <w:szCs w:val="28"/>
        </w:rPr>
        <w:t>个，因公出国（境）人次数</w:t>
      </w:r>
      <w:r>
        <w:rPr>
          <w:snapToGrid w:val="0"/>
          <w:kern w:val="0"/>
          <w:sz w:val="28"/>
          <w:szCs w:val="28"/>
        </w:rPr>
        <w:t xml:space="preserve"> </w:t>
      </w:r>
      <w:r>
        <w:rPr>
          <w:rFonts w:hint="eastAsia"/>
          <w:snapToGrid w:val="0"/>
          <w:kern w:val="0"/>
          <w:sz w:val="28"/>
          <w:szCs w:val="28"/>
        </w:rPr>
        <w:t>0人。</w:t>
      </w:r>
    </w:p>
    <w:p w14:paraId="2323A0BC">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24.40    万元。（2016年度未购置公务用车，年末公务用车保有量</w:t>
      </w:r>
      <w:r>
        <w:rPr>
          <w:snapToGrid w:val="0"/>
          <w:kern w:val="0"/>
          <w:sz w:val="28"/>
          <w:szCs w:val="28"/>
        </w:rPr>
        <w:t>17</w:t>
      </w:r>
      <w:r>
        <w:rPr>
          <w:rFonts w:hint="eastAsia"/>
          <w:snapToGrid w:val="0"/>
          <w:kern w:val="0"/>
          <w:sz w:val="28"/>
          <w:szCs w:val="28"/>
        </w:rPr>
        <w:t>辆。）</w:t>
      </w:r>
    </w:p>
    <w:p w14:paraId="0CF2D0BF">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公务用车购置费本年支出0万元；较预算压减0万元，减少0%；较2015年增加0万元，增加0%。主要原因：无公务用车购置。</w:t>
      </w:r>
    </w:p>
    <w:p w14:paraId="2400527B">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公务用车运行维护费本年支出24.40万</w:t>
      </w:r>
      <w:r>
        <w:rPr>
          <w:snapToGrid w:val="0"/>
          <w:kern w:val="0"/>
          <w:sz w:val="28"/>
          <w:szCs w:val="28"/>
        </w:rPr>
        <w:t>元</w:t>
      </w:r>
      <w:r>
        <w:rPr>
          <w:rFonts w:hint="eastAsia"/>
          <w:snapToGrid w:val="0"/>
          <w:kern w:val="0"/>
          <w:sz w:val="28"/>
          <w:szCs w:val="28"/>
        </w:rPr>
        <w:t>；较预算压减2</w:t>
      </w:r>
      <w:r>
        <w:rPr>
          <w:snapToGrid w:val="0"/>
          <w:kern w:val="0"/>
          <w:sz w:val="28"/>
          <w:szCs w:val="28"/>
        </w:rPr>
        <w:t>.6</w:t>
      </w:r>
      <w:r>
        <w:rPr>
          <w:rFonts w:hint="eastAsia"/>
          <w:snapToGrid w:val="0"/>
          <w:kern w:val="0"/>
          <w:sz w:val="28"/>
          <w:szCs w:val="28"/>
        </w:rPr>
        <w:t xml:space="preserve"> 万元，减少9</w:t>
      </w:r>
      <w:r>
        <w:rPr>
          <w:snapToGrid w:val="0"/>
          <w:kern w:val="0"/>
          <w:sz w:val="28"/>
          <w:szCs w:val="28"/>
        </w:rPr>
        <w:t>.63</w:t>
      </w:r>
      <w:r>
        <w:rPr>
          <w:rFonts w:hint="eastAsia"/>
          <w:snapToGrid w:val="0"/>
          <w:kern w:val="0"/>
          <w:sz w:val="28"/>
          <w:szCs w:val="28"/>
        </w:rPr>
        <w:t>%；较2015年增加0.</w:t>
      </w:r>
      <w:r>
        <w:rPr>
          <w:snapToGrid w:val="0"/>
          <w:kern w:val="0"/>
          <w:sz w:val="28"/>
          <w:szCs w:val="28"/>
        </w:rPr>
        <w:t>1</w:t>
      </w:r>
      <w:r>
        <w:rPr>
          <w:rFonts w:hint="eastAsia"/>
          <w:snapToGrid w:val="0"/>
          <w:kern w:val="0"/>
          <w:sz w:val="28"/>
          <w:szCs w:val="28"/>
        </w:rPr>
        <w:t>3万元，增加0</w:t>
      </w:r>
      <w:r>
        <w:rPr>
          <w:snapToGrid w:val="0"/>
          <w:kern w:val="0"/>
          <w:sz w:val="28"/>
          <w:szCs w:val="28"/>
        </w:rPr>
        <w:t>.53</w:t>
      </w:r>
      <w:r>
        <w:rPr>
          <w:rFonts w:hint="eastAsia"/>
          <w:snapToGrid w:val="0"/>
          <w:kern w:val="0"/>
          <w:sz w:val="28"/>
          <w:szCs w:val="28"/>
        </w:rPr>
        <w:t>%。主要原因是车辆使用年限增加导致维护费用上涨。</w:t>
      </w:r>
    </w:p>
    <w:p w14:paraId="7991E1CC">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2016年公务接待费全年支出0.87万元，较</w:t>
      </w:r>
      <w:r>
        <w:rPr>
          <w:snapToGrid w:val="0"/>
          <w:kern w:val="0"/>
          <w:sz w:val="28"/>
          <w:szCs w:val="28"/>
        </w:rPr>
        <w:t>预算</w:t>
      </w:r>
      <w:r>
        <w:rPr>
          <w:rFonts w:hint="eastAsia"/>
          <w:snapToGrid w:val="0"/>
          <w:kern w:val="0"/>
          <w:sz w:val="28"/>
          <w:szCs w:val="28"/>
        </w:rPr>
        <w:t>压减9</w:t>
      </w:r>
      <w:r>
        <w:rPr>
          <w:snapToGrid w:val="0"/>
          <w:kern w:val="0"/>
          <w:sz w:val="28"/>
          <w:szCs w:val="28"/>
        </w:rPr>
        <w:t>.13</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9</w:t>
      </w:r>
      <w:r>
        <w:rPr>
          <w:snapToGrid w:val="0"/>
          <w:kern w:val="0"/>
          <w:sz w:val="28"/>
          <w:szCs w:val="28"/>
        </w:rPr>
        <w:t>1.3%；</w:t>
      </w:r>
      <w:r>
        <w:rPr>
          <w:rFonts w:hint="eastAsia"/>
          <w:snapToGrid w:val="0"/>
          <w:kern w:val="0"/>
          <w:sz w:val="28"/>
          <w:szCs w:val="28"/>
        </w:rPr>
        <w:t>较2015年减少1.49万元，减少6</w:t>
      </w:r>
      <w:r>
        <w:rPr>
          <w:snapToGrid w:val="0"/>
          <w:kern w:val="0"/>
          <w:sz w:val="28"/>
          <w:szCs w:val="28"/>
        </w:rPr>
        <w:t>.15</w:t>
      </w:r>
      <w:r>
        <w:rPr>
          <w:rFonts w:hint="eastAsia"/>
          <w:snapToGrid w:val="0"/>
          <w:kern w:val="0"/>
          <w:sz w:val="28"/>
          <w:szCs w:val="28"/>
        </w:rPr>
        <w:t>%。主要原因是本单位严格控制招待业务厉行节约降低招待费用。</w:t>
      </w:r>
    </w:p>
    <w:p w14:paraId="3C48CEFB">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国内公务接待批次10个，国内公务接待人次82人；国外公务接待批次</w:t>
      </w:r>
      <w:r>
        <w:rPr>
          <w:snapToGrid w:val="0"/>
          <w:kern w:val="0"/>
          <w:sz w:val="28"/>
          <w:szCs w:val="28"/>
        </w:rPr>
        <w:t xml:space="preserve"> </w:t>
      </w:r>
      <w:r>
        <w:rPr>
          <w:rFonts w:hint="eastAsia"/>
          <w:snapToGrid w:val="0"/>
          <w:kern w:val="0"/>
          <w:sz w:val="28"/>
          <w:szCs w:val="28"/>
        </w:rPr>
        <w:t>0个，国外公务接待人次0人。</w:t>
      </w:r>
    </w:p>
    <w:p w14:paraId="04E56161">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14:paraId="0DC8DBCA">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w:t>
      </w:r>
      <w:r>
        <w:rPr>
          <w:snapToGrid w:val="0"/>
          <w:kern w:val="0"/>
          <w:sz w:val="28"/>
          <w:szCs w:val="28"/>
        </w:rPr>
        <w:t>的</w:t>
      </w:r>
      <w:r>
        <w:rPr>
          <w:rFonts w:hint="eastAsia"/>
          <w:snapToGrid w:val="0"/>
          <w:kern w:val="0"/>
          <w:sz w:val="28"/>
          <w:szCs w:val="28"/>
        </w:rPr>
        <w:t>保安购买服务项目</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7.2万元</w:t>
      </w:r>
      <w:r>
        <w:rPr>
          <w:snapToGrid w:val="0"/>
          <w:kern w:val="0"/>
          <w:sz w:val="28"/>
          <w:szCs w:val="28"/>
        </w:rPr>
        <w:t>，</w:t>
      </w:r>
      <w:r>
        <w:rPr>
          <w:rFonts w:hint="eastAsia"/>
          <w:snapToGrid w:val="0"/>
          <w:kern w:val="0"/>
          <w:sz w:val="28"/>
          <w:szCs w:val="28"/>
        </w:rPr>
        <w:t>截至年末</w:t>
      </w:r>
      <w:r>
        <w:rPr>
          <w:snapToGrid w:val="0"/>
          <w:kern w:val="0"/>
          <w:sz w:val="28"/>
          <w:szCs w:val="28"/>
        </w:rPr>
        <w:t>实际支出</w:t>
      </w:r>
      <w:r>
        <w:rPr>
          <w:rFonts w:hint="eastAsia"/>
          <w:snapToGrid w:val="0"/>
          <w:kern w:val="0"/>
          <w:sz w:val="28"/>
          <w:szCs w:val="28"/>
        </w:rPr>
        <w:t>7.2 万元</w:t>
      </w:r>
      <w:r>
        <w:rPr>
          <w:snapToGrid w:val="0"/>
          <w:kern w:val="0"/>
          <w:sz w:val="28"/>
          <w:szCs w:val="28"/>
        </w:rPr>
        <w:t>。取得了</w:t>
      </w:r>
      <w:r>
        <w:rPr>
          <w:rFonts w:hint="eastAsia"/>
          <w:snapToGrid w:val="0"/>
          <w:kern w:val="0"/>
          <w:sz w:val="28"/>
          <w:szCs w:val="28"/>
        </w:rPr>
        <w:t>办公环境的安全保障</w:t>
      </w:r>
      <w:r>
        <w:rPr>
          <w:snapToGrid w:val="0"/>
          <w:kern w:val="0"/>
          <w:sz w:val="28"/>
          <w:szCs w:val="28"/>
        </w:rPr>
        <w:t>成果</w:t>
      </w:r>
      <w:r>
        <w:rPr>
          <w:rFonts w:hint="eastAsia"/>
          <w:snapToGrid w:val="0"/>
          <w:kern w:val="0"/>
          <w:sz w:val="28"/>
          <w:szCs w:val="28"/>
        </w:rPr>
        <w:t>，</w:t>
      </w:r>
      <w:r>
        <w:rPr>
          <w:snapToGrid w:val="0"/>
          <w:kern w:val="0"/>
          <w:sz w:val="28"/>
          <w:szCs w:val="28"/>
        </w:rPr>
        <w:t>较好的</w:t>
      </w:r>
      <w:r>
        <w:rPr>
          <w:rFonts w:hint="eastAsia"/>
          <w:snapToGrid w:val="0"/>
          <w:kern w:val="0"/>
          <w:sz w:val="28"/>
          <w:szCs w:val="28"/>
        </w:rPr>
        <w:t>实现了</w:t>
      </w:r>
      <w:r>
        <w:rPr>
          <w:snapToGrid w:val="0"/>
          <w:kern w:val="0"/>
          <w:sz w:val="28"/>
          <w:szCs w:val="28"/>
        </w:rPr>
        <w:t>预算项目绩效</w:t>
      </w:r>
      <w:r>
        <w:rPr>
          <w:rFonts w:hint="eastAsia"/>
          <w:snapToGrid w:val="0"/>
          <w:kern w:val="0"/>
          <w:sz w:val="28"/>
          <w:szCs w:val="28"/>
        </w:rPr>
        <w:t>目标</w:t>
      </w:r>
      <w:r>
        <w:rPr>
          <w:snapToGrid w:val="0"/>
          <w:kern w:val="0"/>
          <w:sz w:val="28"/>
          <w:szCs w:val="28"/>
        </w:rPr>
        <w:t>。</w:t>
      </w:r>
    </w:p>
    <w:p w14:paraId="19CA3D16">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14:paraId="04B2508F">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14:paraId="3D29D2A8">
      <w:pPr>
        <w:pStyle w:val="6"/>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年本部门机关运行经费支出0万元，比201</w:t>
      </w:r>
      <w:r>
        <w:rPr>
          <w:snapToGrid w:val="0"/>
          <w:kern w:val="0"/>
          <w:sz w:val="28"/>
          <w:szCs w:val="28"/>
        </w:rPr>
        <w:t>5</w:t>
      </w:r>
      <w:r>
        <w:rPr>
          <w:rFonts w:hint="eastAsia"/>
          <w:snapToGrid w:val="0"/>
          <w:kern w:val="0"/>
          <w:sz w:val="28"/>
          <w:szCs w:val="28"/>
        </w:rPr>
        <w:t>年增加万元，增长0</w:t>
      </w:r>
      <w:r>
        <w:rPr>
          <w:snapToGrid w:val="0"/>
          <w:kern w:val="0"/>
          <w:sz w:val="28"/>
          <w:szCs w:val="28"/>
        </w:rPr>
        <w:t xml:space="preserve"> </w:t>
      </w:r>
      <w:r>
        <w:rPr>
          <w:rFonts w:hint="eastAsia"/>
          <w:snapToGrid w:val="0"/>
          <w:kern w:val="0"/>
          <w:sz w:val="28"/>
          <w:szCs w:val="28"/>
        </w:rPr>
        <w:t>%。主要原因是：我单位实行事业单位会计制度无机关运行经费支出。</w:t>
      </w:r>
    </w:p>
    <w:p w14:paraId="0472D4D2">
      <w:pPr>
        <w:pStyle w:val="6"/>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2016年度公用经费总支出 147.29元，其中办公费7.65 万元、印刷费 0.34 万元、水费 0.54万元、电费17.79万元、邮电费1.89 万元、取暖费 17.72万元、差旅费 6.03万元、维修（护）费 1.78  万元、会议费 0.03万元、培训费0.09万元、公务接待费0.87 万元、工会经费8.05万元、福利费 10.69万元、公务用车运行维护费 22.24   万元、其他交通费用4.13万元等。</w:t>
      </w:r>
    </w:p>
    <w:p w14:paraId="127FD9E9">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14:paraId="77CAF475">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2016年政府采购预算总额为1147.78万元，主要包括政府采购货物</w:t>
      </w:r>
      <w:r>
        <w:rPr>
          <w:snapToGrid w:val="0"/>
          <w:kern w:val="0"/>
          <w:sz w:val="28"/>
          <w:szCs w:val="28"/>
        </w:rPr>
        <w:t>0</w:t>
      </w:r>
      <w:r>
        <w:rPr>
          <w:rFonts w:hint="eastAsia"/>
          <w:snapToGrid w:val="0"/>
          <w:kern w:val="0"/>
          <w:sz w:val="28"/>
          <w:szCs w:val="28"/>
        </w:rPr>
        <w:t>万元，工程1131.78 万元及服务 16万元。</w:t>
      </w:r>
    </w:p>
    <w:p w14:paraId="3D16690E">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年本部门政府采购支出总额1144.32万元，其中：政府采购货物支出0万元、政府采购工程支出1129.02万元、政府采购服务支出15.30万元。</w:t>
      </w:r>
    </w:p>
    <w:p w14:paraId="1A634446">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14:paraId="65393D1D">
      <w:pPr>
        <w:pStyle w:val="6"/>
        <w:adjustRightInd w:val="0"/>
        <w:snapToGrid w:val="0"/>
        <w:spacing w:line="600" w:lineRule="exact"/>
        <w:ind w:firstLine="560"/>
        <w:rPr>
          <w:snapToGrid w:val="0"/>
          <w:kern w:val="0"/>
          <w:sz w:val="28"/>
          <w:szCs w:val="28"/>
        </w:rPr>
      </w:pPr>
      <w:r>
        <w:rPr>
          <w:rFonts w:hint="eastAsia"/>
          <w:snapToGrid w:val="0"/>
          <w:kern w:val="0"/>
          <w:sz w:val="28"/>
          <w:szCs w:val="28"/>
        </w:rPr>
        <w:t xml:space="preserve">我单位2016年末固定资产总额为2021.69万元，主要包括房屋 14878平方米价值1295.84 万元，车辆 17 辆价值 101.87万元，单价在50万元以上的设备0万元，及其他固定资产 623.98 万元。 </w:t>
      </w:r>
    </w:p>
    <w:p w14:paraId="261E0660">
      <w:pPr>
        <w:pStyle w:val="6"/>
        <w:adjustRightInd w:val="0"/>
        <w:snapToGrid w:val="0"/>
        <w:spacing w:line="600" w:lineRule="exact"/>
        <w:ind w:firstLine="560"/>
        <w:rPr>
          <w:snapToGrid w:val="0"/>
          <w:kern w:val="0"/>
          <w:sz w:val="28"/>
          <w:szCs w:val="28"/>
        </w:rPr>
      </w:pPr>
      <w:r>
        <w:rPr>
          <w:rFonts w:hint="eastAsia"/>
          <w:snapToGrid w:val="0"/>
          <w:kern w:val="0"/>
          <w:sz w:val="28"/>
          <w:szCs w:val="28"/>
        </w:rPr>
        <w:t>2016年资产变动情况：固定资产减少9.95 万元，包括房屋增加0 万元,车辆减少40.05 万元，，单价在50万元以上的设备增加0 万元，其他固定资产增加30.1万元。</w:t>
      </w:r>
    </w:p>
    <w:p w14:paraId="43040D9F">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情况：无</w:t>
      </w:r>
    </w:p>
    <w:p w14:paraId="7B1014E4">
      <w:pPr>
        <w:rPr>
          <w:b/>
          <w:sz w:val="44"/>
          <w:szCs w:val="44"/>
        </w:rPr>
      </w:pPr>
    </w:p>
    <w:p w14:paraId="3FD6BD28">
      <w:pPr>
        <w:jc w:val="center"/>
        <w:rPr>
          <w:b/>
          <w:sz w:val="44"/>
          <w:szCs w:val="44"/>
        </w:rPr>
      </w:pPr>
      <w:r>
        <w:rPr>
          <w:rFonts w:hint="eastAsia"/>
          <w:b/>
          <w:sz w:val="44"/>
          <w:szCs w:val="44"/>
        </w:rPr>
        <w:t>第三部分  名词</w:t>
      </w:r>
      <w:r>
        <w:rPr>
          <w:b/>
          <w:sz w:val="44"/>
          <w:szCs w:val="44"/>
        </w:rPr>
        <w:t>解释</w:t>
      </w:r>
    </w:p>
    <w:p w14:paraId="7B1F940E">
      <w:pPr>
        <w:ind w:firstLine="560" w:firstLineChars="200"/>
        <w:rPr>
          <w:snapToGrid w:val="0"/>
          <w:kern w:val="0"/>
          <w:sz w:val="28"/>
          <w:szCs w:val="28"/>
        </w:rPr>
      </w:pPr>
      <w:r>
        <w:rPr>
          <w:rFonts w:hint="eastAsia"/>
          <w:snapToGrid w:val="0"/>
          <w:kern w:val="0"/>
          <w:sz w:val="28"/>
          <w:szCs w:val="28"/>
        </w:rPr>
        <w:t>（一）财政拨款收入：本年度从本级财政部门取得的财政拨款，包括一般公共预算财政拨款和政府性基金预算财政拨款。</w:t>
      </w:r>
    </w:p>
    <w:p w14:paraId="36C11B43">
      <w:pPr>
        <w:ind w:firstLine="560" w:firstLineChars="200"/>
        <w:rPr>
          <w:snapToGrid w:val="0"/>
          <w:kern w:val="0"/>
          <w:sz w:val="28"/>
          <w:szCs w:val="28"/>
        </w:rPr>
      </w:pPr>
      <w:r>
        <w:rPr>
          <w:rFonts w:hint="eastAsia"/>
          <w:snapToGrid w:val="0"/>
          <w:kern w:val="0"/>
          <w:sz w:val="28"/>
          <w:szCs w:val="28"/>
        </w:rPr>
        <w:t>（二）事业收入：指事业单位开展专业业务活动及辅助活动所取得的收入。</w:t>
      </w:r>
    </w:p>
    <w:p w14:paraId="390D28E6">
      <w:pPr>
        <w:ind w:firstLine="560" w:firstLineChars="200"/>
        <w:rPr>
          <w:snapToGrid w:val="0"/>
          <w:kern w:val="0"/>
          <w:sz w:val="28"/>
          <w:szCs w:val="28"/>
        </w:rPr>
      </w:pPr>
      <w:r>
        <w:rPr>
          <w:rFonts w:hint="eastAsia"/>
          <w:snapToGrid w:val="0"/>
          <w:kern w:val="0"/>
          <w:sz w:val="28"/>
          <w:szCs w:val="28"/>
        </w:rPr>
        <w:t>（三）其他收入：指除上述“财政拨款收入”、“事业收入”、“经营收入”等以外的收入。</w:t>
      </w:r>
    </w:p>
    <w:p w14:paraId="2F25D1D7">
      <w:pPr>
        <w:ind w:firstLine="560" w:firstLineChars="200"/>
        <w:rPr>
          <w:snapToGrid w:val="0"/>
          <w:kern w:val="0"/>
          <w:sz w:val="28"/>
          <w:szCs w:val="28"/>
        </w:rPr>
      </w:pPr>
      <w:r>
        <w:rPr>
          <w:rFonts w:hint="eastAsia"/>
          <w:snapToGrid w:val="0"/>
          <w:kern w:val="0"/>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1FC61357">
      <w:pPr>
        <w:ind w:firstLine="420" w:firstLineChars="150"/>
        <w:rPr>
          <w:snapToGrid w:val="0"/>
          <w:kern w:val="0"/>
          <w:sz w:val="28"/>
          <w:szCs w:val="28"/>
        </w:rPr>
      </w:pPr>
      <w:r>
        <w:rPr>
          <w:rFonts w:hint="eastAsia"/>
          <w:snapToGrid w:val="0"/>
          <w:kern w:val="0"/>
          <w:sz w:val="28"/>
          <w:szCs w:val="28"/>
        </w:rPr>
        <w:t>（五）年初结转和结余：指以前年度尚未完成、结转到本年仍按原规定用途继续使用的资金，或项目已完成等产生的结余资金。</w:t>
      </w:r>
    </w:p>
    <w:p w14:paraId="15D8334E">
      <w:pPr>
        <w:ind w:firstLine="420" w:firstLineChars="150"/>
        <w:rPr>
          <w:snapToGrid w:val="0"/>
          <w:kern w:val="0"/>
          <w:sz w:val="28"/>
          <w:szCs w:val="28"/>
        </w:rPr>
      </w:pPr>
      <w:r>
        <w:rPr>
          <w:rFonts w:hint="eastAsia"/>
          <w:snapToGrid w:val="0"/>
          <w:kern w:val="0"/>
          <w:sz w:val="28"/>
          <w:szCs w:val="28"/>
        </w:rPr>
        <w:t>（六）结余分配：指事业单位按照事业单位会计制度的规定从非财政补助结余中分配的事业基金和职工福利基金等。</w:t>
      </w:r>
    </w:p>
    <w:p w14:paraId="05E63E8C">
      <w:pPr>
        <w:ind w:firstLine="420" w:firstLineChars="150"/>
        <w:rPr>
          <w:snapToGrid w:val="0"/>
          <w:kern w:val="0"/>
          <w:sz w:val="28"/>
          <w:szCs w:val="28"/>
        </w:rPr>
      </w:pPr>
      <w:r>
        <w:rPr>
          <w:rFonts w:hint="eastAsia"/>
          <w:snapToGrid w:val="0"/>
          <w:kern w:val="0"/>
          <w:sz w:val="28"/>
          <w:szCs w:val="28"/>
        </w:rPr>
        <w:t>（七）年末结转和结余：指单位按有关规定结转到下年或以后年度继续使用的资金，或项目已完成等产生的结余资金。</w:t>
      </w:r>
    </w:p>
    <w:p w14:paraId="03302392">
      <w:pPr>
        <w:ind w:firstLine="420" w:firstLineChars="150"/>
        <w:rPr>
          <w:snapToGrid w:val="0"/>
          <w:kern w:val="0"/>
          <w:sz w:val="28"/>
          <w:szCs w:val="28"/>
        </w:rPr>
      </w:pPr>
      <w:r>
        <w:rPr>
          <w:rFonts w:hint="eastAsia"/>
          <w:snapToGrid w:val="0"/>
          <w:kern w:val="0"/>
          <w:sz w:val="28"/>
          <w:szCs w:val="28"/>
        </w:rPr>
        <w:t>（八）基本支出：填列单位为保障机构正常运转、完成日常工作任务而发生的各项支出。</w:t>
      </w:r>
    </w:p>
    <w:p w14:paraId="132B9FE8">
      <w:pPr>
        <w:ind w:firstLine="420" w:firstLineChars="150"/>
        <w:rPr>
          <w:snapToGrid w:val="0"/>
          <w:kern w:val="0"/>
          <w:sz w:val="28"/>
          <w:szCs w:val="28"/>
        </w:rPr>
      </w:pPr>
      <w:r>
        <w:rPr>
          <w:rFonts w:hint="eastAsia"/>
          <w:snapToGrid w:val="0"/>
          <w:kern w:val="0"/>
          <w:sz w:val="28"/>
          <w:szCs w:val="28"/>
        </w:rPr>
        <w:t>（九）项目支出：填列单位为完成特定的行政工作任务或事业发展目标，在基本支出之外发生的各项支出</w:t>
      </w:r>
    </w:p>
    <w:p w14:paraId="0737F0B0">
      <w:pPr>
        <w:ind w:firstLine="420" w:firstLineChars="150"/>
        <w:rPr>
          <w:snapToGrid w:val="0"/>
          <w:kern w:val="0"/>
          <w:sz w:val="28"/>
          <w:szCs w:val="28"/>
        </w:rPr>
      </w:pPr>
      <w:r>
        <w:rPr>
          <w:rFonts w:hint="eastAsia"/>
          <w:snapToGrid w:val="0"/>
          <w:kern w:val="0"/>
          <w:sz w:val="28"/>
          <w:szCs w:val="28"/>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5E7DAE1">
      <w:pPr>
        <w:ind w:firstLine="420" w:firstLineChars="150"/>
        <w:rPr>
          <w:snapToGrid w:val="0"/>
          <w:kern w:val="0"/>
          <w:sz w:val="28"/>
          <w:szCs w:val="28"/>
        </w:rPr>
      </w:pPr>
      <w:r>
        <w:rPr>
          <w:rFonts w:hint="eastAsia"/>
          <w:snapToGrid w:val="0"/>
          <w:kern w:val="0"/>
          <w:sz w:val="28"/>
          <w:szCs w:val="28"/>
        </w:rPr>
        <w:t>（十一）其他资本性支出：填列由各级非发展与改革部门集中安排的用于购置固定资产、战备性和应急性储备、土地和无形资产，以及购建基础设施、大型修缮和财政支持企业更新改造所发生的支出。</w:t>
      </w:r>
    </w:p>
    <w:p w14:paraId="2B09B288">
      <w:pPr>
        <w:ind w:firstLine="420" w:firstLineChars="150"/>
        <w:rPr>
          <w:snapToGrid w:val="0"/>
          <w:kern w:val="0"/>
          <w:sz w:val="28"/>
          <w:szCs w:val="28"/>
        </w:rPr>
      </w:pPr>
      <w:r>
        <w:rPr>
          <w:rFonts w:hint="eastAsia"/>
          <w:snapToGrid w:val="0"/>
          <w:kern w:val="0"/>
          <w:sz w:val="28"/>
          <w:szCs w:val="28"/>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627F7DB2">
      <w:pPr>
        <w:rPr>
          <w:snapToGrid w:val="0"/>
          <w:kern w:val="0"/>
          <w:sz w:val="28"/>
          <w:szCs w:val="28"/>
        </w:rPr>
      </w:pPr>
      <w:r>
        <w:rPr>
          <w:rFonts w:hint="eastAsia"/>
          <w:snapToGrid w:val="0"/>
          <w:kern w:val="0"/>
          <w:sz w:val="28"/>
          <w:szCs w:val="28"/>
        </w:rPr>
        <w:t xml:space="preserve">   （十三）其他交通费用：填列单位除公务用车运行维护费以外的其他交通费用。如飞机、船舶等的燃料费、维修费、过桥过路费、保险费、出租车费用、公务交通补贴等。</w:t>
      </w:r>
    </w:p>
    <w:p w14:paraId="74221A6F">
      <w:pPr>
        <w:ind w:firstLine="420" w:firstLineChars="150"/>
        <w:rPr>
          <w:snapToGrid w:val="0"/>
          <w:kern w:val="0"/>
          <w:sz w:val="28"/>
          <w:szCs w:val="28"/>
        </w:rPr>
      </w:pPr>
      <w:r>
        <w:rPr>
          <w:rFonts w:hint="eastAsia"/>
          <w:snapToGrid w:val="0"/>
          <w:kern w:val="0"/>
          <w:sz w:val="28"/>
          <w:szCs w:val="28"/>
        </w:rPr>
        <w:t>（十四）公务用车购置：填列单位公务用车车辆购置支出（含车辆购置税）。</w:t>
      </w:r>
    </w:p>
    <w:p w14:paraId="1D43EAB6">
      <w:pPr>
        <w:ind w:firstLine="420" w:firstLineChars="150"/>
        <w:rPr>
          <w:snapToGrid w:val="0"/>
          <w:kern w:val="0"/>
          <w:sz w:val="28"/>
          <w:szCs w:val="28"/>
        </w:rPr>
      </w:pPr>
      <w:r>
        <w:rPr>
          <w:rFonts w:hint="eastAsia"/>
          <w:snapToGrid w:val="0"/>
          <w:kern w:val="0"/>
          <w:sz w:val="28"/>
          <w:szCs w:val="28"/>
        </w:rPr>
        <w:t>（十五）其他交通工具购置：填列单位除公务用车外的其他各类交通工具（如船舶、飞机）购置支出（含车辆购置税）。</w:t>
      </w:r>
    </w:p>
    <w:p w14:paraId="07266471">
      <w:pPr>
        <w:ind w:firstLine="420" w:firstLineChars="150"/>
        <w:rPr>
          <w:snapToGrid w:val="0"/>
          <w:kern w:val="0"/>
          <w:sz w:val="28"/>
          <w:szCs w:val="28"/>
        </w:rPr>
      </w:pPr>
      <w:r>
        <w:rPr>
          <w:rFonts w:hint="eastAsia"/>
          <w:snapToGrid w:val="0"/>
          <w:kern w:val="0"/>
          <w:sz w:val="28"/>
          <w:szCs w:val="28"/>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100F79"/>
    <w:rsid w:val="001041EE"/>
    <w:rsid w:val="0015089B"/>
    <w:rsid w:val="00152908"/>
    <w:rsid w:val="00193687"/>
    <w:rsid w:val="001C673D"/>
    <w:rsid w:val="001E64AE"/>
    <w:rsid w:val="001E68F2"/>
    <w:rsid w:val="0025268C"/>
    <w:rsid w:val="00253902"/>
    <w:rsid w:val="002E5140"/>
    <w:rsid w:val="002F3862"/>
    <w:rsid w:val="003277A3"/>
    <w:rsid w:val="00372DF7"/>
    <w:rsid w:val="00375250"/>
    <w:rsid w:val="003F0B48"/>
    <w:rsid w:val="003F3B34"/>
    <w:rsid w:val="004208DF"/>
    <w:rsid w:val="0044710B"/>
    <w:rsid w:val="00471A6A"/>
    <w:rsid w:val="004D14A2"/>
    <w:rsid w:val="0051703A"/>
    <w:rsid w:val="005251A9"/>
    <w:rsid w:val="0058572E"/>
    <w:rsid w:val="005B3169"/>
    <w:rsid w:val="005F4293"/>
    <w:rsid w:val="0060361A"/>
    <w:rsid w:val="0062696C"/>
    <w:rsid w:val="006B564B"/>
    <w:rsid w:val="006C734C"/>
    <w:rsid w:val="006E71D0"/>
    <w:rsid w:val="00727668"/>
    <w:rsid w:val="00791B38"/>
    <w:rsid w:val="007F61F0"/>
    <w:rsid w:val="008026BF"/>
    <w:rsid w:val="00815304"/>
    <w:rsid w:val="00825B48"/>
    <w:rsid w:val="0082704B"/>
    <w:rsid w:val="008423F5"/>
    <w:rsid w:val="00842CBB"/>
    <w:rsid w:val="00851D74"/>
    <w:rsid w:val="008658AC"/>
    <w:rsid w:val="008B30D9"/>
    <w:rsid w:val="008B4097"/>
    <w:rsid w:val="008D1292"/>
    <w:rsid w:val="00915D87"/>
    <w:rsid w:val="00945D0B"/>
    <w:rsid w:val="00966351"/>
    <w:rsid w:val="009761E0"/>
    <w:rsid w:val="00985214"/>
    <w:rsid w:val="009B74FB"/>
    <w:rsid w:val="00A12962"/>
    <w:rsid w:val="00A372C2"/>
    <w:rsid w:val="00AA21A2"/>
    <w:rsid w:val="00AB34F4"/>
    <w:rsid w:val="00AB5CBB"/>
    <w:rsid w:val="00B005DA"/>
    <w:rsid w:val="00B1205E"/>
    <w:rsid w:val="00B17297"/>
    <w:rsid w:val="00B40ED6"/>
    <w:rsid w:val="00B4656D"/>
    <w:rsid w:val="00B96183"/>
    <w:rsid w:val="00BB445C"/>
    <w:rsid w:val="00BD4ED3"/>
    <w:rsid w:val="00BE2D05"/>
    <w:rsid w:val="00BE5A33"/>
    <w:rsid w:val="00C0255F"/>
    <w:rsid w:val="00C222CB"/>
    <w:rsid w:val="00C82568"/>
    <w:rsid w:val="00CA2480"/>
    <w:rsid w:val="00CB45AA"/>
    <w:rsid w:val="00CF1065"/>
    <w:rsid w:val="00D168B0"/>
    <w:rsid w:val="00D30175"/>
    <w:rsid w:val="00D6325B"/>
    <w:rsid w:val="00D9008B"/>
    <w:rsid w:val="00DB3D51"/>
    <w:rsid w:val="00DB7E7C"/>
    <w:rsid w:val="00DC5EA2"/>
    <w:rsid w:val="00DC7534"/>
    <w:rsid w:val="00E17D68"/>
    <w:rsid w:val="00E71A30"/>
    <w:rsid w:val="00EA263D"/>
    <w:rsid w:val="00EB4637"/>
    <w:rsid w:val="00EF0EA2"/>
    <w:rsid w:val="00EF11C4"/>
    <w:rsid w:val="00F00F83"/>
    <w:rsid w:val="00F7078F"/>
    <w:rsid w:val="00FA7D7B"/>
    <w:rsid w:val="064A3FAD"/>
    <w:rsid w:val="0B6A15E4"/>
    <w:rsid w:val="0D6054DA"/>
    <w:rsid w:val="1AF90D88"/>
    <w:rsid w:val="1F545778"/>
    <w:rsid w:val="26057C2A"/>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rFonts w:asciiTheme="minorHAnsi" w:hAnsiTheme="minorHAnsi" w:eastAsiaTheme="minorEastAsia" w:cstheme="minorBidi"/>
      <w:kern w:val="2"/>
      <w:sz w:val="18"/>
      <w:szCs w:val="18"/>
    </w:rPr>
  </w:style>
  <w:style w:type="character" w:customStyle="1" w:styleId="9">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3754</Words>
  <Characters>4197</Characters>
  <Lines>31</Lines>
  <Paragraphs>8</Paragraphs>
  <TotalTime>13</TotalTime>
  <ScaleCrop>false</ScaleCrop>
  <LinksUpToDate>false</LinksUpToDate>
  <CharactersWithSpaces>4286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2017-11-10T12:13:00Z</dcterms:created>
  <dc:creator>yuanxiaowei</dc:creator>
  <cp:lastModifiedBy>Am</cp:lastModifiedBy>
  <cp:lastPrinted>2017-08-29T03:35:00Z</cp:lastPrinted>
  <dcterms:modified xsi:type="dcterms:W3CDTF">2026-02-02T02:56:10Z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eyJoZGlkIjoiYjZkOTdiNmRlNjVjYTc0MzZmZTVjZTVmMjZhMTMyMmMiLCJ1c2VySWQiOiIxMjI0Mjk2Nzk5In0=</vt:lpwstr>
  </property>
  <property fmtid="{D5CDD505-2E9C-101B-9397-08002B2CF9AE}" pid="4" name="ICV">
    <vt:lpwstr>94C78CACDF64422BBEAAAF9369512CD6_12</vt:lpwstr>
  </property>
</Properties>
</file>