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1D1BC">
      <w:pPr>
        <w:widowControl/>
        <w:shd w:val="clear" w:color="auto" w:fill="FFFFFF"/>
        <w:spacing w:line="560" w:lineRule="exact"/>
        <w:jc w:val="center"/>
        <w:outlineLvl w:val="1"/>
        <w:rPr>
          <w:rFonts w:hint="eastAsia" w:ascii="方正小标宋简体" w:hAnsi="微软雅黑" w:eastAsia="方正小标宋简体" w:cs="宋体"/>
          <w:b/>
          <w:bCs/>
          <w:color w:val="333333"/>
          <w:kern w:val="0"/>
          <w:sz w:val="44"/>
          <w:szCs w:val="44"/>
        </w:rPr>
      </w:pPr>
      <w:r>
        <w:rPr>
          <w:rFonts w:hint="eastAsia" w:ascii="方正小标宋简体" w:hAnsi="微软雅黑" w:eastAsia="方正小标宋简体" w:cs="宋体"/>
          <w:b/>
          <w:bCs/>
          <w:color w:val="333333"/>
          <w:kern w:val="0"/>
          <w:sz w:val="44"/>
          <w:szCs w:val="44"/>
        </w:rPr>
        <w:t>关于进一步提高科技型中小企业研发费用</w:t>
      </w:r>
      <w:bookmarkStart w:id="0" w:name="_GoBack"/>
      <w:bookmarkEnd w:id="0"/>
      <w:r>
        <w:rPr>
          <w:rFonts w:hint="eastAsia" w:ascii="方正小标宋简体" w:hAnsi="微软雅黑" w:eastAsia="方正小标宋简体" w:cs="宋体"/>
          <w:b/>
          <w:bCs/>
          <w:color w:val="333333"/>
          <w:kern w:val="0"/>
          <w:sz w:val="44"/>
          <w:szCs w:val="44"/>
        </w:rPr>
        <w:t>税前加计扣除比例的公告</w:t>
      </w:r>
    </w:p>
    <w:p w14:paraId="36D25ACA">
      <w:pPr>
        <w:widowControl/>
        <w:shd w:val="clear" w:color="auto" w:fill="FFFFFF"/>
        <w:spacing w:line="560" w:lineRule="exact"/>
        <w:jc w:val="center"/>
        <w:outlineLvl w:val="1"/>
        <w:rPr>
          <w:rFonts w:hint="eastAsia" w:ascii="方正小标宋简体" w:hAnsi="微软雅黑" w:eastAsia="方正小标宋简体" w:cs="宋体"/>
          <w:b/>
          <w:bCs/>
          <w:color w:val="333333"/>
          <w:kern w:val="0"/>
          <w:sz w:val="44"/>
          <w:szCs w:val="44"/>
        </w:rPr>
      </w:pPr>
    </w:p>
    <w:p w14:paraId="2AA365E0">
      <w:pPr>
        <w:widowControl/>
        <w:shd w:val="clear" w:color="auto" w:fill="FFFFFF"/>
        <w:spacing w:line="560" w:lineRule="exact"/>
        <w:jc w:val="center"/>
        <w:rPr>
          <w:rFonts w:hint="eastAsia" w:ascii="仿宋_GB2312" w:hAnsi="宋体" w:eastAsia="仿宋_GB2312" w:cs="宋体"/>
          <w:color w:val="333333"/>
          <w:kern w:val="0"/>
          <w:sz w:val="32"/>
          <w:szCs w:val="32"/>
        </w:rPr>
      </w:pPr>
      <w:r>
        <w:rPr>
          <w:rFonts w:hint="eastAsia" w:ascii="仿宋_GB2312" w:hAnsi="宋体" w:eastAsia="仿宋_GB2312" w:cs="宋体"/>
          <w:b/>
          <w:bCs/>
          <w:color w:val="333333"/>
          <w:kern w:val="0"/>
          <w:sz w:val="32"/>
          <w:szCs w:val="32"/>
        </w:rPr>
        <w:t>财政部</w:t>
      </w:r>
      <w:r>
        <w:rPr>
          <w:rFonts w:hint="eastAsia" w:ascii="宋体" w:hAnsi="宋体" w:eastAsia="仿宋_GB2312" w:cs="宋体"/>
          <w:b/>
          <w:bCs/>
          <w:color w:val="333333"/>
          <w:kern w:val="0"/>
          <w:sz w:val="32"/>
          <w:szCs w:val="32"/>
        </w:rPr>
        <w:t> </w:t>
      </w:r>
      <w:r>
        <w:rPr>
          <w:rFonts w:hint="eastAsia" w:ascii="仿宋_GB2312" w:hAnsi="宋体" w:eastAsia="仿宋_GB2312" w:cs="宋体"/>
          <w:b/>
          <w:bCs/>
          <w:color w:val="333333"/>
          <w:kern w:val="0"/>
          <w:sz w:val="32"/>
          <w:szCs w:val="32"/>
        </w:rPr>
        <w:t xml:space="preserve"> 税务总局</w:t>
      </w:r>
      <w:r>
        <w:rPr>
          <w:rFonts w:hint="eastAsia" w:ascii="宋体" w:hAnsi="宋体" w:eastAsia="仿宋_GB2312" w:cs="宋体"/>
          <w:b/>
          <w:bCs/>
          <w:color w:val="333333"/>
          <w:kern w:val="0"/>
          <w:sz w:val="32"/>
          <w:szCs w:val="32"/>
        </w:rPr>
        <w:t> </w:t>
      </w:r>
      <w:r>
        <w:rPr>
          <w:rFonts w:hint="eastAsia" w:ascii="仿宋_GB2312" w:hAnsi="宋体" w:eastAsia="仿宋_GB2312" w:cs="宋体"/>
          <w:b/>
          <w:bCs/>
          <w:color w:val="333333"/>
          <w:kern w:val="0"/>
          <w:sz w:val="32"/>
          <w:szCs w:val="32"/>
        </w:rPr>
        <w:t xml:space="preserve"> 科技部公告2022年第16号</w:t>
      </w:r>
    </w:p>
    <w:p w14:paraId="0836E608">
      <w:pPr>
        <w:widowControl/>
        <w:shd w:val="clear" w:color="auto" w:fill="FFFFFF"/>
        <w:spacing w:line="560" w:lineRule="exact"/>
        <w:ind w:firstLine="640" w:firstLineChars="200"/>
        <w:jc w:val="left"/>
        <w:rPr>
          <w:rFonts w:hint="eastAsia" w:ascii="仿宋_GB2312" w:hAnsi="宋体" w:eastAsia="仿宋_GB2312" w:cs="宋体"/>
          <w:color w:val="333333"/>
          <w:kern w:val="0"/>
          <w:sz w:val="32"/>
          <w:szCs w:val="32"/>
        </w:rPr>
      </w:pPr>
    </w:p>
    <w:p w14:paraId="10B46112">
      <w:pPr>
        <w:widowControl/>
        <w:shd w:val="clear" w:color="auto" w:fill="FFFFFF"/>
        <w:spacing w:line="560" w:lineRule="exact"/>
        <w:ind w:firstLine="640"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为进一步支持科技创新，鼓励科技型中小企业加大研发投入，现就提高科技型中小企业研究开发费用（以下简称研发费用）税前加计扣除比例有关问题公告如下：</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 xml:space="preserve"> </w:t>
      </w:r>
    </w:p>
    <w:p w14:paraId="021F2679">
      <w:pPr>
        <w:widowControl/>
        <w:shd w:val="clear" w:color="auto" w:fill="FFFFFF"/>
        <w:spacing w:line="560" w:lineRule="exact"/>
        <w:ind w:firstLine="640"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一、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r>
        <w:rPr>
          <w:rFonts w:hint="eastAsia" w:ascii="宋体" w:hAnsi="宋体" w:eastAsia="仿宋_GB2312" w:cs="宋体"/>
          <w:color w:val="333333"/>
          <w:kern w:val="0"/>
          <w:sz w:val="32"/>
          <w:szCs w:val="32"/>
        </w:rPr>
        <w:t> </w:t>
      </w:r>
    </w:p>
    <w:p w14:paraId="7FFD35CA">
      <w:pPr>
        <w:widowControl/>
        <w:shd w:val="clear" w:color="auto" w:fill="FFFFFF"/>
        <w:spacing w:line="560" w:lineRule="exact"/>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二、科技型中小企业条件和管理办法按照《科技部</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财政部</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国家税务总局关于印发</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科技型中小企业评价办法</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的通知》（国科发政〔2017〕115号）执行。</w:t>
      </w:r>
      <w:r>
        <w:rPr>
          <w:rFonts w:hint="eastAsia" w:ascii="宋体" w:hAnsi="宋体" w:eastAsia="仿宋_GB2312" w:cs="宋体"/>
          <w:color w:val="333333"/>
          <w:kern w:val="0"/>
          <w:sz w:val="32"/>
          <w:szCs w:val="32"/>
        </w:rPr>
        <w:t> </w:t>
      </w:r>
    </w:p>
    <w:p w14:paraId="326DC17A">
      <w:pPr>
        <w:widowControl/>
        <w:shd w:val="clear" w:color="auto" w:fill="FFFFFF"/>
        <w:spacing w:line="560" w:lineRule="exact"/>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三、科技型中小企业享受研发费用税前加计扣除政策的其他政策口径和管理要求，按照《财政部</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国家税务总局</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科技部关于完善研究开发费用税前加计扣除政策的通知》（财税〔2015〕119号）、《财政部</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税务总局</w:t>
      </w:r>
      <w:r>
        <w:rPr>
          <w:rFonts w:hint="eastAsia" w:ascii="宋体" w:hAnsi="宋体" w:eastAsia="仿宋_GB2312" w:cs="宋体"/>
          <w:color w:val="333333"/>
          <w:kern w:val="0"/>
          <w:sz w:val="32"/>
          <w:szCs w:val="32"/>
        </w:rPr>
        <w:t> </w:t>
      </w:r>
      <w:r>
        <w:rPr>
          <w:rFonts w:hint="eastAsia" w:ascii="仿宋_GB2312" w:hAnsi="宋体" w:eastAsia="仿宋_GB2312" w:cs="宋体"/>
          <w:color w:val="333333"/>
          <w:kern w:val="0"/>
          <w:sz w:val="32"/>
          <w:szCs w:val="32"/>
        </w:rPr>
        <w:t>科技部关于企业委托境外研究开发费用税前加计扣除有关政策问题的通知》（财税〔2018〕64号）等文件相关规定执行。</w:t>
      </w:r>
      <w:r>
        <w:rPr>
          <w:rFonts w:hint="eastAsia" w:ascii="宋体" w:hAnsi="宋体" w:eastAsia="仿宋_GB2312" w:cs="宋体"/>
          <w:color w:val="333333"/>
          <w:kern w:val="0"/>
          <w:sz w:val="32"/>
          <w:szCs w:val="32"/>
        </w:rPr>
        <w:t> </w:t>
      </w:r>
    </w:p>
    <w:p w14:paraId="20C911E7">
      <w:pPr>
        <w:widowControl/>
        <w:shd w:val="clear" w:color="auto" w:fill="FFFFFF"/>
        <w:spacing w:line="560" w:lineRule="exact"/>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四、本公告自2022年1月1日起执行。</w:t>
      </w:r>
      <w:r>
        <w:rPr>
          <w:rFonts w:hint="eastAsia" w:ascii="宋体" w:hAnsi="宋体" w:eastAsia="仿宋_GB2312" w:cs="宋体"/>
          <w:color w:val="333333"/>
          <w:kern w:val="0"/>
          <w:sz w:val="32"/>
          <w:szCs w:val="32"/>
        </w:rPr>
        <w:t> </w:t>
      </w:r>
    </w:p>
    <w:p w14:paraId="5CCA91F5">
      <w:pPr>
        <w:widowControl/>
        <w:shd w:val="clear" w:color="auto" w:fill="FFFFFF"/>
        <w:spacing w:line="560" w:lineRule="exact"/>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w:t>
      </w:r>
      <w:r>
        <w:rPr>
          <w:rFonts w:hint="eastAsia" w:ascii="宋体" w:hAnsi="宋体" w:eastAsia="仿宋_GB2312" w:cs="宋体"/>
          <w:color w:val="333333"/>
          <w:kern w:val="0"/>
          <w:sz w:val="32"/>
          <w:szCs w:val="32"/>
        </w:rPr>
        <w:t>  </w:t>
      </w:r>
    </w:p>
    <w:p w14:paraId="47DD0789">
      <w:pPr>
        <w:widowControl/>
        <w:shd w:val="clear" w:color="auto" w:fill="FFFFFF"/>
        <w:spacing w:line="560" w:lineRule="exact"/>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w:t>
      </w:r>
      <w:r>
        <w:rPr>
          <w:rFonts w:hint="eastAsia" w:ascii="宋体" w:hAnsi="宋体" w:eastAsia="仿宋_GB2312" w:cs="宋体"/>
          <w:color w:val="333333"/>
          <w:kern w:val="0"/>
          <w:sz w:val="32"/>
          <w:szCs w:val="32"/>
        </w:rPr>
        <w:t>  </w:t>
      </w:r>
    </w:p>
    <w:p w14:paraId="22A45CFF">
      <w:pPr>
        <w:widowControl/>
        <w:shd w:val="clear" w:color="auto" w:fill="FFFFFF"/>
        <w:spacing w:line="560" w:lineRule="exact"/>
        <w:ind w:right="640"/>
        <w:jc w:val="center"/>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财政部</w:t>
      </w:r>
      <w:r>
        <w:rPr>
          <w:rFonts w:hint="eastAsia" w:ascii="宋体"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税务总局</w:t>
      </w:r>
      <w:r>
        <w:rPr>
          <w:rFonts w:hint="eastAsia" w:ascii="宋体"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科技部</w:t>
      </w:r>
    </w:p>
    <w:p w14:paraId="3871397B">
      <w:pPr>
        <w:widowControl/>
        <w:shd w:val="clear" w:color="auto" w:fill="FFFFFF"/>
        <w:spacing w:line="560" w:lineRule="exact"/>
        <w:ind w:right="640"/>
        <w:jc w:val="center"/>
        <w:rPr>
          <w:rFonts w:hint="eastAsia" w:ascii="仿宋_GB2312" w:eastAsia="仿宋_GB2312"/>
          <w:sz w:val="32"/>
          <w:szCs w:val="32"/>
        </w:rPr>
      </w:pPr>
      <w:r>
        <w:rPr>
          <w:rFonts w:hint="eastAsia" w:ascii="仿宋_GB2312" w:hAnsi="宋体" w:eastAsia="仿宋_GB2312" w:cs="宋体"/>
          <w:color w:val="333333"/>
          <w:kern w:val="0"/>
          <w:sz w:val="32"/>
          <w:szCs w:val="32"/>
        </w:rPr>
        <w:t xml:space="preserve">                               2022年3月23日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FA6"/>
    <w:rsid w:val="003E7FA6"/>
    <w:rsid w:val="00C10F4C"/>
    <w:rsid w:val="00C962E6"/>
    <w:rsid w:val="11F7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标题 2 Char"/>
    <w:basedOn w:val="6"/>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509</Characters>
  <Lines>4</Lines>
  <Paragraphs>1</Paragraphs>
  <TotalTime>2</TotalTime>
  <ScaleCrop>false</ScaleCrop>
  <LinksUpToDate>false</LinksUpToDate>
  <CharactersWithSpaces>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2022-04-02T03:21:00Z</dcterms:created>
  <dc:creator>Thinkpad</dc:creator>
  <cp:lastModifiedBy>Am</cp:lastModifiedBy>
  <dcterms:modified xsi:type="dcterms:W3CDTF">2026-02-02T02:33:44Z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eyJoZGlkIjoiYjZkOTdiNmRlNjVjYTc0MzZmZTVjZTVmMjZhMTMyMmMiLCJ1c2VySWQiOiIxMjI0Mjk2Nzk5In0=</vt:lpwstr>
  </property>
  <property fmtid="{D5CDD505-2E9C-101B-9397-08002B2CF9AE}" pid="3" name="KSOProductBuildVer">
    <vt:lpwstr>2052-12.1.0.23125</vt:lpwstr>
  </property>
  <property fmtid="{D5CDD505-2E9C-101B-9397-08002B2CF9AE}" pid="4" name="ICV">
    <vt:lpwstr>A06959EC636F453D924F462C355A52D0_12</vt:lpwstr>
  </property>
</Properties>
</file>