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保定市徐水区住房和城乡建设局</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spacing w:after="0" w:line="360" w:lineRule="auto"/>
        <w:jc w:val="center"/>
        <w:textAlignment w:val="baseline"/>
        <w:rPr>
          <w:rFonts w:ascii="仿宋_GB2312" w:eastAsia="仿宋_GB2312" w:cs="DengXian-Regular"/>
          <w:sz w:val="32"/>
          <w:szCs w:val="32"/>
        </w:rPr>
        <w:sectPr>
          <w:footerReference r:id="rId4" w:type="default"/>
          <w:pgSz w:w="11906" w:h="16838"/>
          <w:pgMar w:top="1440" w:right="1797" w:bottom="1191" w:left="1797" w:header="709" w:footer="709" w:gutter="0"/>
          <w:pgNumType w:start="1"/>
          <w:cols w:space="708" w:num="1"/>
          <w:docGrid w:linePitch="360" w:charSpace="0"/>
        </w:sectPr>
      </w:pPr>
      <w:r>
        <w:rPr>
          <w:rFonts w:hint="eastAsia" w:ascii="仿宋_GB2312" w:eastAsia="仿宋_GB2312" w:cs="DengXian-Regular"/>
          <w:sz w:val="32"/>
          <w:szCs w:val="32"/>
        </w:rPr>
        <w:t>报告日期：2020年12月9日</w:t>
      </w: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6</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一、保定市徐水区住房和城乡建设局基本情况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6</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6</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6</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8</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10</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19</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19</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eastAsiaTheme="majorEastAsia"/>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5</w:t>
          </w:r>
        </w:p>
        <w:p>
          <w:pPr>
            <w:spacing w:line="312" w:lineRule="auto"/>
            <w:ind w:firstLine="440" w:firstLineChars="200"/>
            <w:jc w:val="both"/>
            <w:sectPr>
              <w:footerReference r:id="rId5"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们接受保定市徐水区财政局委托，对保定市徐水区住房和城乡建设局2019年部门整体支出情况开展了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住房和城乡建设局为正科级行政单位，经费保障形式为财政拨款，下设3个股室，分别为综合股、建筑业管理股、房地产管理股（农村燃气安全管理股），主要职责有贯彻执行国家、省、市、区相关建设工作的法规、方针、政策；推进住房制度改革，，依据上级住房政策，拟定适合本区的住房制度改革的具体方案并组织实施；监督管理建筑市场，规范市场各方主体行为；参与工程建设的前期准备工作，全面负责工程建设实施阶段的管理工作，监督检车工程质量及施工安全等。</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自2020年11月24日启动区住房和城乡建设局2019年部门整体支出绩效评价工作，至2020年12月9日出具报告，评价工作经过了前期准备、绩效评价实施方案和指标体系制定、组织实施、绩效评价报告撰写四个阶段。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们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对区住房和城乡建设局2019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部门整体支出绩效评价指标体系共设置4个一级指标、7个二级指标、27个三级指标，从投入、过程、产出、效果四个方面对区住房和城乡建设局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区住房和城乡建设局2019年部门整体支出综合评价得分为84分，评价等级为“良”。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住房和城乡建设局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通过本次绩效评价工作，我们也发现区住房和城乡建设局在以下几个方面存在一些不足之处，具体如下：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1.预算决算差额较大</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区住房和城乡建设局2019年预算收入、支出预算数均为22821.63万元，决算收入18240.05万元，较预算收入减少4581.58万元，减少比例20.08%；决算支出11655.06万元，较预算支出减少11166.57万元，减少比例48.93%。决算数较预算数减少的主要原因是区住房和城乡建设局部分职能划转至区综合执法局，项目预算收入支出减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2.预算调整较多</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区住房和城乡建设局2019年预算调减4880.32万元，2019年当年调整预算占年初预算的21.38%，预算调整较多。</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3.未按预算编制执行政府采购</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政府采购预算5046.05万元，拟对徐水区农村垃圾焚烧处理项目700.00万元、大午集团环卫市场化运营项目50.60万元、徐水区农村生活垃圾处理市场化运营项目4295.45万元进行政府采购，具体预算金额5046.05万元。</w:t>
      </w:r>
    </w:p>
    <w:p>
      <w:pPr>
        <w:spacing w:after="0" w:line="360" w:lineRule="auto"/>
        <w:ind w:firstLine="640" w:firstLineChars="200"/>
        <w:jc w:val="both"/>
        <w:textAlignment w:val="baseline"/>
        <w:rPr>
          <w:rFonts w:ascii="仿宋_GB2312" w:hAnsi="仿宋_GB2312" w:eastAsia="仿宋_GB2312" w:cs="仿宋_GB2312"/>
          <w:color w:val="000000" w:themeColor="text1"/>
          <w:sz w:val="32"/>
          <w:szCs w:val="32"/>
        </w:rPr>
      </w:pPr>
      <w:r>
        <w:rPr>
          <w:rFonts w:hint="eastAsia" w:ascii="仿宋_GB2312" w:eastAsia="仿宋_GB2312" w:cs="DengXian-Regular"/>
          <w:color w:val="000000" w:themeColor="text1"/>
          <w:sz w:val="32"/>
          <w:szCs w:val="32"/>
        </w:rPr>
        <w:t>201</w:t>
      </w:r>
      <w:r>
        <w:rPr>
          <w:rFonts w:ascii="仿宋_GB2312" w:eastAsia="仿宋_GB2312" w:cs="DengXian-Regular"/>
          <w:color w:val="000000" w:themeColor="text1"/>
          <w:sz w:val="32"/>
          <w:szCs w:val="32"/>
        </w:rPr>
        <w:t>9</w:t>
      </w:r>
      <w:r>
        <w:rPr>
          <w:rFonts w:hint="eastAsia" w:ascii="仿宋_GB2312" w:eastAsia="仿宋_GB2312" w:cs="DengXian-Regular"/>
          <w:color w:val="000000" w:themeColor="text1"/>
          <w:sz w:val="32"/>
          <w:szCs w:val="32"/>
        </w:rPr>
        <w:t>年度政府实际采购支出合计408.02万元，从采购类型来看，</w:t>
      </w:r>
      <w:r>
        <w:rPr>
          <w:rFonts w:ascii="仿宋_GB2312" w:hAnsi="仿宋_GB2312" w:eastAsia="仿宋_GB2312" w:cs="仿宋_GB2312"/>
          <w:color w:val="000000" w:themeColor="text1"/>
          <w:sz w:val="32"/>
          <w:szCs w:val="32"/>
        </w:rPr>
        <w:t>政府采购货物</w:t>
      </w:r>
      <w:r>
        <w:rPr>
          <w:rFonts w:hint="eastAsia" w:ascii="仿宋_GB2312" w:hAnsi="仿宋_GB2312" w:eastAsia="仿宋_GB2312" w:cs="仿宋_GB2312"/>
          <w:color w:val="000000" w:themeColor="text1"/>
          <w:sz w:val="32"/>
          <w:szCs w:val="32"/>
        </w:rPr>
        <w:t>支出19.34</w:t>
      </w:r>
      <w:r>
        <w:rPr>
          <w:rFonts w:ascii="仿宋_GB2312" w:hAnsi="仿宋_GB2312" w:eastAsia="仿宋_GB2312" w:cs="仿宋_GB2312"/>
          <w:color w:val="000000" w:themeColor="text1"/>
          <w:sz w:val="32"/>
          <w:szCs w:val="32"/>
        </w:rPr>
        <w:t xml:space="preserve"> 万元、政府采购工程</w:t>
      </w:r>
      <w:r>
        <w:rPr>
          <w:rFonts w:hint="eastAsia" w:ascii="仿宋_GB2312" w:hAnsi="仿宋_GB2312" w:eastAsia="仿宋_GB2312" w:cs="仿宋_GB2312"/>
          <w:color w:val="000000" w:themeColor="text1"/>
          <w:sz w:val="32"/>
          <w:szCs w:val="32"/>
        </w:rPr>
        <w:t>支出330.18</w:t>
      </w:r>
      <w:r>
        <w:rPr>
          <w:rFonts w:ascii="仿宋_GB2312" w:hAnsi="仿宋_GB2312" w:eastAsia="仿宋_GB2312" w:cs="仿宋_GB2312"/>
          <w:color w:val="000000" w:themeColor="text1"/>
          <w:sz w:val="32"/>
          <w:szCs w:val="32"/>
        </w:rPr>
        <w:t>万元、政府采购服务</w:t>
      </w:r>
      <w:r>
        <w:rPr>
          <w:rFonts w:hint="eastAsia" w:ascii="仿宋_GB2312" w:hAnsi="仿宋_GB2312" w:eastAsia="仿宋_GB2312" w:cs="仿宋_GB2312"/>
          <w:color w:val="000000" w:themeColor="text1"/>
          <w:sz w:val="32"/>
          <w:szCs w:val="32"/>
        </w:rPr>
        <w:t>支出58.5</w:t>
      </w:r>
      <w:r>
        <w:rPr>
          <w:rFonts w:ascii="仿宋_GB2312" w:hAnsi="仿宋_GB2312" w:eastAsia="仿宋_GB2312" w:cs="仿宋_GB2312"/>
          <w:color w:val="000000" w:themeColor="text1"/>
          <w:sz w:val="32"/>
          <w:szCs w:val="32"/>
        </w:rPr>
        <w:t>万元。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本年未按相关规定及预算编制执行政府采购。</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部门预算编制工作要全面反映和体现部门职责，根据具体情况及时调整预算的编制，缩小预算与决算差额，减少中期预算调整，提高预算编制质量，发挥预算约束作用。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2.强化政府采购执行</w:t>
      </w:r>
    </w:p>
    <w:p>
      <w:pPr>
        <w:spacing w:after="0" w:line="360" w:lineRule="auto"/>
        <w:ind w:firstLine="640" w:firstLineChars="200"/>
        <w:jc w:val="both"/>
        <w:textAlignment w:val="baseline"/>
        <w:rPr>
          <w:rFonts w:asciiTheme="minorEastAsia" w:hAnsiTheme="minorEastAsia" w:eastAsiaTheme="minorEastAsia" w:cstheme="minorEastAsia"/>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r>
        <w:rPr>
          <w:rFonts w:hint="eastAsia" w:asciiTheme="minorEastAsia" w:hAnsiTheme="minorEastAsia" w:eastAsiaTheme="minorEastAsia" w:cstheme="minorEastAsia"/>
          <w:sz w:val="32"/>
          <w:szCs w:val="32"/>
        </w:rPr>
        <w:br w:type="page"/>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一、保定市徐水区住房和城乡建设局基本情况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住房和城乡建设局职能配置内设机构和人员编制规定》的通知，区住房和城乡建设局为区政府工作部门，正科级单位，下设3个股室。区住房和城乡建设局根据绩效预算管理改革的相关要求，按照“部门职责—工作活动绩效目标”的层级设立了绩效预算架构，职责活动包括住房保障管理；城乡建设管理；建筑业、房地产市场监管；推进建筑节能；住建政务管理共五部分。</w:t>
      </w:r>
      <w:bookmarkStart w:id="6" w:name="_Toc465149499"/>
      <w:bookmarkStart w:id="7" w:name="_Toc492652765"/>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按照2019年绩效预算编制要求，区住房和城乡建设局设置的年度发展规划总体目标为：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加强城建建设投入。在城市发展中树立和落实科学发展观，遵循客观规律，坚持以人为本的原则正确处理经济发展与城市建设关系。城市建设要与经济发展水平和市场发展程度相适应，实事求是，因地制宜，量力而行。要切实把维护广大人民群众的根本利益作为城市建设的出发点和落脚点。加强生态建设，提高人居环境质量，促进人与自然和谐的可持续性发展。要注重城市</w:t>
      </w:r>
      <w:r>
        <w:rPr>
          <w:rFonts w:hint="eastAsia" w:ascii="仿宋_GB2312" w:eastAsia="仿宋_GB2312" w:cs="DengXian-Regular"/>
          <w:sz w:val="32"/>
          <w:szCs w:val="32"/>
          <w:lang w:eastAsia="zh-CN"/>
        </w:rPr>
        <w:t>文化品位</w:t>
      </w:r>
      <w:r>
        <w:rPr>
          <w:rFonts w:hint="eastAsia" w:ascii="仿宋_GB2312" w:eastAsia="仿宋_GB2312" w:cs="DengXian-Regular"/>
          <w:sz w:val="32"/>
          <w:szCs w:val="32"/>
        </w:rPr>
        <w:t>的提升，注重城市特色风格的延续和塑造，把文化和城市相融合，深挖城市传统文化内涵，努力创造城市新文化内涵，营建具有吸引力的城市形象，推动社会走上生产发展、生活富强、生态良好的发展道路。</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2019年住建局将根据区政府工作安排，加强城建建设投入，加强生态建设，提高人居环境质量，促进人与自然和谐的可持续性发展。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1、住房保障管理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开展保障性安居工程建设管理工作。计划实施农村危房改造，完成上级下达农村危房改造任务数。通过保障性安居工程，完成全年保障性安居工程任务，保障性住房及时分配到位。</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2、城乡建设管理</w:t>
      </w:r>
    </w:p>
    <w:p>
      <w:pPr>
        <w:spacing w:after="0" w:line="360" w:lineRule="auto"/>
        <w:ind w:firstLine="320" w:firstLineChars="1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市政公用设施建设与管理工作。通过加大城区污水处理厂和大王店镇污水处理厂污水处理费投入，加强基础设施的建设，确保城区和大王店镇的污水得到有效的处理，节约水资源。城区公共厕所维修管理费用、益民奶牛养殖场拆迁补偿、加强了基础设施建设，达到了群众的满意。城建路灯电费，保障城区路灯正常亮化；通过及时拨付绿道绿廊土地租金，改善环境，提高城市绿化率；支持大王店镇地表水厂运营，保障大王店镇工业园区及全镇居民用水。</w:t>
      </w:r>
    </w:p>
    <w:p>
      <w:pPr>
        <w:spacing w:after="0" w:line="360" w:lineRule="auto"/>
        <w:ind w:firstLine="320" w:firstLineChars="1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（2）开展推进城镇化建设工作。通过加强农村生活垃圾市场化运营和焚烧管理，以及加强大午集团环卫市场化运营管理，改善了农村人居环境，加强环境保护工作，达到了农村受益群众的满意。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3、住建政务管理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开展综合事务管理工作。计划通过聘请保安保洁等服务，以及加强其他机关综合事务管理，提升机关及行业信息化水平，保障各类业务系统安全稳定运行。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住房和城乡建设局预算收入22821.63万元，其中一般公共预算拨款7827.75万元，基金预算拨款14993.88万元。一般公共预算拨款中财政拨款4193.15万元，上级财政提前通知转移支付3634.60万元。预算收入按功能分类包含：社会保障和就业支出542.82万元，卫生健康支出123.95万元，城乡社区支出18284.84万元，住房保障支出3870.02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住房和城乡建设局决算收入18240.05万元，其中：财政拨款收入12884.33万元，基金预算拨款收入5351.67，其他收入4.05万元（全部为利息收入）。决算收入按功能分类包含：社会保障和就业支出755.56万元，占比4%；卫生健康支出114.14万元，占比1%；节能环保支出2116.95万元，占比11%，城乡社区支出9776.80万元，占比54%，住房保障支出5476.60万元，占比30%。具体决算收入详见附件2。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2019年度区住房和城乡建设局决算收入结构图</w:t>
      </w:r>
    </w:p>
    <w:p>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 xml:space="preserve">                                   单位：万元</w:t>
      </w: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440" w:firstLineChars="200"/>
        <w:jc w:val="both"/>
        <w:rPr>
          <w:rFonts w:ascii="仿宋_GB2312" w:eastAsia="仿宋_GB2312" w:cs="DengXian-Regular"/>
          <w:sz w:val="32"/>
          <w:szCs w:val="32"/>
        </w:rPr>
      </w:pPr>
      <w:r>
        <w:drawing>
          <wp:inline distT="0" distB="0" distL="114300" distR="114300">
            <wp:extent cx="4672965" cy="2860040"/>
            <wp:effectExtent l="4445" t="4445" r="8890" b="1206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区住房和城乡建设局财政拨款决算收入比年初预算减少4581.58万元，完成年初预算的79.92%。决算收入小于预算收入的主要原因为区住房和城乡建设局部分职能划转至区综合执法局，项目预算收入减少。</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预算收入与决算收入对比情况见图2。</w:t>
      </w:r>
    </w:p>
    <w:p>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2019年度区住房和城乡建设局预算收入与决算收入对比图</w:t>
      </w:r>
      <w:bookmarkStart w:id="12" w:name="_Toc18197"/>
    </w:p>
    <w:p>
      <w:pPr>
        <w:spacing w:after="0" w:line="360" w:lineRule="auto"/>
        <w:jc w:val="center"/>
        <w:rPr>
          <w:rFonts w:ascii="仿宋_GB2312" w:eastAsia="仿宋_GB2312" w:cs="DengXian-Regular"/>
          <w:sz w:val="32"/>
          <w:szCs w:val="32"/>
        </w:rPr>
      </w:pPr>
      <w:r>
        <w:rPr>
          <w:rFonts w:hint="eastAsia" w:ascii="仿宋_GB2312" w:eastAsia="仿宋_GB2312" w:cs="DengXian-Regular"/>
          <w:sz w:val="32"/>
          <w:szCs w:val="32"/>
        </w:rPr>
        <w:t xml:space="preserve">                                   单位：万元</w:t>
      </w:r>
    </w:p>
    <w:p>
      <w:pPr>
        <w:spacing w:after="0" w:line="360" w:lineRule="auto"/>
        <w:jc w:val="center"/>
        <w:rPr>
          <w:rFonts w:ascii="仿宋_GB2312" w:eastAsia="仿宋_GB2312" w:cs="DengXian-Regular"/>
          <w:sz w:val="32"/>
          <w:szCs w:val="32"/>
        </w:rPr>
      </w:pPr>
    </w:p>
    <w:p>
      <w:pPr>
        <w:pStyle w:val="4"/>
        <w:spacing w:before="0" w:after="0"/>
        <w:ind w:firstLine="602" w:firstLineChars="200"/>
        <w:jc w:val="both"/>
        <w:rPr>
          <w:rFonts w:ascii="仿宋_GB2312" w:hAnsiTheme="minorEastAsia"/>
          <w:sz w:val="32"/>
        </w:rPr>
      </w:pPr>
      <w:r>
        <w:drawing>
          <wp:inline distT="0" distB="0" distL="114300" distR="114300">
            <wp:extent cx="4794250" cy="3239135"/>
            <wp:effectExtent l="4445" t="4445" r="20955" b="13970"/>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spacing w:before="0" w:after="0"/>
        <w:ind w:firstLine="643" w:firstLineChars="200"/>
        <w:jc w:val="both"/>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2019年区住房和城乡建设局预算支出安排22821.63万元，其中：基本支出3886.08万元，项目支出18935.55万元。预算支出按功能分类包含：社会保障和就业支出542.82万元，卫生健康支出123.95万元，城乡社区支出18284.84万元，住房保障支出3870.02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2019年区住房和城乡建设局决算支出为11655.06万元，其中：基本支出3701.26万元，项目支出7953.80万元。决算支出按功能分类包含：社会保障和就业支出755.22万元，占比6%；卫生健康支出114.14万元，占比1%；节能环保支出226.95万元，占比2%；城乡社区支出9811.71万元，占比84%；住房保障支出747.04万元，占比7%。具体决算支出详见附件2。决算支出结构如图3。</w:t>
      </w:r>
    </w:p>
    <w:p>
      <w:pPr>
        <w:spacing w:after="0" w:line="360" w:lineRule="auto"/>
        <w:jc w:val="center"/>
        <w:rPr>
          <w:rFonts w:asciiTheme="minorEastAsia" w:hAnsiTheme="minorEastAsia" w:eastAsiaTheme="minorEastAsia" w:cstheme="minorEastAsia"/>
          <w:b/>
          <w:bCs/>
          <w:sz w:val="32"/>
          <w:szCs w:val="32"/>
          <w:highlight w:val="yellow"/>
          <w:u w:color="000000"/>
        </w:rPr>
      </w:pPr>
      <w:r>
        <w:rPr>
          <w:rFonts w:hint="eastAsia" w:asciiTheme="minorEastAsia" w:hAnsiTheme="minorEastAsia" w:eastAsiaTheme="minorEastAsia" w:cstheme="minorEastAsia"/>
          <w:b/>
          <w:bCs/>
          <w:sz w:val="32"/>
          <w:szCs w:val="32"/>
          <w:u w:color="000000"/>
        </w:rPr>
        <w:t>图3  2019年度区住房和城乡建设局决算支出结构图</w:t>
      </w:r>
    </w:p>
    <w:p>
      <w:pPr>
        <w:spacing w:after="0" w:line="360" w:lineRule="auto"/>
        <w:jc w:val="center"/>
        <w:rPr>
          <w:rFonts w:asciiTheme="minorEastAsia" w:hAnsiTheme="minorEastAsia" w:eastAsiaTheme="minorEastAsia" w:cstheme="minorEastAsia"/>
          <w:b/>
          <w:bCs/>
          <w:sz w:val="32"/>
          <w:szCs w:val="32"/>
          <w:u w:color="000000"/>
        </w:rPr>
      </w:pPr>
      <w:r>
        <w:rPr>
          <w:rFonts w:hint="eastAsia" w:ascii="仿宋_GB2312" w:eastAsia="仿宋_GB2312" w:cs="DengXian-Regular"/>
          <w:sz w:val="32"/>
          <w:szCs w:val="32"/>
        </w:rPr>
        <w:t xml:space="preserve">                         单位：万元</w:t>
      </w:r>
    </w:p>
    <w:p>
      <w:pPr>
        <w:spacing w:after="0" w:line="360" w:lineRule="auto"/>
        <w:ind w:firstLine="440" w:firstLineChars="200"/>
        <w:jc w:val="both"/>
      </w:pPr>
      <w:r>
        <w:drawing>
          <wp:inline distT="0" distB="0" distL="114300" distR="114300">
            <wp:extent cx="4572000" cy="2924175"/>
            <wp:effectExtent l="4445" t="4445" r="14605" b="5080"/>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财政拨款决算支出比年初预算减少11166.57万元。决算支出完成年初预算的51.07%。</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主要原因为区住房和城乡建设局部分职能划转至区综合执法局，项目预算支出减少。</w:t>
      </w:r>
    </w:p>
    <w:p>
      <w:pPr>
        <w:spacing w:after="0" w:line="360" w:lineRule="auto"/>
        <w:ind w:firstLine="640" w:firstLineChars="200"/>
        <w:jc w:val="both"/>
        <w:rPr>
          <w:rFonts w:ascii="仿宋" w:hAnsi="仿宋" w:eastAsia="仿宋"/>
          <w:snapToGrid w:val="0"/>
          <w:sz w:val="32"/>
          <w:szCs w:val="32"/>
        </w:rPr>
      </w:pPr>
      <w:r>
        <w:rPr>
          <w:rFonts w:hint="eastAsia" w:ascii="仿宋" w:hAnsi="仿宋" w:eastAsia="仿宋"/>
          <w:snapToGrid w:val="0"/>
          <w:sz w:val="32"/>
          <w:szCs w:val="32"/>
        </w:rPr>
        <w:t>预算支出与决算支出对比情况如图4。</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图4  2019年区住房和城乡建设局预算支出与决算支出</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对比图</w:t>
      </w:r>
    </w:p>
    <w:p>
      <w:pPr>
        <w:spacing w:after="0" w:line="360" w:lineRule="auto"/>
        <w:jc w:val="center"/>
        <w:rPr>
          <w:rFonts w:ascii="仿宋_GB2312" w:eastAsia="仿宋_GB2312" w:cs="DengXian-Regular"/>
          <w:sz w:val="32"/>
          <w:szCs w:val="32"/>
        </w:rPr>
      </w:pPr>
      <w:r>
        <w:rPr>
          <w:rFonts w:hint="eastAsia" w:ascii="仿宋_GB2312" w:eastAsia="仿宋_GB2312" w:cs="DengXian-Regular"/>
          <w:sz w:val="32"/>
          <w:szCs w:val="32"/>
        </w:rPr>
        <w:t xml:space="preserve">                                单位：万元</w:t>
      </w:r>
    </w:p>
    <w:p>
      <w:pPr>
        <w:spacing w:after="0" w:line="360" w:lineRule="auto"/>
        <w:jc w:val="center"/>
        <w:rPr>
          <w:rFonts w:ascii="仿宋_GB2312" w:eastAsia="仿宋_GB2312" w:cs="DengXian-Regular"/>
          <w:sz w:val="32"/>
          <w:szCs w:val="32"/>
        </w:rPr>
      </w:pPr>
    </w:p>
    <w:p>
      <w:pPr>
        <w:spacing w:after="0" w:line="360" w:lineRule="auto"/>
        <w:jc w:val="both"/>
        <w:rPr>
          <w:rFonts w:asciiTheme="minorEastAsia" w:hAnsiTheme="minorEastAsia" w:eastAsiaTheme="minorEastAsia" w:cstheme="minorEastAsia"/>
          <w:b/>
          <w:bCs/>
          <w:sz w:val="32"/>
          <w:szCs w:val="32"/>
        </w:rPr>
      </w:pPr>
      <w:r>
        <w:drawing>
          <wp:inline distT="0" distB="0" distL="114300" distR="114300">
            <wp:extent cx="4572000" cy="2743200"/>
            <wp:effectExtent l="4445" t="4445" r="14605" b="14605"/>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after="0" w:line="360" w:lineRule="auto"/>
        <w:ind w:firstLine="640" w:firstLineChars="200"/>
        <w:jc w:val="both"/>
        <w:rPr>
          <w:rFonts w:ascii="仿宋_GB2312" w:eastAsia="仿宋_GB2312" w:cs="DengXian-Regular"/>
          <w:sz w:val="32"/>
          <w:szCs w:val="32"/>
          <w:highlight w:val="yellow"/>
        </w:rPr>
      </w:pPr>
      <w:r>
        <w:rPr>
          <w:rFonts w:hint="eastAsia" w:ascii="仿宋_GB2312" w:eastAsia="仿宋_GB2312" w:cs="DengXian-Regular"/>
          <w:sz w:val="32"/>
          <w:szCs w:val="32"/>
        </w:rPr>
        <w:t>区住房和城乡建设局2019年实际项目支出7953.80万元，决算报表中项目支出7953.80万元，实际支出与决算报表一致。</w:t>
      </w:r>
    </w:p>
    <w:p>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区住房和城乡建设局“三公”经费预算15.20万元（公务接待费0.20万元），实际支出2.16万元（公务接待费0.00万元），比预算减少13.04万元，节约率85.79%。2019年“三公”经费预算数与2018年预算数相比增加10.00万元，决算数与2018年实际支出相比，减少2.68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区住房和城乡建设局“三公”经费预算及决算明细表</w:t>
      </w:r>
    </w:p>
    <w:p>
      <w:pPr>
        <w:spacing w:after="0" w:line="540" w:lineRule="exac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4.80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-2.64</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0.20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0.20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-0.04</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4.84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15.20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-2.68</w:t>
            </w:r>
          </w:p>
        </w:tc>
      </w:tr>
    </w:tbl>
    <w:p>
      <w:pPr>
        <w:spacing w:after="0" w:line="360" w:lineRule="auto"/>
        <w:ind w:firstLine="640" w:firstLineChars="200"/>
        <w:jc w:val="both"/>
        <w:rPr>
          <w:rFonts w:ascii="仿宋_GB2312" w:eastAsia="仿宋_GB2312" w:cs="DengXian-Regular"/>
          <w:sz w:val="32"/>
          <w:szCs w:val="32"/>
          <w:highlight w:val="yellow"/>
        </w:rPr>
      </w:pPr>
      <w:r>
        <w:rPr>
          <w:rFonts w:hint="eastAsia" w:ascii="仿宋_GB2312" w:eastAsia="仿宋_GB2312" w:cs="DengXian-Regular"/>
          <w:sz w:val="32"/>
          <w:szCs w:val="32"/>
        </w:rPr>
        <w:t>1、公务接待：2019年区住房和城乡建设局公务接待费年初预算0.20万元，实际支出0.00万元，比预算减少了0.20万元，节约率100%。2019年预算数与2018年预算相比无变化，决算数与2018年实际支出相比，减少0.04万元。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根据绩效预算管理改革的有关政策和文件规定，并与保定市徐水区住房和城乡建设局沟通，绩效评价工作组以绩效预算架构为指导，以部门预算文本及相关资料为基础，制定了部门整体支出绩效评价指标体系。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主要反映结转结余率，项目资金使用率，办公自动化覆盖率，综合事务办理完成率，资金发放完成率。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产出指标指标分值为25分，下设1个二级指标：责任履行，5个三级指标：结转结余率、项目资金使用率、办公自动化覆盖率，综合事务办理完成率，资金发放完成率。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保定市徐水区住房和城乡建设局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w:t>
      </w:r>
      <w:r>
        <w:rPr>
          <w:rFonts w:hint="eastAsia" w:ascii="仿宋_GB2312" w:eastAsia="仿宋_GB2312" w:cs="DengXian-Regular"/>
          <w:sz w:val="32"/>
          <w:szCs w:val="32"/>
          <w:lang w:eastAsia="zh-CN"/>
        </w:rPr>
        <w:t>中华人民共和国预算法</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 w:hAnsi="仿宋" w:eastAsia="仿宋" w:cs="仿宋"/>
          <w:sz w:val="32"/>
          <w:szCs w:val="32"/>
        </w:rPr>
        <w:t>〈</w:t>
      </w:r>
      <w:bookmarkStart w:id="80" w:name="_GoBack"/>
      <w:bookmarkEnd w:id="80"/>
      <w:r>
        <w:rPr>
          <w:rFonts w:hint="eastAsia" w:ascii="仿宋_GB2312" w:eastAsia="仿宋_GB2312" w:cs="DengXian-Regular"/>
          <w:sz w:val="32"/>
          <w:szCs w:val="32"/>
        </w:rPr>
        <w:t>全面实施预算绩效管理推进工作方案</w:t>
      </w:r>
      <w:r>
        <w:rPr>
          <w:rFonts w:hint="eastAsia" w:ascii="仿宋_GB2312" w:hAnsi="仿宋_GB2312" w:eastAsia="仿宋_GB2312" w:cs="仿宋_GB2312"/>
          <w:sz w:val="32"/>
          <w:szCs w:val="32"/>
          <w:lang w:val="en-US" w:eastAsia="zh-CN"/>
        </w:rPr>
        <w:t>〉</w:t>
      </w:r>
      <w:r>
        <w:rPr>
          <w:rFonts w:hint="eastAsia" w:ascii="仿宋_GB2312" w:eastAsia="仿宋_GB2312" w:cs="DengXian-Regular"/>
          <w:sz w:val="32"/>
          <w:szCs w:val="32"/>
        </w:rPr>
        <w: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保定市徐水区住房和城乡建设局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经与保定市徐水区住房和城乡建设局充分沟通，并充分收集相关资料，主要包括部门职责、工作活动、预决算文本、相关管理制度、资金使用等相关资料，为制定绩效评价实施方案和指标体系奠定了基础。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基于对保定市徐水区住房和城乡建设局的沟通了解及相关资料的收集，制定绩效评价实施方案和体系，由保定市徐水区财政局相关人员对评价方案及评价体系进行修正，确定最终方案。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保定市徐水区住房和城乡建设局开展现场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在该阶段，我们对所有的指标评分值进行了重新复核，确保其一致性。报告撰写完成后经过内部讨论、与委托方交换沟通、审核修改报告，最终形成正式报告。</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保定市徐水区住房和城乡建设局部门整体支出绩效评价总得分为84分，综合绩效评价等级为“良”。各项得分情况如下</w:t>
      </w:r>
      <w:r>
        <w:rPr>
          <w:rFonts w:hint="eastAsia" w:ascii="仿宋_GB2312" w:eastAsia="仿宋_GB2312" w:cs="Times New Roman" w:hAnsiTheme="minorEastAsia"/>
          <w:sz w:val="32"/>
          <w:szCs w:val="32"/>
          <w:u w:color="000000"/>
        </w:rPr>
        <w:t>：</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住房和城乡建设局职能配置内设机构和人员编制规定》和徐水区住房和城乡建设局2019年预算文本—部门职责工作活动绩效目标，评价工作组认为区住房和城乡建设局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根据区住房和城乡建设局2019年预算文本—部门职责工作活动绩效目标（详见附件4），绩效目标与部门履职、年度工作任务相符；工作活动有明确的绩效目标，绩效目标与部门职责目标、部门年度工作目标一致。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根据区住房和城乡建设局2019年预算文本—部门职责工作活动绩效目标，绩效目标将部门整体的绩效目标细化分解为具体的工作任务，工作活动、预算项目绩效指标清晰、细化、可评价、可衡量；工作活动、预算项目绩效指标的评价标准清晰、可衡量；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根据区住房和城乡建设局2019年预算文本及相关会计资料，区住房和城乡建设局所有收入均已纳入部门预算，部门支出按基本支出、项目支出分别编制。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2019年预算文本—部门项目支出预算表，住房和城乡建设局2019年预算项目共23个（详见附件2-2-2），涉及资金18935.55万元，所有项目均细化到具体用款单位及项目资金额度。项目预算细化率=（18935.55/18935.55）*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该指标主要考核截至2019年底区住房和城乡建设局在职人员控制情况，通过在职人员控制率衡量。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住房和城乡建设局职能配置内设机构和人员编制规定》的通知，徐水区住房和城乡建设局机关行政编制为12人。根据区住房和城乡建设局2019年决算文本-基本数字表，截至2019年底，在职人员209人，其中行政人员11人，非参公事业人员198人，行政在职人员控制率=（11/12）*100%=92%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37</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根据区住房和城乡建设局提供的预算指标文件，2019年共调减预算收入4880.32万元，年初预算数为22821.63万元，预算收入调整率为21.38%，扣2分。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根据区住房和城乡建设局2019年预算文本、决算文本，2019年收入预算数22821.63万元，收入决算数18240.05万元，收入完成率=（18240.05/22821.63）*100%=79.92%</w:t>
      </w:r>
      <w:r>
        <w:rPr>
          <w:rFonts w:ascii="Arial" w:hAnsi="Arial" w:eastAsia="仿宋_GB2312" w:cs="Arial"/>
          <w:sz w:val="32"/>
          <w:szCs w:val="32"/>
        </w:rPr>
        <w:t>≤</w:t>
      </w:r>
      <w:r>
        <w:rPr>
          <w:rFonts w:hint="eastAsia" w:ascii="仿宋_GB2312" w:eastAsia="仿宋_GB2312" w:cs="DengXian-Regular"/>
          <w:sz w:val="32"/>
          <w:szCs w:val="32"/>
        </w:rPr>
        <w:t>95%。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根据区住房和城乡建设局提供的保定市财政局下发的预算指标文件，区住房和城乡建设局2019年度预算支出的调减数为4880.32万元，年初预算数为22821.63万元，预算支出调整率为21.38%，扣2分。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根据区住房和城乡建设局提供的2019年决算文本，部门决算财政拨款支出数11655.06万元，财政拨款收入数18236.00万元，财政拨款支出率=（11655.06/18236.00）*100%=63.91%</w:t>
      </w:r>
      <w:r>
        <w:rPr>
          <w:rFonts w:ascii="Arial" w:hAnsi="Arial" w:eastAsia="仿宋_GB2312" w:cs="Arial"/>
          <w:sz w:val="32"/>
          <w:szCs w:val="32"/>
        </w:rPr>
        <w:t>≤</w:t>
      </w:r>
      <w:r>
        <w:rPr>
          <w:rFonts w:hint="eastAsia" w:ascii="仿宋_GB2312" w:eastAsia="仿宋_GB2312" w:cs="DengXian-Regular"/>
          <w:sz w:val="32"/>
          <w:szCs w:val="32"/>
        </w:rPr>
        <w:t>90%。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根据区住房和城乡建设局2019年预算文本及决算文本，“三公”经费年初预算数15.20万元，年末决算数2.16万元，“三公”经费控制率=（2.16/15.20）*100%=14.21%</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根据区住房和城乡建设局2019年预算文本及决算文本，政府采购年初预算数5046.05万元，年末决算数408.02万元，政府采购执行率为8.09%。</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该指标实际得分为1分。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2019年明细账、会计凭证等相关资料，区住房和城乡建设局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经核查区住房和城乡建设局2019年决算文本、明细账及总账，区住房和城乡建设局决算文本数据均与明细账、总账一致。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工作制度涵盖了预算业务管理制度、财务收支业务管理制度等相关制度，经检查区住房和城乡建设局付款流程审批单、资产盘点表等资料，区住房和城乡建设局已按照相关管理制度的规定执行。但未见会计岗位制度等，扣1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区住房和城乡建设局2019年按政府信息公开的有关要求在保定市徐水区人民政府网公开了2019年的预、决算情况。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根据区住房和城乡建设局提供的会计账簿、凭证及其他相关资料，区住房和城乡建设局会计信息资料真实完整。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建立了固定资产台账，资产保存完整，2019年新增资产92.52万元，包含：办公家具（4.32万元）、电脑及计算机设备（4.98万元）、空调及热水器（3.23万元）、无人机（1.45万元）、园林划转固定资产（75.65万元）、消防检测设备（2.89万元），资产购置及划转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住房和城乡建设局2019年一般项目部门绩效自评表，区住房和城乡建设局2019年开展绩效自评的项目数为9个，年初预算文本项目数23个，要求自评项目个数9个，自评覆盖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区住房和城乡建设局2019年参评数量9个，绩效评价结果达到优等的数量9个，绩效评价优等率为100%。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该一级指标包含责任履行一个二级指标，主要反映结转结余率，项目资金使用率，安全保卫及卫生整洁天数，收件办结率，综合事务办理完成率。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办公自动化覆盖率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综合事务办理完成率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资金发放完成率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22</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根据区住房和城乡建设局2019年决算文本及相关资料，区住房和城乡建设局2019年结转结余资金6584.99万元，决算收入18240.05万元，结转结余率36%，大于5%。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区住房和城乡建设局2019年实际支出项目资金总额7953.80万元，年初预算共23个项目，预算数18935.55万元，项目资金使用率为42%，由于部门职能划转，项目支出减少。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3.办公自动化覆盖率（5分）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该指标主要评价部门信息化水平，保障各类业务系统安全稳定运行情况，通过该指标衡量。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区住房和城乡建设局2019年办公自动化覆盖率为100%，保障了业务系统安全稳定运行，评价等级为“优”。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4.综合事务办理完成率（5分）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该指标主要评价综合事务办理产出结果，通过综合事务办理完成率衡量。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区住房和城乡建设局2019年综合事务办理完成率100%，评价等级为“优”。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5.资金发放完成率（5分）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该指标主要评价各项资金发放完成情况，通过该指标衡量。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区住房和城乡建设局2019年各项资金发放完成率100%，评价等级为“优”。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64638561"/>
      <w:bookmarkStart w:id="73" w:name="_Toc492652784"/>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住房和城乡建设局提供的相关资料，区住房和城乡建设局履行职责对社会发展所带来的社会效益较显著，有效的提高了人居环境质量，促进人与自然和谐的可持续性发展。提升了城市文化品位，把文化和城市相融合，营建了具有吸引力的城市形象，推动社会走上生产发展、生活富强、生态良好的发展道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您对徐水区城市容貌环境是否满意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44</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6</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94.00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您对徐水区市政公共设施建设是否满意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95.00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您对住建局相关政策宣传是否满意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29</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21</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79.00</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经计算，总体得分为89.33分，大于90分，评价等级为“良”。</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该指标实际得分3分。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通过对各指标得分及扣分原因的分析，区住房和城乡建设局2019年部门整体支出基本按相关要求执行预算、决算，完成了绩效目标，资金使用效益良好。通过评价，也发现一些不足之处，具体情况如下：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1.预算决算差额较大</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区住房和城乡建设局2019年预算收入、支出预算数均为22821.63万元，决算收入18240.05万元，较预算收入减少4581.58万元，减少比例20.08%；决算支出11655.06万元，较预算支出减少11166.57万元，减少比例48.93%。决算数较预算数减少的主要原因是区住房和城乡建设局部分职能划转至区综合执法局，项目预算收入支出减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2.预算调整较多</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区住房和城乡建设局2019年预算调减4880.32万元，2019年当年调整预算占年初预算的21.38%，预算调整较多。</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3.未按预算编制执行政府采购</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住房和城乡建设局2019年政府采购预算5046.05万元，拟对徐水区农村垃圾焚烧处理项目700.00万元、大午集团环卫市场化运营项目50.60万元、徐水区农村生活垃圾处理市场化运营项目4295.45万元进行政府采购，具体预算金额5046.05万元。</w:t>
      </w:r>
    </w:p>
    <w:p>
      <w:pPr>
        <w:spacing w:after="0" w:line="360" w:lineRule="auto"/>
        <w:ind w:firstLine="640" w:firstLineChars="200"/>
        <w:jc w:val="both"/>
        <w:textAlignment w:val="baseline"/>
        <w:rPr>
          <w:rFonts w:ascii="仿宋_GB2312" w:hAnsi="仿宋_GB2312" w:eastAsia="仿宋_GB2312" w:cs="仿宋_GB2312"/>
          <w:color w:val="000000" w:themeColor="text1"/>
          <w:sz w:val="32"/>
          <w:szCs w:val="32"/>
        </w:rPr>
      </w:pPr>
      <w:r>
        <w:rPr>
          <w:rFonts w:hint="eastAsia" w:ascii="仿宋_GB2312" w:eastAsia="仿宋_GB2312" w:cs="DengXian-Regular"/>
          <w:color w:val="000000" w:themeColor="text1"/>
          <w:sz w:val="32"/>
          <w:szCs w:val="32"/>
        </w:rPr>
        <w:t>201</w:t>
      </w:r>
      <w:r>
        <w:rPr>
          <w:rFonts w:ascii="仿宋_GB2312" w:eastAsia="仿宋_GB2312" w:cs="DengXian-Regular"/>
          <w:color w:val="000000" w:themeColor="text1"/>
          <w:sz w:val="32"/>
          <w:szCs w:val="32"/>
        </w:rPr>
        <w:t>9</w:t>
      </w:r>
      <w:r>
        <w:rPr>
          <w:rFonts w:hint="eastAsia" w:ascii="仿宋_GB2312" w:eastAsia="仿宋_GB2312" w:cs="DengXian-Regular"/>
          <w:color w:val="000000" w:themeColor="text1"/>
          <w:sz w:val="32"/>
          <w:szCs w:val="32"/>
        </w:rPr>
        <w:t>年度政府实际采购支出合计408.02万元，从采购类型来看，</w:t>
      </w:r>
      <w:r>
        <w:rPr>
          <w:rFonts w:ascii="仿宋_GB2312" w:hAnsi="仿宋_GB2312" w:eastAsia="仿宋_GB2312" w:cs="仿宋_GB2312"/>
          <w:color w:val="000000" w:themeColor="text1"/>
          <w:sz w:val="32"/>
          <w:szCs w:val="32"/>
        </w:rPr>
        <w:t>政府采购货物</w:t>
      </w:r>
      <w:r>
        <w:rPr>
          <w:rFonts w:hint="eastAsia" w:ascii="仿宋_GB2312" w:hAnsi="仿宋_GB2312" w:eastAsia="仿宋_GB2312" w:cs="仿宋_GB2312"/>
          <w:color w:val="000000" w:themeColor="text1"/>
          <w:sz w:val="32"/>
          <w:szCs w:val="32"/>
        </w:rPr>
        <w:t>支出19.34</w:t>
      </w:r>
      <w:r>
        <w:rPr>
          <w:rFonts w:ascii="仿宋_GB2312" w:hAnsi="仿宋_GB2312" w:eastAsia="仿宋_GB2312" w:cs="仿宋_GB2312"/>
          <w:color w:val="000000" w:themeColor="text1"/>
          <w:sz w:val="32"/>
          <w:szCs w:val="32"/>
        </w:rPr>
        <w:t xml:space="preserve"> 万元、政府采购工程</w:t>
      </w:r>
      <w:r>
        <w:rPr>
          <w:rFonts w:hint="eastAsia" w:ascii="仿宋_GB2312" w:hAnsi="仿宋_GB2312" w:eastAsia="仿宋_GB2312" w:cs="仿宋_GB2312"/>
          <w:color w:val="000000" w:themeColor="text1"/>
          <w:sz w:val="32"/>
          <w:szCs w:val="32"/>
        </w:rPr>
        <w:t>支出330.18</w:t>
      </w:r>
      <w:r>
        <w:rPr>
          <w:rFonts w:ascii="仿宋_GB2312" w:hAnsi="仿宋_GB2312" w:eastAsia="仿宋_GB2312" w:cs="仿宋_GB2312"/>
          <w:color w:val="000000" w:themeColor="text1"/>
          <w:sz w:val="32"/>
          <w:szCs w:val="32"/>
        </w:rPr>
        <w:t>万元、政府采购服务</w:t>
      </w:r>
      <w:r>
        <w:rPr>
          <w:rFonts w:hint="eastAsia" w:ascii="仿宋_GB2312" w:hAnsi="仿宋_GB2312" w:eastAsia="仿宋_GB2312" w:cs="仿宋_GB2312"/>
          <w:color w:val="000000" w:themeColor="text1"/>
          <w:sz w:val="32"/>
          <w:szCs w:val="32"/>
        </w:rPr>
        <w:t>支出58.5</w:t>
      </w:r>
      <w:r>
        <w:rPr>
          <w:rFonts w:ascii="仿宋_GB2312" w:hAnsi="仿宋_GB2312" w:eastAsia="仿宋_GB2312" w:cs="仿宋_GB2312"/>
          <w:color w:val="000000" w:themeColor="text1"/>
          <w:sz w:val="32"/>
          <w:szCs w:val="32"/>
        </w:rPr>
        <w:t>万元。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本年未按相关规定及预算编制执行政府采购。</w:t>
      </w:r>
    </w:p>
    <w:p>
      <w:pPr>
        <w:spacing w:after="0" w:line="360" w:lineRule="auto"/>
        <w:ind w:firstLine="643" w:firstLineChars="200"/>
        <w:jc w:val="both"/>
        <w:textAlignment w:val="baseline"/>
        <w:rPr>
          <w:rFonts w:ascii="楷体" w:hAnsi="楷体" w:eastAsia="楷体" w:cs="楷体"/>
          <w:b/>
          <w:bCs/>
          <w:sz w:val="32"/>
          <w:szCs w:val="32"/>
        </w:rPr>
      </w:pPr>
      <w:r>
        <w:rPr>
          <w:rFonts w:hint="eastAsia" w:ascii="楷体" w:hAnsi="楷体" w:eastAsia="楷体" w:cs="楷体"/>
          <w:b/>
          <w:bCs/>
          <w:sz w:val="32"/>
          <w:szCs w:val="32"/>
        </w:rPr>
        <w:t>六、绩效评价意见及建议</w:t>
      </w:r>
      <w:bookmarkEnd w:id="76"/>
    </w:p>
    <w:bookmarkEnd w:id="75"/>
    <w:p>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部门预算编制工作要全面反映和体现部门职责，根据具体情况及时调整预算的编制，缩小预算与决算差额，减少中期预算调整，提高预算编制质量，发挥预算约束作用。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p>
    <w:p>
      <w:pPr>
        <w:spacing w:after="0" w:line="360" w:lineRule="auto"/>
        <w:jc w:val="both"/>
        <w:textAlignment w:val="baseline"/>
        <w:rPr>
          <w:rFonts w:ascii="仿宋_GB2312" w:eastAsia="仿宋_GB2312" w:cs="DengXian-Regular"/>
          <w:sz w:val="32"/>
          <w:szCs w:val="32"/>
        </w:rPr>
      </w:pPr>
    </w:p>
    <w:p>
      <w:pPr>
        <w:spacing w:after="0" w:line="360" w:lineRule="auto"/>
        <w:ind w:firstLine="640" w:firstLineChars="200"/>
        <w:jc w:val="both"/>
        <w:textAlignment w:val="baseline"/>
        <w:rPr>
          <w:rFonts w:ascii="仿宋_GB2312" w:eastAsia="仿宋_GB2312" w:cs="DengXian-Regular"/>
          <w:sz w:val="32"/>
          <w:szCs w:val="32"/>
        </w:rPr>
      </w:pPr>
    </w:p>
    <w:p>
      <w:pPr>
        <w:spacing w:after="0" w:line="360" w:lineRule="auto"/>
        <w:ind w:left="1280" w:hanging="1280" w:hangingChars="4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附件：1.保定市徐水区住房和城乡建设局基本情况及主要职责</w:t>
      </w:r>
    </w:p>
    <w:p>
      <w:pPr>
        <w:spacing w:after="0" w:line="540" w:lineRule="exact"/>
        <w:ind w:left="1277" w:leftChars="435" w:hanging="320" w:hangingChars="1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2.2019年度保定市徐水区住房和城乡建设局收支预算及决算明细表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left="1277" w:leftChars="435" w:hanging="320" w:hangingChars="1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2019年徐水区住房和城乡建设局工作活动绩效目标、绩效指标一览表</w:t>
      </w:r>
    </w:p>
    <w:p>
      <w:pPr>
        <w:spacing w:line="540" w:lineRule="exact"/>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pStyle w:val="12"/>
        <w:spacing w:line="360" w:lineRule="auto"/>
        <w:ind w:right="220" w:rightChars="100" w:firstLine="0"/>
        <w:rPr>
          <w:rFonts w:ascii="仿宋_GB2312" w:eastAsia="仿宋_GB2312" w:hAnsiTheme="minorEastAsia"/>
          <w:color w:val="auto"/>
          <w:sz w:val="32"/>
          <w:szCs w:val="32"/>
        </w:rPr>
      </w:pPr>
      <w:r>
        <w:rPr>
          <w:rFonts w:hint="eastAsia" w:ascii="仿宋_GB2312" w:eastAsia="仿宋_GB2312" w:hAnsiTheme="minorEastAsia"/>
          <w:color w:val="auto"/>
          <w:sz w:val="32"/>
          <w:szCs w:val="32"/>
        </w:rPr>
        <w:t>河北中盛信达会计师事务所          中国注册会计师：</w:t>
      </w:r>
    </w:p>
    <w:p>
      <w:pPr>
        <w:pStyle w:val="12"/>
        <w:spacing w:line="360" w:lineRule="auto"/>
        <w:ind w:right="220" w:rightChars="100"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 xml:space="preserve">有限公司  </w:t>
      </w:r>
    </w:p>
    <w:p>
      <w:pPr>
        <w:pStyle w:val="12"/>
        <w:spacing w:line="660" w:lineRule="exact"/>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中国·保定中国注册会计师：</w:t>
      </w:r>
    </w:p>
    <w:p>
      <w:pPr>
        <w:pStyle w:val="12"/>
        <w:spacing w:line="660" w:lineRule="exact"/>
        <w:ind w:firstLine="640" w:firstLineChars="200"/>
        <w:rPr>
          <w:rFonts w:ascii="仿宋_GB2312" w:eastAsia="仿宋_GB2312" w:hAnsiTheme="minorEastAsia"/>
          <w:color w:val="auto"/>
          <w:sz w:val="32"/>
          <w:szCs w:val="32"/>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 xml:space="preserve">          2020年12月9日</w:t>
      </w:r>
    </w:p>
    <w:bookmarkEnd w:id="77"/>
    <w:p>
      <w:pPr>
        <w:spacing w:after="0" w:line="360" w:lineRule="auto"/>
        <w:jc w:val="both"/>
        <w:textAlignment w:val="baseline"/>
        <w:rPr>
          <w:rFonts w:ascii="仿宋_GB2312" w:eastAsia="仿宋_GB2312" w:cs="Times New Roman" w:hAnsiTheme="minorEastAsia"/>
          <w:sz w:val="32"/>
          <w:szCs w:val="32"/>
          <w:u w:color="000000"/>
        </w:rPr>
      </w:pPr>
    </w:p>
    <w:sectPr>
      <w:footerReference r:id="rId6"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7</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07A"/>
    <w:rsid w:val="002D2112"/>
    <w:rsid w:val="002D53D7"/>
    <w:rsid w:val="002D5508"/>
    <w:rsid w:val="002D5FC1"/>
    <w:rsid w:val="002D7AB3"/>
    <w:rsid w:val="002E1D3C"/>
    <w:rsid w:val="002E1F73"/>
    <w:rsid w:val="002E269D"/>
    <w:rsid w:val="002E3460"/>
    <w:rsid w:val="002E70AE"/>
    <w:rsid w:val="002F0C41"/>
    <w:rsid w:val="002F5B6A"/>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52"/>
    <w:rsid w:val="003A536E"/>
    <w:rsid w:val="003B6DEC"/>
    <w:rsid w:val="003B79D3"/>
    <w:rsid w:val="003C2B92"/>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515B"/>
    <w:rsid w:val="00477959"/>
    <w:rsid w:val="00486217"/>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C5444"/>
    <w:rsid w:val="00AC70E1"/>
    <w:rsid w:val="00AD1D29"/>
    <w:rsid w:val="00AD328E"/>
    <w:rsid w:val="00AD5147"/>
    <w:rsid w:val="00AE0837"/>
    <w:rsid w:val="00AE11C8"/>
    <w:rsid w:val="00AE355C"/>
    <w:rsid w:val="00AE4EFC"/>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741"/>
    <w:rsid w:val="00BA0721"/>
    <w:rsid w:val="00BA1883"/>
    <w:rsid w:val="00BA227D"/>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48A3"/>
    <w:rsid w:val="00CF5081"/>
    <w:rsid w:val="00D058E4"/>
    <w:rsid w:val="00D07178"/>
    <w:rsid w:val="00D11C0B"/>
    <w:rsid w:val="00D11EE9"/>
    <w:rsid w:val="00D13F47"/>
    <w:rsid w:val="00D14E66"/>
    <w:rsid w:val="00D17631"/>
    <w:rsid w:val="00D17CD3"/>
    <w:rsid w:val="00D21B22"/>
    <w:rsid w:val="00D24AEB"/>
    <w:rsid w:val="00D27902"/>
    <w:rsid w:val="00D27984"/>
    <w:rsid w:val="00D31D50"/>
    <w:rsid w:val="00D323E9"/>
    <w:rsid w:val="00D34F5B"/>
    <w:rsid w:val="00D35023"/>
    <w:rsid w:val="00D403B8"/>
    <w:rsid w:val="00D45C1B"/>
    <w:rsid w:val="00D45E14"/>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5D64"/>
    <w:rsid w:val="00E07ABB"/>
    <w:rsid w:val="00E07D8F"/>
    <w:rsid w:val="00E13762"/>
    <w:rsid w:val="00E14E2F"/>
    <w:rsid w:val="00E1552D"/>
    <w:rsid w:val="00E1640B"/>
    <w:rsid w:val="00E2246A"/>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131A"/>
    <w:rsid w:val="00FC224A"/>
    <w:rsid w:val="00FC43D6"/>
    <w:rsid w:val="00FD2208"/>
    <w:rsid w:val="00FD2EC4"/>
    <w:rsid w:val="00FD63D3"/>
    <w:rsid w:val="00FD717D"/>
    <w:rsid w:val="00FF1239"/>
    <w:rsid w:val="00FF1AC1"/>
    <w:rsid w:val="00FF5DE3"/>
    <w:rsid w:val="00FF6EAF"/>
    <w:rsid w:val="00FF7408"/>
    <w:rsid w:val="0107054B"/>
    <w:rsid w:val="013B4BAD"/>
    <w:rsid w:val="01F65399"/>
    <w:rsid w:val="025A2526"/>
    <w:rsid w:val="026A1A9F"/>
    <w:rsid w:val="027A7C1E"/>
    <w:rsid w:val="03226A0E"/>
    <w:rsid w:val="03F32D75"/>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897689"/>
    <w:rsid w:val="0E9172D3"/>
    <w:rsid w:val="0EF1422C"/>
    <w:rsid w:val="0F3B23D4"/>
    <w:rsid w:val="0F3B3DD7"/>
    <w:rsid w:val="0FED5983"/>
    <w:rsid w:val="107B6AE8"/>
    <w:rsid w:val="11195DC6"/>
    <w:rsid w:val="115A70AD"/>
    <w:rsid w:val="116421D6"/>
    <w:rsid w:val="11EA1B00"/>
    <w:rsid w:val="121F5AC5"/>
    <w:rsid w:val="125037BB"/>
    <w:rsid w:val="12521250"/>
    <w:rsid w:val="12524B60"/>
    <w:rsid w:val="12BE63A7"/>
    <w:rsid w:val="12E866AF"/>
    <w:rsid w:val="130C55D8"/>
    <w:rsid w:val="13244A23"/>
    <w:rsid w:val="13EE6B6B"/>
    <w:rsid w:val="1472386E"/>
    <w:rsid w:val="148F0FC6"/>
    <w:rsid w:val="151600A7"/>
    <w:rsid w:val="156D4AE7"/>
    <w:rsid w:val="159F345A"/>
    <w:rsid w:val="15E43EF8"/>
    <w:rsid w:val="16A81136"/>
    <w:rsid w:val="16AC4207"/>
    <w:rsid w:val="170473F7"/>
    <w:rsid w:val="178A56FB"/>
    <w:rsid w:val="17A02149"/>
    <w:rsid w:val="17A8647B"/>
    <w:rsid w:val="18253B4C"/>
    <w:rsid w:val="18DC722A"/>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7B214C6"/>
    <w:rsid w:val="282C171E"/>
    <w:rsid w:val="2849297F"/>
    <w:rsid w:val="2936596A"/>
    <w:rsid w:val="294826A7"/>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4EC2A7D"/>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AF152BF"/>
    <w:rsid w:val="3B3315C9"/>
    <w:rsid w:val="3B3666AA"/>
    <w:rsid w:val="3B5D03F9"/>
    <w:rsid w:val="3B9C69ED"/>
    <w:rsid w:val="3C075E40"/>
    <w:rsid w:val="3C0F314C"/>
    <w:rsid w:val="3C8400FD"/>
    <w:rsid w:val="3C8D5215"/>
    <w:rsid w:val="3CB96E1E"/>
    <w:rsid w:val="3DA3127D"/>
    <w:rsid w:val="3E2A5A13"/>
    <w:rsid w:val="3E6A5C1B"/>
    <w:rsid w:val="3E951BD3"/>
    <w:rsid w:val="3EB91E59"/>
    <w:rsid w:val="3FA23A80"/>
    <w:rsid w:val="3FB12BEA"/>
    <w:rsid w:val="3FB75DF9"/>
    <w:rsid w:val="418368ED"/>
    <w:rsid w:val="4205112A"/>
    <w:rsid w:val="425C64FC"/>
    <w:rsid w:val="4278675D"/>
    <w:rsid w:val="431F105C"/>
    <w:rsid w:val="43A12D42"/>
    <w:rsid w:val="43F003B4"/>
    <w:rsid w:val="446458DA"/>
    <w:rsid w:val="446645C4"/>
    <w:rsid w:val="44E00C2F"/>
    <w:rsid w:val="44F12828"/>
    <w:rsid w:val="453F4EE8"/>
    <w:rsid w:val="457E0C0E"/>
    <w:rsid w:val="45A27895"/>
    <w:rsid w:val="4654463C"/>
    <w:rsid w:val="469D1E1F"/>
    <w:rsid w:val="4703453A"/>
    <w:rsid w:val="47401AE3"/>
    <w:rsid w:val="47847F9B"/>
    <w:rsid w:val="479F407C"/>
    <w:rsid w:val="47B6276E"/>
    <w:rsid w:val="47D7714D"/>
    <w:rsid w:val="48CA305E"/>
    <w:rsid w:val="491D1161"/>
    <w:rsid w:val="4945471C"/>
    <w:rsid w:val="49C23604"/>
    <w:rsid w:val="4A6500D9"/>
    <w:rsid w:val="4B4D56DB"/>
    <w:rsid w:val="4BCB58DC"/>
    <w:rsid w:val="4BE87F26"/>
    <w:rsid w:val="4C017FDD"/>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035101"/>
    <w:rsid w:val="50891C17"/>
    <w:rsid w:val="520E7D39"/>
    <w:rsid w:val="527310FD"/>
    <w:rsid w:val="52C145B3"/>
    <w:rsid w:val="532C19FA"/>
    <w:rsid w:val="536C046F"/>
    <w:rsid w:val="53777260"/>
    <w:rsid w:val="53AD0142"/>
    <w:rsid w:val="53BD324D"/>
    <w:rsid w:val="53DA3FDB"/>
    <w:rsid w:val="54B52F23"/>
    <w:rsid w:val="559025B5"/>
    <w:rsid w:val="55BE6F35"/>
    <w:rsid w:val="56AB5747"/>
    <w:rsid w:val="571818A0"/>
    <w:rsid w:val="57466A30"/>
    <w:rsid w:val="57E7750E"/>
    <w:rsid w:val="582C3304"/>
    <w:rsid w:val="583E683E"/>
    <w:rsid w:val="584263FC"/>
    <w:rsid w:val="58AA248A"/>
    <w:rsid w:val="592757C1"/>
    <w:rsid w:val="5A097D45"/>
    <w:rsid w:val="5A232744"/>
    <w:rsid w:val="5A8E433F"/>
    <w:rsid w:val="5ACC5639"/>
    <w:rsid w:val="5AFE0937"/>
    <w:rsid w:val="5B022AFF"/>
    <w:rsid w:val="5B1C238B"/>
    <w:rsid w:val="5B722A10"/>
    <w:rsid w:val="5BB72396"/>
    <w:rsid w:val="5BDA2541"/>
    <w:rsid w:val="5C8E70AE"/>
    <w:rsid w:val="5C9700DF"/>
    <w:rsid w:val="5CFF5AEE"/>
    <w:rsid w:val="5D5260D6"/>
    <w:rsid w:val="5E4106DA"/>
    <w:rsid w:val="5E4B362D"/>
    <w:rsid w:val="5E4B3828"/>
    <w:rsid w:val="5EC32979"/>
    <w:rsid w:val="5EFC5263"/>
    <w:rsid w:val="5F2B51D9"/>
    <w:rsid w:val="5F37440C"/>
    <w:rsid w:val="5F9E1395"/>
    <w:rsid w:val="609E7926"/>
    <w:rsid w:val="60CC769A"/>
    <w:rsid w:val="60F3280A"/>
    <w:rsid w:val="615A0826"/>
    <w:rsid w:val="616E5025"/>
    <w:rsid w:val="62117B48"/>
    <w:rsid w:val="6233066F"/>
    <w:rsid w:val="625714F8"/>
    <w:rsid w:val="62AF2B34"/>
    <w:rsid w:val="62D7081D"/>
    <w:rsid w:val="632E3BC3"/>
    <w:rsid w:val="63687194"/>
    <w:rsid w:val="638E50BC"/>
    <w:rsid w:val="63A16890"/>
    <w:rsid w:val="63A90999"/>
    <w:rsid w:val="64D27A6F"/>
    <w:rsid w:val="65765688"/>
    <w:rsid w:val="65A40D91"/>
    <w:rsid w:val="65AD4BAF"/>
    <w:rsid w:val="661425C0"/>
    <w:rsid w:val="66F55A6B"/>
    <w:rsid w:val="66FE22BD"/>
    <w:rsid w:val="67327F2E"/>
    <w:rsid w:val="674609A7"/>
    <w:rsid w:val="67465B30"/>
    <w:rsid w:val="676C468C"/>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3E1444"/>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C7C70AA"/>
    <w:rsid w:val="7CED7E89"/>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zys\2020&#24180;\&#19987;&#23457;\&#36827;&#34892;&#20013;\&#32489;&#25928;&#35780;&#20215;\&#24464;&#27700;&#20303;&#24314;&#23616;&#25972;&#20307;&#25903;&#20986;&#35780;&#20215;\&#34920;&#2668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zys\2020&#24180;\&#19987;&#23457;\&#36827;&#34892;&#20013;\&#32489;&#25928;&#35780;&#20215;\&#24464;&#27700;&#20303;&#24314;&#23616;&#25972;&#20307;&#25903;&#20986;&#35780;&#20215;\&#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2019年决算收入结构图</a:t>
            </a:r>
            <a:endParaRPr sz="1400" b="0" i="0" u="none" strike="noStrike" baseline="0">
              <a:solidFill>
                <a:srgbClr val="595959">
                  <a:alpha val="100000"/>
                </a:srgbClr>
              </a:solidFill>
              <a:latin typeface="等线" panose="02010600030101010101" charset="-122"/>
              <a:ea typeface="等线" panose="02010600030101010101" charset="-122"/>
              <a:cs typeface="等线"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dPt>
          <c:dLbls>
            <c:dLbl>
              <c:idx val="0"/>
              <c:layout>
                <c:manualLayout>
                  <c:x val="-0.135973987026515"/>
                  <c:y val="-0.016094173464529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等线" panose="02010600030101010101" charset="-122"/>
                        <a:ea typeface="等线" panose="02010600030101010101" charset="-122"/>
                        <a:cs typeface="等线" panose="02010600030101010101" charset="-122"/>
                      </a:rPr>
                      <a:t>755.56,4</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9319185776988"/>
                  <c:y val="-0.0017590716903283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等线" panose="02010600030101010101" charset="-122"/>
                        <a:ea typeface="等线" panose="02010600030101010101" charset="-122"/>
                        <a:cs typeface="等线" panose="02010600030101010101" charset="-122"/>
                      </a:rPr>
                      <a:t>114.14,1</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20424657676296"/>
                  <c:y val="0.046494026080160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等线" panose="02010600030101010101" charset="-122"/>
                        <a:ea typeface="等线" panose="02010600030101010101" charset="-122"/>
                        <a:cs typeface="等线" panose="02010600030101010101" charset="-122"/>
                      </a:rPr>
                      <a:t>2116.95,12</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7220182572678"/>
                  <c:y val="-0.023272508067049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等线" panose="02010600030101010101" charset="-122"/>
                        <a:ea typeface="等线" panose="02010600030101010101" charset="-122"/>
                        <a:cs typeface="等线" panose="02010600030101010101" charset="-122"/>
                      </a:rPr>
                      <a:t>9776.80,54</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82292243350556"/>
                  <c:y val="-0.067917034653454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5476.60</a:t>
                    </a:r>
                    <a:r>
                      <a:rPr lang="en-US" altLang="zh-CN"/>
                      <a:t>,30%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87557603686636"/>
                      <c:h val="0.061054994388327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[工作簿1]Sheet1!$D$6:$D$10</c:f>
              <c:strCache>
                <c:ptCount val="5"/>
                <c:pt idx="0">
                  <c:v>社会保障和就业支出</c:v>
                </c:pt>
                <c:pt idx="1">
                  <c:v>卫生健康支出</c:v>
                </c:pt>
                <c:pt idx="2">
                  <c:v>节能环保支出</c:v>
                </c:pt>
                <c:pt idx="3">
                  <c:v>城乡社区支出</c:v>
                </c:pt>
                <c:pt idx="4">
                  <c:v>住房保障支出</c:v>
                </c:pt>
              </c:strCache>
            </c:strRef>
          </c:cat>
          <c:val>
            <c:numRef>
              <c:f>[工作簿1]Sheet1!$E$6:$E$10</c:f>
              <c:numCache>
                <c:formatCode>General</c:formatCode>
                <c:ptCount val="5"/>
                <c:pt idx="0">
                  <c:v>755.56</c:v>
                </c:pt>
                <c:pt idx="1">
                  <c:v>114.14</c:v>
                </c:pt>
                <c:pt idx="2">
                  <c:v>2116.95</c:v>
                </c:pt>
                <c:pt idx="3" c:formatCode="0.00_ ">
                  <c:v>9776.8</c:v>
                </c:pt>
                <c:pt idx="4" c:formatCode="0.00_ ">
                  <c:v>5476.6</c:v>
                </c:pt>
              </c:numCache>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dPt>
          <c:dLbls>
            <c:delete val="1"/>
          </c:dLbls>
          <c:cat>
            <c:strRef>
              <c:f>[工作簿1]Sheet1!$D$6:$D$10</c:f>
              <c:strCache>
                <c:ptCount val="5"/>
                <c:pt idx="0">
                  <c:v>社会保障和就业支出</c:v>
                </c:pt>
                <c:pt idx="1">
                  <c:v>卫生健康支出</c:v>
                </c:pt>
                <c:pt idx="2">
                  <c:v>节能环保支出</c:v>
                </c:pt>
                <c:pt idx="3">
                  <c:v>城乡社区支出</c:v>
                </c:pt>
                <c:pt idx="4">
                  <c:v>住房保障支出</c:v>
                </c:pt>
              </c:strCache>
            </c:strRef>
          </c:cat>
          <c:val>
            <c:numRef>
              <c:f>[工作簿1]Sheet1!$F$6:$F$10</c:f>
              <c:numCache>
                <c:formatCode>0%</c:formatCode>
                <c:ptCount val="5"/>
                <c:pt idx="0">
                  <c:v>0.0414231320637827</c:v>
                </c:pt>
                <c:pt idx="1">
                  <c:v>0.00625765828492795</c:v>
                </c:pt>
                <c:pt idx="2">
                  <c:v>0.116060537114756</c:v>
                </c:pt>
                <c:pt idx="3">
                  <c:v>0.536007302611561</c:v>
                </c:pt>
                <c:pt idx="4">
                  <c:v>0.300251369924973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2019</a:t>
            </a:r>
            <a:r>
              <a:rPr altLang="en-US" sz="1400" b="0" i="0" u="none" strike="noStrike" baseline="0">
                <a:solidFill>
                  <a:srgbClr val="333333"/>
                </a:solidFill>
                <a:latin typeface="等线" panose="02010600030101010101" charset="-122"/>
                <a:ea typeface="等线" panose="02010600030101010101" charset="-122"/>
                <a:cs typeface="等线" panose="02010600030101010101" charset="-122"/>
              </a:rPr>
              <a:t>年预算收入与决算收入对比图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115290654893304"/>
          <c:y val="0.154675553812978"/>
          <c:w val="0.766431199411332"/>
          <c:h val="0.542913154283474"/>
        </c:manualLayout>
      </c:layout>
      <c:barChart>
        <c:barDir val="col"/>
        <c:grouping val="clustered"/>
        <c:varyColors val="0"/>
        <c:ser>
          <c:idx val="0"/>
          <c:order val="0"/>
          <c:tx>
            <c:strRef>
              <c:f>[工作簿1]Sheet1!$E$14</c:f>
              <c:strCache>
                <c:ptCount val="1"/>
                <c:pt idx="0">
                  <c:v>预算</c:v>
                </c:pt>
              </c:strCache>
            </c:strRef>
          </c:tx>
          <c:spPr>
            <a:solidFill>
              <a:schemeClr val="accent1"/>
            </a:solidFill>
            <a:ln>
              <a:noFill/>
            </a:ln>
            <a:effectLst/>
          </c:spPr>
          <c:invertIfNegative val="0"/>
          <c:dLbls>
            <c:dLbl>
              <c:idx val="2"/>
              <c:layout>
                <c:manualLayout>
                  <c:x val="0"/>
                  <c:y val="0.014749262536873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66666666666667"/>
                  <c:y val="0.00884955752212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[工作簿1]Sheet1!$D$15:$D$19</c:f>
              <c:strCache>
                <c:ptCount val="5"/>
                <c:pt idx="0">
                  <c:v>社会保障和就业支出</c:v>
                </c:pt>
                <c:pt idx="1">
                  <c:v>卫生健康支出</c:v>
                </c:pt>
                <c:pt idx="2">
                  <c:v>城乡社区支出</c:v>
                </c:pt>
                <c:pt idx="3">
                  <c:v>节能环保支出</c:v>
                </c:pt>
                <c:pt idx="4">
                  <c:v>住房保障支出</c:v>
                </c:pt>
              </c:strCache>
            </c:strRef>
          </c:cat>
          <c:val>
            <c:numRef>
              <c:f>[工作簿1]Sheet1!$E$15:$E$19</c:f>
              <c:numCache>
                <c:formatCode>General</c:formatCode>
                <c:ptCount val="5"/>
                <c:pt idx="0">
                  <c:v>542.82</c:v>
                </c:pt>
                <c:pt idx="1">
                  <c:v>123.95</c:v>
                </c:pt>
                <c:pt idx="2">
                  <c:v>18284.84</c:v>
                </c:pt>
                <c:pt idx="4">
                  <c:v>3870.02</c:v>
                </c:pt>
              </c:numCache>
            </c:numRef>
          </c:val>
        </c:ser>
        <c:ser>
          <c:idx val="1"/>
          <c:order val="1"/>
          <c:tx>
            <c:strRef>
              <c:f>[工作簿1]Sheet1!$F$14</c:f>
              <c:strCache>
                <c:ptCount val="1"/>
                <c:pt idx="0">
                  <c:v>决算</c:v>
                </c:pt>
              </c:strCache>
            </c:strRef>
          </c:tx>
          <c:spPr>
            <a:solidFill>
              <a:schemeClr val="accent2"/>
            </a:solidFill>
            <a:ln>
              <a:noFill/>
            </a:ln>
            <a:effectLst/>
          </c:spPr>
          <c:invertIfNegative val="0"/>
          <c:dLbls>
            <c:dLbl>
              <c:idx val="0"/>
              <c:layout>
                <c:manualLayout>
                  <c:x val="0.00625"/>
                  <c:y val="-0.02949852507374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47197640117994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29166666666667"/>
                  <c:y val="0.002949852507374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[工作簿1]Sheet1!$D$15:$D$19</c:f>
              <c:strCache>
                <c:ptCount val="5"/>
                <c:pt idx="0">
                  <c:v>社会保障和就业支出</c:v>
                </c:pt>
                <c:pt idx="1">
                  <c:v>卫生健康支出</c:v>
                </c:pt>
                <c:pt idx="2">
                  <c:v>城乡社区支出</c:v>
                </c:pt>
                <c:pt idx="3">
                  <c:v>节能环保支出</c:v>
                </c:pt>
                <c:pt idx="4">
                  <c:v>住房保障支出</c:v>
                </c:pt>
              </c:strCache>
            </c:strRef>
          </c:cat>
          <c:val>
            <c:numRef>
              <c:f>[工作簿1]Sheet1!$F$15:$F$19</c:f>
              <c:numCache>
                <c:formatCode>General</c:formatCode>
                <c:ptCount val="5"/>
                <c:pt idx="0">
                  <c:v>755.56</c:v>
                </c:pt>
                <c:pt idx="1">
                  <c:v>114.14</c:v>
                </c:pt>
                <c:pt idx="2" c:formatCode="0.00_ ">
                  <c:v>9776.8</c:v>
                </c:pt>
                <c:pt idx="3" c:formatCode="0.00_ ">
                  <c:v>2116.95</c:v>
                </c:pt>
                <c:pt idx="4" c:formatCode="0.00_ ">
                  <c:v>5476.6</c:v>
                </c:pt>
              </c:numCache>
            </c:numRef>
          </c:val>
        </c:ser>
        <c:dLbls>
          <c:showLegendKey val="0"/>
          <c:showVal val="1"/>
          <c:showCatName val="0"/>
          <c:showSerName val="0"/>
          <c:showPercent val="0"/>
          <c:showBubbleSize val="0"/>
        </c:dLbls>
        <c:gapWidth val="219"/>
        <c:overlap val="-27"/>
        <c:axId val="268364032"/>
        <c:axId val="284311552"/>
      </c:barChart>
      <c:catAx>
        <c:axId val="2683640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4311552"/>
        <c:crosses val="autoZero"/>
        <c:auto val="1"/>
        <c:lblAlgn val="ctr"/>
        <c:lblOffset val="100"/>
        <c:noMultiLvlLbl val="0"/>
      </c:catAx>
      <c:valAx>
        <c:axId val="2843115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6403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2019</a:t>
            </a:r>
            <a:r>
              <a:rPr altLang="en-US" sz="1400" b="0" i="0" u="none" strike="noStrike" baseline="0">
                <a:solidFill>
                  <a:srgbClr val="333333"/>
                </a:solidFill>
                <a:latin typeface="等线" panose="02010600030101010101" charset="-122"/>
                <a:ea typeface="等线" panose="02010600030101010101" charset="-122"/>
                <a:cs typeface="等线" panose="02010600030101010101" charset="-122"/>
              </a:rPr>
              <a:t>年度决算支出结构图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77777777777778"/>
          <c:y val="0.0195439739413681"/>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dPt>
          <c:dLbls>
            <c:dLbl>
              <c:idx val="0"/>
              <c:layout>
                <c:manualLayout>
                  <c:x val="-0.233261850622343"/>
                  <c:y val="-0.088556695834391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755.22</a:t>
                    </a:r>
                    <a:r>
                      <a:rPr sz="900" b="0" i="0" u="none" strike="noStrike" baseline="0">
                        <a:solidFill>
                          <a:srgbClr val="333333"/>
                        </a:solidFill>
                        <a:latin typeface="等线" panose="02010600030101010101" charset="-122"/>
                        <a:ea typeface="等线" panose="02010600030101010101" charset="-122"/>
                        <a:cs typeface="等线" panose="02010600030101010101" charset="-122"/>
                      </a:rPr>
                      <a:t>，</a:t>
                    </a:r>
                    <a:r>
                      <a:rPr lang="en-US" altLang="zh-CN" sz="900" b="0" i="0" u="none" strike="noStrike" baseline="0">
                        <a:solidFill>
                          <a:srgbClr val="333333"/>
                        </a:solidFill>
                        <a:latin typeface="等线" panose="02010600030101010101" charset="-122"/>
                        <a:ea typeface="等线" panose="02010600030101010101" charset="-122"/>
                        <a:cs typeface="等线" panose="02010600030101010101" charset="-122"/>
                      </a:rPr>
                      <a:t>6</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333271980308767"/>
                  <c:y val="-0.061490479141605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等线" panose="02010600030101010101" charset="-122"/>
                        <a:ea typeface="等线" panose="02010600030101010101" charset="-122"/>
                        <a:cs typeface="等线" panose="02010600030101010101" charset="-122"/>
                      </a:rPr>
                      <a:t>114.14</a:t>
                    </a:r>
                    <a:r>
                      <a:rPr sz="900" b="0" i="0" u="none" strike="noStrike" baseline="0">
                        <a:solidFill>
                          <a:srgbClr val="333333"/>
                        </a:solidFill>
                        <a:latin typeface="等线" panose="02010600030101010101" charset="-122"/>
                        <a:ea typeface="等线" panose="02010600030101010101" charset="-122"/>
                        <a:cs typeface="等线" panose="02010600030101010101" charset="-122"/>
                      </a:rPr>
                      <a:t>，</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6956060237676"/>
                  <c:y val="-0.036777290841819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等线" panose="02010600030101010101" charset="-122"/>
                        <a:ea typeface="等线" panose="02010600030101010101" charset="-122"/>
                        <a:cs typeface="等线" panose="02010600030101010101" charset="-122"/>
                      </a:rPr>
                      <a:t>226.95</a:t>
                    </a:r>
                    <a:r>
                      <a:rPr sz="900" b="0" i="0" u="none" strike="noStrike" baseline="0">
                        <a:solidFill>
                          <a:srgbClr val="333333"/>
                        </a:solidFill>
                        <a:latin typeface="等线" panose="02010600030101010101" charset="-122"/>
                        <a:ea typeface="等线" panose="02010600030101010101" charset="-122"/>
                        <a:cs typeface="等线" panose="02010600030101010101" charset="-122"/>
                      </a:rPr>
                      <a:t>，</a:t>
                    </a:r>
                    <a:r>
                      <a:rPr lang="en-US" altLang="zh-CN" sz="900" b="0" i="0" u="none" strike="noStrike" baseline="0">
                        <a:solidFill>
                          <a:srgbClr val="333333"/>
                        </a:solidFill>
                        <a:latin typeface="等线" panose="02010600030101010101" charset="-122"/>
                        <a:ea typeface="等线" panose="02010600030101010101" charset="-122"/>
                        <a:cs typeface="等线" panose="02010600030101010101" charset="-122"/>
                      </a:rPr>
                      <a:t>2</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205549675660235"/>
                  <c:y val="-0.02185422842217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等线" panose="02010600030101010101" charset="-122"/>
                        <a:ea typeface="等线" panose="02010600030101010101" charset="-122"/>
                        <a:cs typeface="等线" panose="02010600030101010101" charset="-122"/>
                      </a:rPr>
                      <a:t>9811.71</a:t>
                    </a:r>
                    <a:r>
                      <a:rPr sz="900" b="0" i="0" u="none" strike="noStrike" baseline="0">
                        <a:solidFill>
                          <a:srgbClr val="333333"/>
                        </a:solidFill>
                        <a:latin typeface="等线" panose="02010600030101010101" charset="-122"/>
                        <a:ea typeface="等线" panose="02010600030101010101" charset="-122"/>
                        <a:cs typeface="等线" panose="02010600030101010101" charset="-122"/>
                      </a:rPr>
                      <a:t>，</a:t>
                    </a:r>
                    <a:r>
                      <a:rPr lang="en-US" altLang="zh-CN" sz="900" b="0" i="0" u="none" strike="noStrike" baseline="0">
                        <a:solidFill>
                          <a:srgbClr val="333333"/>
                        </a:solidFill>
                        <a:latin typeface="等线" panose="02010600030101010101" charset="-122"/>
                        <a:ea typeface="等线" panose="02010600030101010101" charset="-122"/>
                        <a:cs typeface="等线" panose="02010600030101010101" charset="-122"/>
                      </a:rPr>
                      <a:t>84</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8176026432604"/>
                  <c:y val="0.0078501804124944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747.04</a:t>
                    </a:r>
                    <a:r>
                      <a:rPr lang="en-US" altLang="zh-CN"/>
                      <a:t>,7%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46805555555556"/>
                      <c:h val="0.059066232356134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[表格.xlsx]Sheet1!$D$23:$D$27</c:f>
              <c:strCache>
                <c:ptCount val="5"/>
                <c:pt idx="0">
                  <c:v>社会保障和就业支出</c:v>
                </c:pt>
                <c:pt idx="1">
                  <c:v>卫生健康支出</c:v>
                </c:pt>
                <c:pt idx="2">
                  <c:v>节能环保支出</c:v>
                </c:pt>
                <c:pt idx="3">
                  <c:v>城乡社区支出</c:v>
                </c:pt>
                <c:pt idx="4">
                  <c:v>住房保障支出</c:v>
                </c:pt>
              </c:strCache>
            </c:strRef>
          </c:cat>
          <c:val>
            <c:numRef>
              <c:f>[表格.xlsx]Sheet1!$E$23:$E$27</c:f>
              <c:numCache>
                <c:formatCode>0.00_ </c:formatCode>
                <c:ptCount val="5"/>
                <c:pt idx="0">
                  <c:v>755.22</c:v>
                </c:pt>
                <c:pt idx="1" c:formatCode="General">
                  <c:v>114.14</c:v>
                </c:pt>
                <c:pt idx="2" c:formatCode="General">
                  <c:v>226.95</c:v>
                </c:pt>
                <c:pt idx="3" c:formatCode="General">
                  <c:v>9811.71</c:v>
                </c:pt>
                <c:pt idx="4" c:formatCode="General">
                  <c:v>747.04</c:v>
                </c:pt>
              </c:numCache>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dPt>
          <c:dLbls>
            <c:delete val="1"/>
          </c:dLbls>
          <c:cat>
            <c:strRef>
              <c:f>[表格.xlsx]Sheet1!$D$23:$D$27</c:f>
              <c:strCache>
                <c:ptCount val="5"/>
                <c:pt idx="0">
                  <c:v>社会保障和就业支出</c:v>
                </c:pt>
                <c:pt idx="1">
                  <c:v>卫生健康支出</c:v>
                </c:pt>
                <c:pt idx="2">
                  <c:v>节能环保支出</c:v>
                </c:pt>
                <c:pt idx="3">
                  <c:v>城乡社区支出</c:v>
                </c:pt>
                <c:pt idx="4">
                  <c:v>住房保障支出</c:v>
                </c:pt>
              </c:strCache>
            </c:strRef>
          </c:cat>
          <c:val>
            <c:numRef>
              <c:f>[表格.xlsx]Sheet1!$F$23:$F$27</c:f>
              <c:numCache>
                <c:formatCode>0%</c:formatCode>
                <c:ptCount val="5"/>
                <c:pt idx="0">
                  <c:v>0.0647976072195253</c:v>
                </c:pt>
                <c:pt idx="1">
                  <c:v>0.00979317137792513</c:v>
                </c:pt>
                <c:pt idx="2">
                  <c:v>0.0194722292291932</c:v>
                </c:pt>
                <c:pt idx="3">
                  <c:v>0.841841226042595</c:v>
                </c:pt>
                <c:pt idx="4">
                  <c:v>0.0640957661307621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2019</a:t>
            </a:r>
            <a:r>
              <a:rPr altLang="en-US" sz="1400" b="0" i="0" u="none" strike="noStrike" baseline="0">
                <a:solidFill>
                  <a:srgbClr val="333333"/>
                </a:solidFill>
                <a:latin typeface="等线" panose="02010600030101010101" charset="-122"/>
                <a:ea typeface="等线" panose="02010600030101010101" charset="-122"/>
                <a:cs typeface="等线" panose="02010600030101010101" charset="-122"/>
              </a:rPr>
              <a:t>年预算支出与决算支出对比图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[表格.xlsx]Sheet1!$E$30</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[表格.xlsx]Sheet1!$D$31:$D$35</c:f>
              <c:strCache>
                <c:ptCount val="5"/>
                <c:pt idx="0">
                  <c:v>社会保障和就业支出</c:v>
                </c:pt>
                <c:pt idx="1">
                  <c:v>卫生健康支出</c:v>
                </c:pt>
                <c:pt idx="2">
                  <c:v>节能环保支出</c:v>
                </c:pt>
                <c:pt idx="3">
                  <c:v>城乡社区支出</c:v>
                </c:pt>
                <c:pt idx="4">
                  <c:v>住房保障支出</c:v>
                </c:pt>
              </c:strCache>
            </c:strRef>
          </c:cat>
          <c:val>
            <c:numRef>
              <c:f>[表格.xlsx]Sheet1!$E$31:$E$35</c:f>
              <c:numCache>
                <c:formatCode>General</c:formatCode>
                <c:ptCount val="5"/>
                <c:pt idx="0">
                  <c:v>542.82</c:v>
                </c:pt>
                <c:pt idx="1">
                  <c:v>123.95</c:v>
                </c:pt>
                <c:pt idx="2">
                  <c:v>18284.84</c:v>
                </c:pt>
                <c:pt idx="4">
                  <c:v>3870.02</c:v>
                </c:pt>
              </c:numCache>
            </c:numRef>
          </c:val>
        </c:ser>
        <c:ser>
          <c:idx val="1"/>
          <c:order val="1"/>
          <c:tx>
            <c:strRef>
              <c:f>[表格.xlsx]Sheet1!$F$30</c:f>
              <c:strCache>
                <c:ptCount val="1"/>
                <c:pt idx="0">
                  <c:v>决算</c:v>
                </c:pt>
              </c:strCache>
            </c:strRef>
          </c:tx>
          <c:spPr>
            <a:solidFill>
              <a:schemeClr val="accent2"/>
            </a:solidFill>
            <a:ln>
              <a:noFill/>
            </a:ln>
            <a:effectLst/>
          </c:spPr>
          <c:invertIfNegative val="0"/>
          <c:dLbls>
            <c:dLbl>
              <c:idx val="0"/>
              <c:layout>
                <c:manualLayout>
                  <c:x val="0.00833333333333333"/>
                  <c:y val="-0.0590277777777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
                  <c:y val="-0.06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70833333333333"/>
                  <c:y val="-0.0277777777777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08333333333333"/>
                  <c:y val="-0.01736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[表格.xlsx]Sheet1!$D$31:$D$35</c:f>
              <c:strCache>
                <c:ptCount val="5"/>
                <c:pt idx="0">
                  <c:v>社会保障和就业支出</c:v>
                </c:pt>
                <c:pt idx="1">
                  <c:v>卫生健康支出</c:v>
                </c:pt>
                <c:pt idx="2">
                  <c:v>节能环保支出</c:v>
                </c:pt>
                <c:pt idx="3">
                  <c:v>城乡社区支出</c:v>
                </c:pt>
                <c:pt idx="4">
                  <c:v>住房保障支出</c:v>
                </c:pt>
              </c:strCache>
            </c:strRef>
          </c:cat>
          <c:val>
            <c:numRef>
              <c:f>[表格.xlsx]Sheet1!$F$31:$F$35</c:f>
              <c:numCache>
                <c:formatCode>0.00_ </c:formatCode>
                <c:ptCount val="5"/>
                <c:pt idx="0">
                  <c:v>755.22</c:v>
                </c:pt>
                <c:pt idx="1" c:formatCode="General">
                  <c:v>114.14</c:v>
                </c:pt>
                <c:pt idx="2" c:formatCode="General">
                  <c:v>226.95</c:v>
                </c:pt>
                <c:pt idx="3" c:formatCode="General">
                  <c:v>9811.71</c:v>
                </c:pt>
                <c:pt idx="4" c:formatCode="General">
                  <c:v>747.04</c:v>
                </c:pt>
              </c:numCache>
            </c:numRef>
          </c:val>
        </c:ser>
        <c:dLbls>
          <c:showLegendKey val="0"/>
          <c:showVal val="1"/>
          <c:showCatName val="0"/>
          <c:showSerName val="0"/>
          <c:showPercent val="0"/>
          <c:showBubbleSize val="0"/>
        </c:dLbls>
        <c:gapWidth val="219"/>
        <c:overlap val="-27"/>
        <c:axId val="268027392"/>
        <c:axId val="268028928"/>
      </c:barChart>
      <c:catAx>
        <c:axId val="2680273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028928"/>
        <c:crosses val="autoZero"/>
        <c:auto val="1"/>
        <c:lblAlgn val="ctr"/>
        <c:lblOffset val="100"/>
        <c:noMultiLvlLbl val="0"/>
      </c:catAx>
      <c:valAx>
        <c:axId val="2680289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02739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40203-EA67-47C5-A774-862D3FD116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2506</Words>
  <Characters>14288</Characters>
  <Lines>119</Lines>
  <Paragraphs>33</Paragraphs>
  <TotalTime>0</TotalTime>
  <ScaleCrop>false</ScaleCrop>
  <LinksUpToDate>false</LinksUpToDate>
  <CharactersWithSpaces>16761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dell</cp:lastModifiedBy>
  <cp:lastPrinted>2020-12-09T09:50:00Z</cp:lastPrinted>
  <dcterms:modified xsi:type="dcterms:W3CDTF">2026-01-28T01:29:18Z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2515269509BC4FDB9470DE0FD09E774D</vt:lpwstr>
  </property>
</Properties>
</file>