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40" w:lineRule="exact"/>
        <w:ind w:firstLine="640" w:firstLineChars="200"/>
        <w:jc w:val="both"/>
        <w:rPr>
          <w:rFonts w:ascii="Times New Roman" w:hAnsi="Times New Roman" w:eastAsia="宋体" w:cs="Times New Roman"/>
          <w:bCs/>
          <w:kern w:val="2"/>
          <w:sz w:val="32"/>
          <w:szCs w:val="32"/>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480" w:lineRule="auto"/>
        <w:jc w:val="center"/>
        <w:rPr>
          <w:rFonts w:ascii="黑体" w:hAnsi="黑体" w:eastAsia="黑体" w:cs="Times New Roman"/>
          <w:bCs/>
          <w:w w:val="90"/>
          <w:kern w:val="2"/>
          <w:sz w:val="48"/>
          <w:szCs w:val="48"/>
        </w:rPr>
      </w:pPr>
      <w:r>
        <w:rPr>
          <w:rFonts w:hint="eastAsia" w:ascii="黑体" w:hAnsi="黑体" w:eastAsia="黑体" w:cs="Times New Roman"/>
          <w:bCs/>
          <w:w w:val="90"/>
          <w:kern w:val="2"/>
          <w:sz w:val="48"/>
          <w:szCs w:val="48"/>
        </w:rPr>
        <w:t>中国</w:t>
      </w:r>
      <w:r>
        <w:rPr>
          <w:rFonts w:ascii="黑体" w:hAnsi="黑体" w:eastAsia="黑体" w:cs="Times New Roman"/>
          <w:bCs/>
          <w:w w:val="90"/>
          <w:kern w:val="2"/>
          <w:sz w:val="48"/>
          <w:szCs w:val="48"/>
        </w:rPr>
        <w:t>共产主义青年团</w:t>
      </w:r>
      <w:r>
        <w:rPr>
          <w:rFonts w:hint="eastAsia" w:ascii="黑体" w:hAnsi="黑体" w:eastAsia="黑体" w:cs="Times New Roman"/>
          <w:bCs/>
          <w:w w:val="90"/>
          <w:kern w:val="2"/>
          <w:sz w:val="48"/>
          <w:szCs w:val="48"/>
        </w:rPr>
        <w:t>保定市徐水区委员会</w:t>
      </w:r>
    </w:p>
    <w:p>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2019年部门整体支出绩效评价自评报告</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2020年8月</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t>5</w:t>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一、保定市徐水区团委基本情况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8</w:t>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t>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w:t>
          </w: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w:t>
          </w: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w:t>
          </w:r>
          <w:r>
            <w:rPr>
              <w:rFonts w:hint="eastAsia" w:asciiTheme="majorEastAsia" w:hAnsiTheme="majorEastAsia" w:eastAsiaTheme="majorEastAsia" w:cstheme="majorEastAsia"/>
              <w:sz w:val="24"/>
            </w:rPr>
            <w:t>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w:t>
          </w:r>
          <w:r>
            <w:rPr>
              <w:rFonts w:hint="eastAsia" w:asciiTheme="majorEastAsia" w:hAnsiTheme="majorEastAsia" w:eastAsiaTheme="majorEastAsia" w:cstheme="majorEastAsia"/>
              <w:sz w:val="24"/>
            </w:rPr>
            <w:t>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t>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w:t>
          </w:r>
          <w:r>
            <w:rPr>
              <w:rFonts w:hint="eastAsia" w:asciiTheme="majorEastAsia" w:hAnsiTheme="majorEastAsia" w:eastAsiaTheme="majorEastAsia" w:cstheme="majorEastAsia"/>
              <w:sz w:val="24"/>
            </w:rPr>
            <w:t>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w:t>
          </w:r>
          <w:r>
            <w:rPr>
              <w:rFonts w:hint="eastAsia" w:asciiTheme="majorEastAsia" w:hAnsiTheme="majorEastAsia" w:eastAsiaTheme="majorEastAsia" w:cstheme="majorEastAsia"/>
              <w:sz w:val="24"/>
            </w:rPr>
            <w:t>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w:t>
          </w:r>
          <w:r>
            <w:rPr>
              <w:rFonts w:hint="eastAsia"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w:t>
          </w:r>
          <w:r>
            <w:rPr>
              <w:rFonts w:hint="eastAsia"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w:t>
          </w:r>
          <w:r>
            <w:rPr>
              <w:rFonts w:hint="eastAsia"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w:t>
          </w:r>
          <w:r>
            <w:rPr>
              <w:rFonts w:hint="eastAsia"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t>8</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w:t>
          </w:r>
          <w:r>
            <w:rPr>
              <w:rFonts w:hint="eastAsia" w:asciiTheme="majorEastAsia" w:hAnsiTheme="majorEastAsia" w:eastAsiaTheme="majorEastAsia" w:cstheme="majorEastAsia"/>
              <w:sz w:val="24"/>
            </w:rPr>
            <w:t>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21</w:t>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w:t>
          </w:r>
          <w:r>
            <w:rPr>
              <w:rFonts w:hint="eastAsia" w:asciiTheme="majorEastAsia" w:hAnsiTheme="majorEastAsia" w:eastAsiaTheme="majorEastAsia" w:cstheme="majorEastAsia"/>
              <w:sz w:val="24"/>
            </w:rPr>
            <w:t>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30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pPr>
        <w:pStyle w:val="3"/>
        <w:spacing w:before="0" w:after="0" w:line="600" w:lineRule="exact"/>
        <w:jc w:val="center"/>
        <w:rPr>
          <w:rFonts w:ascii="黑体" w:hAnsi="黑体"/>
          <w:b w:val="0"/>
        </w:rPr>
      </w:pPr>
      <w:bookmarkStart w:id="0" w:name="_Toc25184"/>
      <w:r>
        <w:rPr>
          <w:rFonts w:hint="eastAsia" w:ascii="黑体" w:hAnsi="黑体"/>
          <w:b w:val="0"/>
        </w:rPr>
        <w:t>第一部分   摘  要</w:t>
      </w:r>
      <w:bookmarkEnd w:id="0"/>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对2019年部门整体支出情况开展了绩效自评价工作。</w:t>
      </w:r>
    </w:p>
    <w:p>
      <w:pPr>
        <w:spacing w:after="0" w:line="56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中国共产主义</w:t>
      </w:r>
      <w:r>
        <w:rPr>
          <w:rFonts w:ascii="仿宋_GB2312" w:eastAsia="仿宋_GB2312" w:cs="DengXian-Regular"/>
          <w:sz w:val="32"/>
          <w:szCs w:val="32"/>
        </w:rPr>
        <w:t>青年团</w:t>
      </w:r>
      <w:r>
        <w:rPr>
          <w:rFonts w:hint="eastAsia" w:ascii="仿宋_GB2312" w:eastAsia="仿宋_GB2312" w:cs="DengXian-Regular"/>
          <w:sz w:val="32"/>
          <w:szCs w:val="32"/>
        </w:rPr>
        <w:t>保定市徐水区委员会（简称团区委）为正科级行政单位，经费保障形式为财政拨款，下设</w:t>
      </w:r>
      <w:r>
        <w:rPr>
          <w:rFonts w:ascii="仿宋_GB2312" w:eastAsia="仿宋_GB2312" w:cs="DengXian-Regular"/>
          <w:sz w:val="32"/>
          <w:szCs w:val="32"/>
        </w:rPr>
        <w:t>1</w:t>
      </w:r>
      <w:r>
        <w:rPr>
          <w:rFonts w:hint="eastAsia" w:ascii="仿宋_GB2312" w:eastAsia="仿宋_GB2312" w:cs="DengXian-Regular"/>
          <w:sz w:val="32"/>
          <w:szCs w:val="32"/>
        </w:rPr>
        <w:t>个股室，为综合股。</w:t>
      </w:r>
    </w:p>
    <w:p>
      <w:pPr>
        <w:spacing w:after="0" w:line="56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主要职责：</w:t>
      </w:r>
    </w:p>
    <w:p>
      <w:pPr>
        <w:spacing w:after="0" w:line="56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（一）指导区</w:t>
      </w:r>
      <w:r>
        <w:rPr>
          <w:rFonts w:ascii="仿宋_GB2312" w:eastAsia="仿宋_GB2312" w:cs="DengXian-Regular"/>
          <w:sz w:val="32"/>
          <w:szCs w:val="32"/>
        </w:rPr>
        <w:t>少工委开展工作，对全区青年的社团组织进行指导和管理</w:t>
      </w:r>
      <w:r>
        <w:rPr>
          <w:rFonts w:hint="eastAsia" w:ascii="仿宋_GB2312" w:eastAsia="仿宋_GB2312" w:cs="DengXian-Regular"/>
          <w:sz w:val="32"/>
          <w:szCs w:val="32"/>
        </w:rPr>
        <w:t>。</w:t>
      </w:r>
    </w:p>
    <w:p>
      <w:pPr>
        <w:spacing w:after="0" w:line="56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（二）参与制定</w:t>
      </w:r>
      <w:r>
        <w:rPr>
          <w:rFonts w:ascii="仿宋_GB2312" w:eastAsia="仿宋_GB2312" w:cs="DengXian-Regular"/>
          <w:sz w:val="32"/>
          <w:szCs w:val="32"/>
        </w:rPr>
        <w:t>全区青少年</w:t>
      </w:r>
      <w:r>
        <w:rPr>
          <w:rFonts w:hint="eastAsia" w:ascii="仿宋_GB2312" w:eastAsia="仿宋_GB2312" w:cs="DengXian-Regular"/>
          <w:sz w:val="32"/>
          <w:szCs w:val="32"/>
        </w:rPr>
        <w:t>事</w:t>
      </w:r>
      <w:r>
        <w:rPr>
          <w:rFonts w:ascii="仿宋_GB2312" w:eastAsia="仿宋_GB2312" w:cs="DengXian-Regular"/>
          <w:sz w:val="32"/>
          <w:szCs w:val="32"/>
        </w:rPr>
        <w:t>业发展规划</w:t>
      </w:r>
      <w:r>
        <w:rPr>
          <w:rFonts w:hint="eastAsia" w:ascii="仿宋_GB2312" w:eastAsia="仿宋_GB2312" w:cs="DengXian-Regular"/>
          <w:sz w:val="32"/>
          <w:szCs w:val="32"/>
        </w:rPr>
        <w:t>；</w:t>
      </w:r>
      <w:r>
        <w:rPr>
          <w:rFonts w:ascii="仿宋_GB2312" w:eastAsia="仿宋_GB2312" w:cs="DengXian-Regular"/>
          <w:sz w:val="32"/>
          <w:szCs w:val="32"/>
        </w:rPr>
        <w:t>对青年工作院校、青少年活动阵地、青少年报刊和青少年服务机构的</w:t>
      </w:r>
      <w:r>
        <w:rPr>
          <w:rFonts w:hint="eastAsia" w:ascii="仿宋_GB2312" w:eastAsia="仿宋_GB2312" w:cs="DengXian-Regular"/>
          <w:sz w:val="32"/>
          <w:szCs w:val="32"/>
        </w:rPr>
        <w:t>建设</w:t>
      </w:r>
      <w:r>
        <w:rPr>
          <w:rFonts w:ascii="仿宋_GB2312" w:eastAsia="仿宋_GB2312" w:cs="DengXian-Regular"/>
          <w:sz w:val="32"/>
          <w:szCs w:val="32"/>
        </w:rPr>
        <w:t>等事务进行</w:t>
      </w:r>
      <w:r>
        <w:rPr>
          <w:rFonts w:hint="eastAsia" w:ascii="仿宋_GB2312" w:eastAsia="仿宋_GB2312" w:cs="DengXian-Regular"/>
          <w:sz w:val="32"/>
          <w:szCs w:val="32"/>
        </w:rPr>
        <w:t>规划</w:t>
      </w:r>
      <w:r>
        <w:rPr>
          <w:rFonts w:ascii="仿宋_GB2312" w:eastAsia="仿宋_GB2312" w:cs="DengXian-Regular"/>
          <w:sz w:val="32"/>
          <w:szCs w:val="32"/>
        </w:rPr>
        <w:t>和管理</w:t>
      </w:r>
      <w:r>
        <w:rPr>
          <w:rFonts w:hint="eastAsia" w:ascii="仿宋_GB2312" w:eastAsia="仿宋_GB2312" w:cs="DengXian-Regular"/>
          <w:sz w:val="32"/>
          <w:szCs w:val="32"/>
        </w:rPr>
        <w:t>。</w:t>
      </w:r>
    </w:p>
    <w:p>
      <w:pPr>
        <w:spacing w:after="0" w:line="56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（三）协助</w:t>
      </w:r>
      <w:r>
        <w:rPr>
          <w:rFonts w:ascii="仿宋_GB2312" w:eastAsia="仿宋_GB2312" w:cs="DengXian-Regular"/>
          <w:sz w:val="32"/>
          <w:szCs w:val="32"/>
        </w:rPr>
        <w:t>区委和区政府处理、协调和青少年利益相关的事务</w:t>
      </w:r>
      <w:r>
        <w:rPr>
          <w:rFonts w:hint="eastAsia" w:ascii="仿宋_GB2312" w:eastAsia="仿宋_GB2312" w:cs="DengXian-Regular"/>
          <w:sz w:val="32"/>
          <w:szCs w:val="32"/>
        </w:rPr>
        <w:t>。</w:t>
      </w:r>
    </w:p>
    <w:p>
      <w:pPr>
        <w:spacing w:after="0" w:line="56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（四）调查青年思想动态</w:t>
      </w:r>
      <w:r>
        <w:rPr>
          <w:rFonts w:ascii="仿宋_GB2312" w:eastAsia="仿宋_GB2312" w:cs="DengXian-Regular"/>
          <w:sz w:val="32"/>
          <w:szCs w:val="32"/>
        </w:rPr>
        <w:t>和青年工作</w:t>
      </w:r>
      <w:r>
        <w:rPr>
          <w:rFonts w:hint="eastAsia" w:ascii="仿宋_GB2312" w:eastAsia="仿宋_GB2312" w:cs="DengXian-Regular"/>
          <w:sz w:val="32"/>
          <w:szCs w:val="32"/>
        </w:rPr>
        <w:t>状况</w:t>
      </w:r>
      <w:r>
        <w:rPr>
          <w:rFonts w:ascii="仿宋_GB2312" w:eastAsia="仿宋_GB2312" w:cs="DengXian-Regular"/>
          <w:sz w:val="32"/>
          <w:szCs w:val="32"/>
        </w:rPr>
        <w:t>，研究青少年运动、青少年工作理论和思想教育问题，提出相应对策，开展各项活动</w:t>
      </w:r>
      <w:r>
        <w:rPr>
          <w:rFonts w:hint="eastAsia" w:ascii="仿宋_GB2312" w:eastAsia="仿宋_GB2312" w:cs="DengXian-Regular"/>
          <w:sz w:val="32"/>
          <w:szCs w:val="32"/>
        </w:rPr>
        <w:t>。</w:t>
      </w:r>
    </w:p>
    <w:p>
      <w:pPr>
        <w:spacing w:after="0" w:line="56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（五）协助</w:t>
      </w:r>
      <w:r>
        <w:rPr>
          <w:rFonts w:ascii="仿宋_GB2312" w:eastAsia="仿宋_GB2312" w:cs="DengXian-Regular"/>
          <w:sz w:val="32"/>
          <w:szCs w:val="32"/>
        </w:rPr>
        <w:t>区政府教育部门做好教育管理工作，维护学校和社会的稳定与团结</w:t>
      </w:r>
      <w:r>
        <w:rPr>
          <w:rFonts w:hint="eastAsia" w:ascii="仿宋_GB2312" w:eastAsia="仿宋_GB2312" w:cs="DengXian-Regular"/>
          <w:sz w:val="32"/>
          <w:szCs w:val="32"/>
        </w:rPr>
        <w:t>。</w:t>
      </w:r>
    </w:p>
    <w:p>
      <w:pPr>
        <w:spacing w:after="0" w:line="56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（六）在国家经济建设</w:t>
      </w:r>
      <w:r>
        <w:rPr>
          <w:rFonts w:ascii="仿宋_GB2312" w:eastAsia="仿宋_GB2312" w:cs="DengXian-Regular"/>
          <w:sz w:val="32"/>
          <w:szCs w:val="32"/>
        </w:rPr>
        <w:t>中，组织和带领青年发挥生力军和突击队作用</w:t>
      </w:r>
      <w:r>
        <w:rPr>
          <w:rFonts w:hint="eastAsia" w:ascii="仿宋_GB2312" w:eastAsia="仿宋_GB2312" w:cs="DengXian-Regular"/>
          <w:sz w:val="32"/>
          <w:szCs w:val="32"/>
        </w:rPr>
        <w:t>。</w:t>
      </w:r>
    </w:p>
    <w:p>
      <w:pPr>
        <w:spacing w:after="0" w:line="56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（七）贯彻落实</w:t>
      </w:r>
      <w:r>
        <w:rPr>
          <w:rFonts w:ascii="仿宋_GB2312" w:eastAsia="仿宋_GB2312" w:cs="DengXian-Regular"/>
          <w:sz w:val="32"/>
          <w:szCs w:val="32"/>
        </w:rPr>
        <w:t>中央、省、市</w:t>
      </w:r>
      <w:r>
        <w:rPr>
          <w:rFonts w:hint="eastAsia" w:ascii="仿宋_GB2312" w:eastAsia="仿宋_GB2312" w:cs="DengXian-Regular"/>
          <w:sz w:val="32"/>
          <w:szCs w:val="32"/>
        </w:rPr>
        <w:t>、</w:t>
      </w:r>
      <w:r>
        <w:rPr>
          <w:rFonts w:ascii="仿宋_GB2312" w:eastAsia="仿宋_GB2312" w:cs="DengXian-Regular"/>
          <w:sz w:val="32"/>
          <w:szCs w:val="32"/>
        </w:rPr>
        <w:t>区</w:t>
      </w:r>
      <w:r>
        <w:rPr>
          <w:rFonts w:hint="eastAsia" w:ascii="仿宋_GB2312" w:eastAsia="仿宋_GB2312" w:cs="DengXian-Regular"/>
          <w:sz w:val="32"/>
          <w:szCs w:val="32"/>
        </w:rPr>
        <w:t>统战工作方针</w:t>
      </w:r>
      <w:r>
        <w:rPr>
          <w:rFonts w:ascii="仿宋_GB2312" w:eastAsia="仿宋_GB2312" w:cs="DengXian-Regular"/>
          <w:sz w:val="32"/>
          <w:szCs w:val="32"/>
        </w:rPr>
        <w:t>政策，做好青年统战对象的团结教育培养工作，维护和促进祖国统一和民族团结</w:t>
      </w:r>
      <w:r>
        <w:rPr>
          <w:rFonts w:hint="eastAsia" w:ascii="仿宋_GB2312" w:eastAsia="仿宋_GB2312" w:cs="DengXian-Regular"/>
          <w:sz w:val="32"/>
          <w:szCs w:val="32"/>
        </w:rPr>
        <w:t>。</w:t>
      </w:r>
    </w:p>
    <w:p>
      <w:pPr>
        <w:spacing w:after="0" w:line="56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（八）承担</w:t>
      </w:r>
      <w:r>
        <w:rPr>
          <w:rFonts w:ascii="仿宋_GB2312" w:eastAsia="仿宋_GB2312" w:cs="DengXian-Regular"/>
          <w:sz w:val="32"/>
          <w:szCs w:val="32"/>
        </w:rPr>
        <w:t>区委、区政府和共青团保定市委交办的其它事项</w:t>
      </w:r>
      <w:r>
        <w:rPr>
          <w:rFonts w:hint="eastAsia" w:ascii="仿宋_GB2312" w:eastAsia="仿宋_GB2312" w:cs="DengXian-Regular"/>
          <w:sz w:val="32"/>
          <w:szCs w:val="32"/>
        </w:rPr>
        <w:t>。</w:t>
      </w:r>
    </w:p>
    <w:p>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团区委2019年部门整体支出绩效评价工作。</w:t>
      </w:r>
    </w:p>
    <w:p>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团区委2019年部门整体支出绩效评价指标体系共设置4个一级指标、7个二级指标、27个三级指标，从投入、过程、产出、效果四个方面对团区委部门整体支出情况评分定级。指标体系设定满分为100分，绩效评价分值≥90为“优”；80≤分值＜90为“良”；60≤分值＜80为“合格”；60分以下为“差”。</w:t>
      </w:r>
    </w:p>
    <w:p>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团区委2019年部门整体支出综合评价得分为9</w:t>
      </w:r>
      <w:r>
        <w:rPr>
          <w:rFonts w:ascii="仿宋_GB2312" w:eastAsia="仿宋_GB2312" w:cs="DengXian-Regular"/>
          <w:sz w:val="32"/>
          <w:szCs w:val="32"/>
        </w:rPr>
        <w:t>0.6</w:t>
      </w:r>
      <w:r>
        <w:rPr>
          <w:rFonts w:hint="eastAsia" w:ascii="仿宋_GB2312" w:eastAsia="仿宋_GB2312" w:cs="DengXian-Regular"/>
          <w:sz w:val="32"/>
          <w:szCs w:val="32"/>
        </w:rPr>
        <w:t>分，评价等级为“优”。</w:t>
      </w:r>
    </w:p>
    <w:p>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团区委2019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pPr>
        <w:pStyle w:val="3"/>
        <w:spacing w:before="0" w:after="0" w:line="600" w:lineRule="exact"/>
        <w:ind w:firstLine="640" w:firstLineChars="200"/>
        <w:jc w:val="center"/>
        <w:rPr>
          <w:rFonts w:ascii="黑体" w:hAnsi="黑体"/>
          <w:b w:val="0"/>
        </w:rPr>
      </w:pPr>
      <w:bookmarkStart w:id="1" w:name="_Toc4346"/>
      <w:r>
        <w:rPr>
          <w:rFonts w:hint="eastAsia" w:ascii="黑体" w:hAnsi="黑体"/>
          <w:b w:val="0"/>
        </w:rPr>
        <w:t>第二部分   绩效评价报告</w:t>
      </w:r>
      <w:bookmarkEnd w:id="1"/>
    </w:p>
    <w:p>
      <w:pPr>
        <w:pStyle w:val="3"/>
        <w:adjustRightInd w:val="0"/>
        <w:snapToGrid w:val="0"/>
        <w:spacing w:before="0" w:after="0" w:line="600" w:lineRule="exact"/>
        <w:ind w:firstLine="643" w:firstLineChars="200"/>
        <w:rPr>
          <w:rFonts w:ascii="楷体" w:hAnsi="楷体" w:eastAsia="楷体" w:cs="楷体"/>
        </w:rPr>
      </w:pPr>
      <w:bookmarkStart w:id="2" w:name="_Toc492652763"/>
      <w:bookmarkStart w:id="3" w:name="_Toc427"/>
      <w:r>
        <w:rPr>
          <w:rFonts w:hint="eastAsia" w:ascii="楷体" w:hAnsi="楷体" w:eastAsia="楷体" w:cs="楷体"/>
        </w:rPr>
        <w:t>一、团区委基本情况</w:t>
      </w:r>
      <w:bookmarkEnd w:id="2"/>
      <w:bookmarkEnd w:id="3"/>
      <w:bookmarkStart w:id="4" w:name="_Toc492652764"/>
    </w:p>
    <w:p>
      <w:pPr>
        <w:pStyle w:val="4"/>
        <w:adjustRightInd w:val="0"/>
        <w:snapToGrid w:val="0"/>
        <w:spacing w:before="0" w:after="0" w:line="600" w:lineRule="exact"/>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pPr>
        <w:spacing w:after="0" w:line="60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根据中共保定市徐水区委</w:t>
      </w:r>
      <w:r>
        <w:rPr>
          <w:rFonts w:ascii="仿宋_GB2312" w:eastAsia="仿宋_GB2312" w:cs="DengXian-Regular"/>
          <w:sz w:val="32"/>
          <w:szCs w:val="32"/>
        </w:rPr>
        <w:t>办公室</w:t>
      </w:r>
      <w:r>
        <w:rPr>
          <w:rFonts w:hint="eastAsia" w:ascii="仿宋_GB2312" w:eastAsia="仿宋_GB2312" w:cs="DengXian-Regular"/>
          <w:sz w:val="32"/>
          <w:szCs w:val="32"/>
        </w:rPr>
        <w:t>、</w:t>
      </w:r>
      <w:r>
        <w:rPr>
          <w:rFonts w:ascii="仿宋_GB2312" w:eastAsia="仿宋_GB2312" w:cs="DengXian-Regular"/>
          <w:sz w:val="32"/>
          <w:szCs w:val="32"/>
        </w:rPr>
        <w:t>保定市徐水区人民政府</w:t>
      </w:r>
      <w:r>
        <w:rPr>
          <w:rFonts w:hint="eastAsia" w:ascii="仿宋_GB2312" w:eastAsia="仿宋_GB2312" w:cs="DengXian-Regular"/>
          <w:sz w:val="32"/>
          <w:szCs w:val="32"/>
        </w:rPr>
        <w:t>办公室关于印发《共青团保定市徐水区</w:t>
      </w:r>
      <w:r>
        <w:rPr>
          <w:rFonts w:ascii="仿宋_GB2312" w:eastAsia="仿宋_GB2312" w:cs="DengXian-Regular"/>
          <w:sz w:val="32"/>
          <w:szCs w:val="32"/>
        </w:rPr>
        <w:t>委</w:t>
      </w:r>
      <w:r>
        <w:rPr>
          <w:rFonts w:hint="eastAsia" w:ascii="仿宋_GB2312" w:eastAsia="仿宋_GB2312" w:cs="DengXian-Regular"/>
          <w:sz w:val="32"/>
          <w:szCs w:val="32"/>
        </w:rPr>
        <w:t>员会职能配置内设机构和人员编制规定》的通知，团区委为</w:t>
      </w:r>
      <w:r>
        <w:rPr>
          <w:rFonts w:ascii="仿宋_GB2312" w:eastAsia="仿宋_GB2312" w:cs="DengXian-Regular"/>
          <w:sz w:val="32"/>
          <w:szCs w:val="32"/>
        </w:rPr>
        <w:t>区政府工作部门，正</w:t>
      </w:r>
      <w:r>
        <w:rPr>
          <w:rFonts w:hint="eastAsia" w:ascii="仿宋_GB2312" w:eastAsia="仿宋_GB2312" w:cs="DengXian-Regular"/>
          <w:sz w:val="32"/>
          <w:szCs w:val="32"/>
        </w:rPr>
        <w:t>科</w:t>
      </w:r>
      <w:r>
        <w:rPr>
          <w:rFonts w:ascii="仿宋_GB2312" w:eastAsia="仿宋_GB2312" w:cs="DengXian-Regular"/>
          <w:sz w:val="32"/>
          <w:szCs w:val="32"/>
        </w:rPr>
        <w:t>级单位，下</w:t>
      </w:r>
      <w:r>
        <w:rPr>
          <w:rFonts w:hint="eastAsia" w:ascii="仿宋_GB2312" w:eastAsia="仿宋_GB2312" w:cs="DengXian-Regular"/>
          <w:sz w:val="32"/>
          <w:szCs w:val="32"/>
        </w:rPr>
        <w:t>设1个职能股室，即</w:t>
      </w:r>
      <w:r>
        <w:rPr>
          <w:rFonts w:ascii="仿宋_GB2312" w:eastAsia="仿宋_GB2312" w:cs="DengXian-Regular"/>
          <w:sz w:val="32"/>
          <w:szCs w:val="32"/>
        </w:rPr>
        <w:t>综合股</w:t>
      </w:r>
      <w:r>
        <w:rPr>
          <w:rFonts w:hint="eastAsia" w:ascii="仿宋_GB2312" w:eastAsia="仿宋_GB2312" w:cs="DengXian-Regular"/>
          <w:sz w:val="32"/>
          <w:szCs w:val="32"/>
        </w:rPr>
        <w:t>。团区委根据绩效预算管理改革的相关要求，按照“部门职责—工作活动绩效目标”的层级设立了绩效预算架构，职责活动包括：</w:t>
      </w:r>
      <w:bookmarkStart w:id="6" w:name="_Toc465149499"/>
      <w:bookmarkStart w:id="7" w:name="_Toc492652765"/>
    </w:p>
    <w:p>
      <w:pPr>
        <w:spacing w:after="0" w:line="60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一）负责</w:t>
      </w:r>
      <w:r>
        <w:rPr>
          <w:rFonts w:hint="eastAsia" w:ascii="仿宋_GB2312" w:eastAsia="仿宋_GB2312" w:cs="DengXian-Regular"/>
          <w:sz w:val="32"/>
          <w:szCs w:val="32"/>
        </w:rPr>
        <w:t>团区委</w:t>
      </w:r>
      <w:r>
        <w:rPr>
          <w:rFonts w:ascii="仿宋_GB2312" w:eastAsia="仿宋_GB2312" w:cs="DengXian-Regular"/>
          <w:sz w:val="32"/>
          <w:szCs w:val="32"/>
        </w:rPr>
        <w:t>各项工作制度，工作目标的制定和监督执行；承办团区委各种会议及机关日常事务；负责机关资产</w:t>
      </w:r>
      <w:r>
        <w:rPr>
          <w:rFonts w:hint="eastAsia" w:ascii="仿宋_GB2312" w:eastAsia="仿宋_GB2312" w:cs="DengXian-Regular"/>
          <w:sz w:val="32"/>
          <w:szCs w:val="32"/>
        </w:rPr>
        <w:t>、</w:t>
      </w:r>
      <w:r>
        <w:rPr>
          <w:rFonts w:ascii="仿宋_GB2312" w:eastAsia="仿宋_GB2312" w:cs="DengXian-Regular"/>
          <w:sz w:val="32"/>
          <w:szCs w:val="32"/>
        </w:rPr>
        <w:t>财务管理</w:t>
      </w:r>
      <w:r>
        <w:rPr>
          <w:rFonts w:hint="eastAsia" w:ascii="仿宋_GB2312" w:eastAsia="仿宋_GB2312" w:cs="DengXian-Regular"/>
          <w:sz w:val="32"/>
          <w:szCs w:val="32"/>
        </w:rPr>
        <w:t>等其他</w:t>
      </w:r>
      <w:r>
        <w:rPr>
          <w:rFonts w:ascii="仿宋_GB2312" w:eastAsia="仿宋_GB2312" w:cs="DengXian-Regular"/>
          <w:sz w:val="32"/>
          <w:szCs w:val="32"/>
        </w:rPr>
        <w:t>后勤服务工作。</w:t>
      </w:r>
    </w:p>
    <w:p>
      <w:pPr>
        <w:spacing w:after="0" w:line="60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二）</w:t>
      </w:r>
      <w:r>
        <w:rPr>
          <w:rFonts w:hint="eastAsia" w:ascii="仿宋_GB2312" w:eastAsia="仿宋_GB2312" w:cs="DengXian-Regular"/>
          <w:sz w:val="32"/>
          <w:szCs w:val="32"/>
        </w:rPr>
        <w:t>负责基层团组织建设</w:t>
      </w:r>
      <w:r>
        <w:rPr>
          <w:rFonts w:ascii="仿宋_GB2312" w:eastAsia="仿宋_GB2312" w:cs="DengXian-Regular"/>
          <w:sz w:val="32"/>
          <w:szCs w:val="32"/>
        </w:rPr>
        <w:t>，团干部队伍</w:t>
      </w:r>
      <w:r>
        <w:rPr>
          <w:rFonts w:hint="eastAsia" w:ascii="仿宋_GB2312" w:eastAsia="仿宋_GB2312" w:cs="DengXian-Regular"/>
          <w:sz w:val="32"/>
          <w:szCs w:val="32"/>
        </w:rPr>
        <w:t>和</w:t>
      </w:r>
      <w:r>
        <w:rPr>
          <w:rFonts w:ascii="仿宋_GB2312" w:eastAsia="仿宋_GB2312" w:cs="DengXian-Regular"/>
          <w:sz w:val="32"/>
          <w:szCs w:val="32"/>
        </w:rPr>
        <w:t>团员队伍的管理及机关和所属事业单位的人事管理工作；推荐优秀团员</w:t>
      </w:r>
      <w:r>
        <w:rPr>
          <w:rFonts w:hint="eastAsia" w:ascii="仿宋_GB2312" w:eastAsia="仿宋_GB2312" w:cs="DengXian-Regular"/>
          <w:sz w:val="32"/>
          <w:szCs w:val="32"/>
        </w:rPr>
        <w:t>做党的发展</w:t>
      </w:r>
      <w:r>
        <w:rPr>
          <w:rFonts w:ascii="仿宋_GB2312" w:eastAsia="仿宋_GB2312" w:cs="DengXian-Regular"/>
          <w:sz w:val="32"/>
          <w:szCs w:val="32"/>
        </w:rPr>
        <w:t>对象和推荐</w:t>
      </w:r>
      <w:r>
        <w:rPr>
          <w:rFonts w:hint="eastAsia" w:ascii="仿宋_GB2312" w:eastAsia="仿宋_GB2312" w:cs="DengXian-Regular"/>
          <w:sz w:val="32"/>
          <w:szCs w:val="32"/>
        </w:rPr>
        <w:t>优秀</w:t>
      </w:r>
      <w:r>
        <w:rPr>
          <w:rFonts w:ascii="仿宋_GB2312" w:eastAsia="仿宋_GB2312" w:cs="DengXian-Regular"/>
          <w:sz w:val="32"/>
          <w:szCs w:val="32"/>
        </w:rPr>
        <w:t>青年人才上岗。</w:t>
      </w:r>
    </w:p>
    <w:p>
      <w:pPr>
        <w:spacing w:after="0" w:line="60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三）</w:t>
      </w:r>
      <w:r>
        <w:rPr>
          <w:rFonts w:hint="eastAsia" w:ascii="仿宋_GB2312" w:eastAsia="仿宋_GB2312" w:cs="DengXian-Regular"/>
          <w:sz w:val="32"/>
          <w:szCs w:val="32"/>
        </w:rPr>
        <w:t>负责青年</w:t>
      </w:r>
      <w:r>
        <w:rPr>
          <w:rFonts w:ascii="仿宋_GB2312" w:eastAsia="仿宋_GB2312" w:cs="DengXian-Regular"/>
          <w:sz w:val="32"/>
          <w:szCs w:val="32"/>
        </w:rPr>
        <w:t>的思想</w:t>
      </w:r>
      <w:r>
        <w:rPr>
          <w:rFonts w:hint="eastAsia" w:ascii="仿宋_GB2312" w:eastAsia="仿宋_GB2312" w:cs="DengXian-Regular"/>
          <w:sz w:val="32"/>
          <w:szCs w:val="32"/>
        </w:rPr>
        <w:t>、</w:t>
      </w:r>
      <w:r>
        <w:rPr>
          <w:rFonts w:ascii="仿宋_GB2312" w:eastAsia="仿宋_GB2312" w:cs="DengXian-Regular"/>
          <w:sz w:val="32"/>
          <w:szCs w:val="32"/>
        </w:rPr>
        <w:t>文化</w:t>
      </w:r>
      <w:r>
        <w:rPr>
          <w:rFonts w:hint="eastAsia" w:ascii="仿宋_GB2312" w:eastAsia="仿宋_GB2312" w:cs="DengXian-Regular"/>
          <w:sz w:val="32"/>
          <w:szCs w:val="32"/>
        </w:rPr>
        <w:t>、</w:t>
      </w:r>
      <w:r>
        <w:rPr>
          <w:rFonts w:ascii="仿宋_GB2312" w:eastAsia="仿宋_GB2312" w:cs="DengXian-Regular"/>
          <w:sz w:val="32"/>
          <w:szCs w:val="32"/>
        </w:rPr>
        <w:t>道德建设；负责见义勇为奖励基金的管理和青少年的维权工作；承担团区委的新闻宣传工作和团的宣传队伍建设。</w:t>
      </w:r>
    </w:p>
    <w:p>
      <w:pPr>
        <w:spacing w:after="0" w:line="60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四）负责青工、青农</w:t>
      </w:r>
      <w:r>
        <w:rPr>
          <w:rFonts w:hint="eastAsia" w:ascii="仿宋_GB2312" w:eastAsia="仿宋_GB2312" w:cs="DengXian-Regular"/>
          <w:sz w:val="32"/>
          <w:szCs w:val="32"/>
        </w:rPr>
        <w:t>战线团的工作</w:t>
      </w:r>
      <w:r>
        <w:rPr>
          <w:rFonts w:ascii="仿宋_GB2312" w:eastAsia="仿宋_GB2312" w:cs="DengXian-Regular"/>
          <w:sz w:val="32"/>
          <w:szCs w:val="32"/>
        </w:rPr>
        <w:t>；组织创建青年文明号、青年岗位能</w:t>
      </w:r>
      <w:r>
        <w:rPr>
          <w:rFonts w:hint="eastAsia" w:ascii="仿宋_GB2312" w:eastAsia="仿宋_GB2312" w:cs="DengXian-Regular"/>
          <w:sz w:val="32"/>
          <w:szCs w:val="32"/>
        </w:rPr>
        <w:t>手农村科技星</w:t>
      </w:r>
      <w:r>
        <w:rPr>
          <w:rFonts w:ascii="仿宋_GB2312" w:eastAsia="仿宋_GB2312" w:cs="DengXian-Regular"/>
          <w:sz w:val="32"/>
          <w:szCs w:val="32"/>
        </w:rPr>
        <w:t>带头人及保护母亲</w:t>
      </w:r>
      <w:r>
        <w:rPr>
          <w:rFonts w:hint="eastAsia" w:ascii="仿宋_GB2312" w:eastAsia="仿宋_GB2312" w:cs="DengXian-Regular"/>
          <w:sz w:val="32"/>
          <w:szCs w:val="32"/>
        </w:rPr>
        <w:t>河</w:t>
      </w:r>
      <w:r>
        <w:rPr>
          <w:rFonts w:ascii="仿宋_GB2312" w:eastAsia="仿宋_GB2312" w:cs="DengXian-Regular"/>
          <w:sz w:val="32"/>
          <w:szCs w:val="32"/>
        </w:rPr>
        <w:t>活动</w:t>
      </w:r>
      <w:r>
        <w:rPr>
          <w:rFonts w:hint="eastAsia" w:ascii="仿宋_GB2312" w:eastAsia="仿宋_GB2312" w:cs="DengXian-Regular"/>
          <w:sz w:val="32"/>
          <w:szCs w:val="32"/>
        </w:rPr>
        <w:t>；</w:t>
      </w:r>
      <w:r>
        <w:rPr>
          <w:rFonts w:ascii="仿宋_GB2312" w:eastAsia="仿宋_GB2312" w:cs="DengXian-Regular"/>
          <w:sz w:val="32"/>
          <w:szCs w:val="32"/>
        </w:rPr>
        <w:t>指导青年企业家协会、乡镇企业家协会等外围青工组织开展活动。</w:t>
      </w:r>
    </w:p>
    <w:p>
      <w:pPr>
        <w:pStyle w:val="4"/>
        <w:adjustRightInd w:val="0"/>
        <w:snapToGrid w:val="0"/>
        <w:spacing w:before="0" w:after="0" w:line="600" w:lineRule="exact"/>
        <w:ind w:firstLine="643" w:firstLineChars="200"/>
        <w:jc w:val="both"/>
        <w:rPr>
          <w:rFonts w:ascii="仿宋_GB2312" w:hAnsi="Tahoma" w:cs="DengXian-Regular"/>
          <w:sz w:val="32"/>
        </w:rPr>
      </w:pPr>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按照2019年绩效预算编制要求，团区委设置的年度发展规划总体目标为：</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紧紧围绕全区中心工作和区委重要部署，领导全区共青团工作，指导全区青、学联和少先队工作，对全区性青年社团组织指导和管理；对青年工作院校、青少年活动阵地和青少年服务机构的建设等进行规划和管理；协助区政府教育部门做好学生教育管理工作。参与制定全区的青少年事业发展规划和青少年工作方针、政策</w:t>
      </w:r>
      <w:r>
        <w:rPr>
          <w:rFonts w:ascii="仿宋" w:hAnsi="仿宋" w:eastAsia="仿宋"/>
          <w:sz w:val="32"/>
          <w:szCs w:val="32"/>
        </w:rPr>
        <w:t>;</w:t>
      </w:r>
      <w:r>
        <w:rPr>
          <w:rFonts w:hint="eastAsia" w:ascii="仿宋" w:hAnsi="仿宋" w:eastAsia="仿宋"/>
          <w:sz w:val="32"/>
          <w:szCs w:val="32"/>
        </w:rPr>
        <w:t>承担区委、区政府和团省委、团市委交办的有关事项。围绕青年思想动态和青年工作状况，研究青少年运动、青少年工作理论和思想教育问题开展调研活动；围绕经济建设开展团的各项活动；参与制定有关本区的青年统战工作的政策，做好青年统战对象的团结教育工作。</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pPr>
        <w:spacing w:line="500" w:lineRule="exact"/>
        <w:ind w:firstLine="560"/>
        <w:rPr>
          <w:rFonts w:ascii="仿宋" w:hAnsi="仿宋" w:eastAsia="仿宋"/>
          <w:sz w:val="32"/>
          <w:szCs w:val="32"/>
        </w:rPr>
      </w:pPr>
      <w:r>
        <w:rPr>
          <w:rFonts w:hint="eastAsia" w:ascii="仿宋" w:hAnsi="仿宋" w:eastAsia="仿宋"/>
          <w:sz w:val="32"/>
          <w:szCs w:val="32"/>
        </w:rPr>
        <w:t>（一）组织建设和宣传教育工作</w:t>
      </w:r>
    </w:p>
    <w:p>
      <w:pPr>
        <w:spacing w:line="500" w:lineRule="exact"/>
        <w:ind w:firstLine="56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、组织建设。基层组织和基层建设，强化团干部教育培训，加强思想和作风建设；加强青联、学联、组织建设，加强青年志愿组织和青年社会组织及青少年活动阵地的指导和管理；基层团组织服务能力不断提高。</w:t>
      </w:r>
    </w:p>
    <w:p>
      <w:pPr>
        <w:spacing w:line="500" w:lineRule="exact"/>
        <w:ind w:firstLine="56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、宣传教育。（</w:t>
      </w:r>
      <w:r>
        <w:rPr>
          <w:rFonts w:ascii="仿宋" w:hAnsi="仿宋" w:eastAsia="仿宋"/>
          <w:sz w:val="32"/>
          <w:szCs w:val="32"/>
        </w:rPr>
        <w:t>1</w:t>
      </w:r>
      <w:r>
        <w:rPr>
          <w:rFonts w:hint="eastAsia" w:ascii="仿宋" w:hAnsi="仿宋" w:eastAsia="仿宋"/>
          <w:sz w:val="32"/>
          <w:szCs w:val="32"/>
        </w:rPr>
        <w:t>）加强少工委的组织建设，利用重要节点节日、各类阵地、各种形式进行思想引导，打造适应青少年特点的文化产品，维护青少年队伍稳定，促进和谐社会建设。（</w:t>
      </w:r>
      <w:r>
        <w:rPr>
          <w:rFonts w:ascii="仿宋" w:hAnsi="仿宋" w:eastAsia="仿宋"/>
          <w:sz w:val="32"/>
          <w:szCs w:val="32"/>
        </w:rPr>
        <w:t>2</w:t>
      </w:r>
      <w:r>
        <w:rPr>
          <w:rFonts w:hint="eastAsia" w:ascii="仿宋" w:hAnsi="仿宋" w:eastAsia="仿宋"/>
          <w:sz w:val="32"/>
          <w:szCs w:val="32"/>
        </w:rPr>
        <w:t>）隆重纪念</w:t>
      </w:r>
      <w:r>
        <w:rPr>
          <w:rFonts w:ascii="仿宋" w:hAnsi="仿宋" w:eastAsia="仿宋"/>
          <w:sz w:val="32"/>
          <w:szCs w:val="32"/>
        </w:rPr>
        <w:t>“</w:t>
      </w:r>
      <w:r>
        <w:rPr>
          <w:rFonts w:hint="eastAsia" w:ascii="仿宋" w:hAnsi="仿宋" w:eastAsia="仿宋"/>
          <w:sz w:val="32"/>
          <w:szCs w:val="32"/>
        </w:rPr>
        <w:t>五四运动</w:t>
      </w:r>
      <w:r>
        <w:rPr>
          <w:rFonts w:ascii="仿宋" w:hAnsi="仿宋" w:eastAsia="仿宋"/>
          <w:sz w:val="32"/>
          <w:szCs w:val="32"/>
        </w:rPr>
        <w:t>”</w:t>
      </w:r>
      <w:r>
        <w:rPr>
          <w:rFonts w:hint="eastAsia" w:ascii="仿宋" w:hAnsi="仿宋" w:eastAsia="仿宋"/>
          <w:sz w:val="32"/>
          <w:szCs w:val="32"/>
        </w:rPr>
        <w:t>，开展一系列的主题活动，培养青年骨干，表彰共青团优秀个人和先进集体和庆祝青年的节日，加强对青少年活动阵地的建设，维护青少年队伍稳定，促进和谐社会建设。</w:t>
      </w:r>
    </w:p>
    <w:p>
      <w:pPr>
        <w:spacing w:line="500" w:lineRule="exact"/>
        <w:ind w:firstLine="560"/>
        <w:rPr>
          <w:rFonts w:ascii="仿宋" w:hAnsi="仿宋" w:eastAsia="仿宋"/>
          <w:sz w:val="32"/>
          <w:szCs w:val="32"/>
        </w:rPr>
      </w:pPr>
      <w:r>
        <w:rPr>
          <w:rFonts w:hint="eastAsia" w:ascii="仿宋" w:hAnsi="仿宋" w:eastAsia="仿宋"/>
          <w:sz w:val="32"/>
          <w:szCs w:val="32"/>
        </w:rPr>
        <w:t>（二）服务、引导青少年工作</w:t>
      </w:r>
    </w:p>
    <w:p>
      <w:pPr>
        <w:spacing w:line="500" w:lineRule="exact"/>
        <w:ind w:firstLine="560"/>
        <w:rPr>
          <w:rFonts w:ascii="仿宋" w:hAnsi="仿宋" w:eastAsia="仿宋"/>
          <w:sz w:val="32"/>
          <w:szCs w:val="32"/>
        </w:rPr>
      </w:pPr>
      <w:r>
        <w:rPr>
          <w:rFonts w:hint="eastAsia" w:ascii="仿宋" w:hAnsi="仿宋" w:eastAsia="仿宋"/>
          <w:sz w:val="32"/>
          <w:szCs w:val="32"/>
        </w:rPr>
        <w:t>青少年引导工作，围绕青年思想动态和青年工作现况，围绕党政中心工作开展青年志愿者活动，做好青年统战对象的团结教育、引导、服务工作，为全区经济社会发展贡献力量。</w:t>
      </w:r>
    </w:p>
    <w:p>
      <w:pPr>
        <w:spacing w:line="500" w:lineRule="exact"/>
        <w:ind w:firstLine="560"/>
        <w:rPr>
          <w:rFonts w:ascii="仿宋" w:hAnsi="仿宋" w:eastAsia="仿宋"/>
          <w:sz w:val="32"/>
          <w:szCs w:val="32"/>
        </w:rPr>
      </w:pPr>
      <w:r>
        <w:rPr>
          <w:rFonts w:hint="eastAsia" w:ascii="仿宋" w:hAnsi="仿宋" w:eastAsia="仿宋"/>
          <w:sz w:val="32"/>
          <w:szCs w:val="32"/>
        </w:rPr>
        <w:t>（三）维护青少年权益工作</w:t>
      </w:r>
    </w:p>
    <w:p>
      <w:pPr>
        <w:spacing w:line="500" w:lineRule="exact"/>
        <w:ind w:firstLine="560"/>
        <w:rPr>
          <w:rFonts w:ascii="仿宋" w:hAnsi="仿宋" w:eastAsia="仿宋"/>
          <w:sz w:val="32"/>
          <w:szCs w:val="32"/>
        </w:rPr>
      </w:pPr>
      <w:r>
        <w:rPr>
          <w:rFonts w:hint="eastAsia" w:ascii="仿宋" w:hAnsi="仿宋" w:eastAsia="仿宋"/>
          <w:sz w:val="32"/>
          <w:szCs w:val="32"/>
        </w:rPr>
        <w:t>预防青少年违法犯罪，广泛开展主题鲜明的教育实践活动，增强青少年学法、尊法、守法、用法意识，推动青少年事务社会工作有效开展</w:t>
      </w:r>
    </w:p>
    <w:p>
      <w:pPr>
        <w:spacing w:line="500" w:lineRule="exact"/>
        <w:ind w:firstLine="560"/>
        <w:rPr>
          <w:rFonts w:ascii="仿宋" w:hAnsi="仿宋" w:eastAsia="仿宋"/>
          <w:sz w:val="32"/>
          <w:szCs w:val="32"/>
        </w:rPr>
      </w:pPr>
      <w:r>
        <w:rPr>
          <w:rFonts w:hint="eastAsia" w:ascii="仿宋" w:hAnsi="仿宋" w:eastAsia="仿宋"/>
          <w:sz w:val="32"/>
          <w:szCs w:val="32"/>
        </w:rPr>
        <w:t>（四）团委事务管理</w:t>
      </w:r>
    </w:p>
    <w:p>
      <w:pPr>
        <w:spacing w:after="0" w:line="600" w:lineRule="exact"/>
        <w:ind w:firstLine="640" w:firstLineChars="200"/>
        <w:jc w:val="both"/>
        <w:rPr>
          <w:rFonts w:ascii="仿宋_GB2312" w:hAnsi="仿宋" w:eastAsia="仿宋_GB2312"/>
          <w:sz w:val="32"/>
          <w:szCs w:val="32"/>
        </w:rPr>
      </w:pPr>
      <w:r>
        <w:rPr>
          <w:rFonts w:hint="eastAsia" w:ascii="仿宋" w:hAnsi="仿宋" w:eastAsia="仿宋"/>
          <w:sz w:val="32"/>
          <w:szCs w:val="32"/>
        </w:rPr>
        <w:t>团委综合事务管理，负责团区委综合业务，参与制定全区的青少年事业发展规划和青少年工作方针、政策</w:t>
      </w:r>
      <w:r>
        <w:rPr>
          <w:rFonts w:ascii="仿宋" w:hAnsi="仿宋" w:eastAsia="仿宋"/>
          <w:sz w:val="32"/>
          <w:szCs w:val="32"/>
        </w:rPr>
        <w:t>;</w:t>
      </w:r>
      <w:r>
        <w:rPr>
          <w:rFonts w:hint="eastAsia" w:ascii="仿宋" w:hAnsi="仿宋" w:eastAsia="仿宋"/>
          <w:sz w:val="32"/>
          <w:szCs w:val="32"/>
        </w:rPr>
        <w:t>承担区委、区政府和省市团委交办的有关事项。高质量完成全区青少年发展规划和方针政策的制定，圆满完成区委、区政府和省市团委交办的各项任务。</w:t>
      </w:r>
    </w:p>
    <w:p>
      <w:pPr>
        <w:pStyle w:val="4"/>
        <w:adjustRightInd w:val="0"/>
        <w:snapToGrid w:val="0"/>
        <w:spacing w:before="0" w:after="0" w:line="600" w:lineRule="exact"/>
        <w:ind w:firstLine="643" w:firstLineChars="200"/>
        <w:jc w:val="both"/>
        <w:rPr>
          <w:rFonts w:ascii="仿宋_GB2312" w:hAnsi="Tahoma" w:cs="DengXian-Regular"/>
          <w:sz w:val="32"/>
        </w:rPr>
      </w:pPr>
      <w:bookmarkStart w:id="9" w:name="_Toc1678"/>
      <w:bookmarkStart w:id="10" w:name="_Toc492652766"/>
      <w:bookmarkStart w:id="11" w:name="_Toc465149500"/>
      <w:r>
        <w:rPr>
          <w:rFonts w:hint="eastAsia" w:ascii="仿宋_GB2312" w:hAnsi="Tahoma" w:cs="DengXian-Regular"/>
          <w:sz w:val="32"/>
        </w:rPr>
        <w:t>（三）部门预算收入及决算收入</w:t>
      </w:r>
      <w:bookmarkEnd w:id="9"/>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2019年团区委预算收入</w:t>
      </w:r>
      <w:r>
        <w:rPr>
          <w:rFonts w:hint="eastAsia" w:ascii="仿宋" w:hAnsi="仿宋" w:eastAsia="仿宋"/>
          <w:sz w:val="32"/>
          <w:szCs w:val="32"/>
        </w:rPr>
        <w:t>56.23</w:t>
      </w:r>
      <w:r>
        <w:rPr>
          <w:rFonts w:hint="eastAsia" w:ascii="仿宋_GB2312" w:eastAsia="仿宋_GB2312" w:cs="DengXian-Regular"/>
          <w:sz w:val="32"/>
          <w:szCs w:val="32"/>
        </w:rPr>
        <w:t>万元，均为一般公共预算拨款，其中：财政拨款</w:t>
      </w:r>
      <w:r>
        <w:rPr>
          <w:rFonts w:hint="eastAsia" w:ascii="仿宋" w:hAnsi="仿宋" w:eastAsia="仿宋"/>
          <w:sz w:val="32"/>
          <w:szCs w:val="32"/>
        </w:rPr>
        <w:t>56.23</w:t>
      </w:r>
      <w:r>
        <w:rPr>
          <w:rFonts w:hint="eastAsia" w:ascii="仿宋_GB2312" w:eastAsia="仿宋_GB2312" w:cs="DengXian-Regular"/>
          <w:sz w:val="32"/>
          <w:szCs w:val="32"/>
        </w:rPr>
        <w:t>万元。预算收入按功能分类包含：一般公共服务支出</w:t>
      </w:r>
      <w:r>
        <w:rPr>
          <w:rFonts w:ascii="仿宋_GB2312" w:eastAsia="仿宋_GB2312" w:cs="DengXian-Regular"/>
          <w:sz w:val="32"/>
          <w:szCs w:val="32"/>
        </w:rPr>
        <w:t>51.87</w:t>
      </w:r>
      <w:r>
        <w:rPr>
          <w:rFonts w:hint="eastAsia" w:ascii="仿宋_GB2312" w:eastAsia="仿宋_GB2312" w:cs="DengXian-Regular"/>
          <w:sz w:val="32"/>
          <w:szCs w:val="32"/>
        </w:rPr>
        <w:t>万元，社会保障和就业支出</w:t>
      </w:r>
      <w:r>
        <w:rPr>
          <w:rFonts w:ascii="仿宋_GB2312" w:eastAsia="仿宋_GB2312" w:cs="DengXian-Regular"/>
          <w:sz w:val="32"/>
          <w:szCs w:val="32"/>
        </w:rPr>
        <w:t>2.29</w:t>
      </w:r>
      <w:r>
        <w:rPr>
          <w:rFonts w:hint="eastAsia" w:ascii="仿宋_GB2312" w:eastAsia="仿宋_GB2312" w:cs="DengXian-Regular"/>
          <w:sz w:val="32"/>
          <w:szCs w:val="32"/>
        </w:rPr>
        <w:t>万元，医疗卫生与计划生育支出</w:t>
      </w:r>
      <w:r>
        <w:rPr>
          <w:rFonts w:ascii="仿宋_GB2312" w:eastAsia="仿宋_GB2312" w:cs="DengXian-Regular"/>
          <w:sz w:val="32"/>
          <w:szCs w:val="32"/>
        </w:rPr>
        <w:t>0.7</w:t>
      </w:r>
      <w:r>
        <w:rPr>
          <w:rFonts w:hint="eastAsia" w:ascii="仿宋_GB2312" w:eastAsia="仿宋_GB2312" w:cs="DengXian-Regular"/>
          <w:sz w:val="32"/>
          <w:szCs w:val="32"/>
        </w:rPr>
        <w:t>万元，住房保障支出</w:t>
      </w:r>
      <w:r>
        <w:rPr>
          <w:rFonts w:ascii="仿宋_GB2312" w:eastAsia="仿宋_GB2312" w:cs="DengXian-Regular"/>
          <w:sz w:val="32"/>
          <w:szCs w:val="32"/>
        </w:rPr>
        <w:t>1.37</w:t>
      </w:r>
      <w:r>
        <w:rPr>
          <w:rFonts w:hint="eastAsia" w:ascii="仿宋_GB2312" w:eastAsia="仿宋_GB2312" w:cs="DengXian-Regular"/>
          <w:sz w:val="32"/>
          <w:szCs w:val="32"/>
        </w:rPr>
        <w:t>万元。</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2019年团区委决算收入</w:t>
      </w:r>
      <w:r>
        <w:rPr>
          <w:rFonts w:ascii="仿宋_GB2312" w:eastAsia="仿宋_GB2312" w:cs="DengXian-Regular"/>
          <w:sz w:val="32"/>
          <w:szCs w:val="32"/>
        </w:rPr>
        <w:t>47.33</w:t>
      </w:r>
      <w:r>
        <w:rPr>
          <w:rFonts w:hint="eastAsia" w:ascii="仿宋_GB2312" w:eastAsia="仿宋_GB2312" w:cs="DengXian-Regular"/>
          <w:sz w:val="32"/>
          <w:szCs w:val="32"/>
        </w:rPr>
        <w:t>万元，其中：财政拨款收入</w:t>
      </w:r>
      <w:r>
        <w:rPr>
          <w:rFonts w:ascii="仿宋_GB2312" w:eastAsia="仿宋_GB2312" w:cs="DengXian-Regular"/>
          <w:sz w:val="32"/>
          <w:szCs w:val="32"/>
        </w:rPr>
        <w:t>47.28</w:t>
      </w:r>
      <w:r>
        <w:rPr>
          <w:rFonts w:hint="eastAsia" w:ascii="仿宋_GB2312" w:eastAsia="仿宋_GB2312" w:cs="DengXian-Regular"/>
          <w:sz w:val="32"/>
          <w:szCs w:val="32"/>
        </w:rPr>
        <w:t>万元，其他收入0.0</w:t>
      </w:r>
      <w:r>
        <w:rPr>
          <w:rFonts w:ascii="仿宋_GB2312" w:eastAsia="仿宋_GB2312" w:cs="DengXian-Regular"/>
          <w:sz w:val="32"/>
          <w:szCs w:val="32"/>
        </w:rPr>
        <w:t>5</w:t>
      </w:r>
      <w:r>
        <w:rPr>
          <w:rFonts w:hint="eastAsia" w:ascii="仿宋_GB2312" w:eastAsia="仿宋_GB2312" w:cs="DengXian-Regular"/>
          <w:sz w:val="32"/>
          <w:szCs w:val="32"/>
        </w:rPr>
        <w:t>万元（全部为利息收入）。决算收入按功能分类包含：一般公共服务支出</w:t>
      </w:r>
      <w:r>
        <w:rPr>
          <w:rFonts w:ascii="仿宋_GB2312" w:eastAsia="仿宋_GB2312" w:cs="DengXian-Regular"/>
          <w:sz w:val="32"/>
          <w:szCs w:val="32"/>
        </w:rPr>
        <w:t>42.34</w:t>
      </w:r>
      <w:r>
        <w:rPr>
          <w:rFonts w:hint="eastAsia" w:ascii="仿宋_GB2312" w:eastAsia="仿宋_GB2312" w:cs="DengXian-Regular"/>
          <w:sz w:val="32"/>
          <w:szCs w:val="32"/>
        </w:rPr>
        <w:t>万元，占比</w:t>
      </w:r>
      <w:r>
        <w:rPr>
          <w:rFonts w:ascii="仿宋_GB2312" w:eastAsia="仿宋_GB2312" w:cs="DengXian-Regular"/>
          <w:sz w:val="32"/>
          <w:szCs w:val="32"/>
        </w:rPr>
        <w:t>89.46</w:t>
      </w:r>
      <w:r>
        <w:rPr>
          <w:rFonts w:hint="eastAsia" w:ascii="仿宋_GB2312" w:eastAsia="仿宋_GB2312" w:cs="DengXian-Regular"/>
          <w:sz w:val="32"/>
          <w:szCs w:val="32"/>
        </w:rPr>
        <w:t>%；社会保障和就业支出</w:t>
      </w:r>
      <w:r>
        <w:rPr>
          <w:rFonts w:ascii="仿宋_GB2312" w:eastAsia="仿宋_GB2312" w:cs="DengXian-Regular"/>
          <w:sz w:val="32"/>
          <w:szCs w:val="32"/>
        </w:rPr>
        <w:t>2.46</w:t>
      </w:r>
      <w:r>
        <w:rPr>
          <w:rFonts w:hint="eastAsia" w:ascii="仿宋_GB2312" w:eastAsia="仿宋_GB2312" w:cs="DengXian-Regular"/>
          <w:sz w:val="32"/>
          <w:szCs w:val="32"/>
        </w:rPr>
        <w:t>万元，占比</w:t>
      </w:r>
      <w:r>
        <w:rPr>
          <w:rFonts w:ascii="仿宋_GB2312" w:eastAsia="仿宋_GB2312" w:cs="DengXian-Regular"/>
          <w:sz w:val="32"/>
          <w:szCs w:val="32"/>
        </w:rPr>
        <w:t>5.2</w:t>
      </w:r>
      <w:r>
        <w:rPr>
          <w:rFonts w:hint="eastAsia" w:ascii="仿宋_GB2312" w:eastAsia="仿宋_GB2312" w:cs="DengXian-Regular"/>
          <w:sz w:val="32"/>
          <w:szCs w:val="32"/>
        </w:rPr>
        <w:t>%；医疗卫生与计划生育支出</w:t>
      </w:r>
      <w:r>
        <w:rPr>
          <w:rFonts w:ascii="仿宋_GB2312" w:eastAsia="仿宋_GB2312" w:cs="DengXian-Regular"/>
          <w:sz w:val="32"/>
          <w:szCs w:val="32"/>
        </w:rPr>
        <w:t>0.86</w:t>
      </w:r>
      <w:r>
        <w:rPr>
          <w:rFonts w:hint="eastAsia" w:ascii="仿宋_GB2312" w:eastAsia="仿宋_GB2312" w:cs="DengXian-Regular"/>
          <w:sz w:val="32"/>
          <w:szCs w:val="32"/>
        </w:rPr>
        <w:t>万元，占比</w:t>
      </w:r>
      <w:r>
        <w:rPr>
          <w:rFonts w:ascii="仿宋_GB2312" w:eastAsia="仿宋_GB2312" w:cs="DengXian-Regular"/>
          <w:sz w:val="32"/>
          <w:szCs w:val="32"/>
        </w:rPr>
        <w:t>1.82</w:t>
      </w:r>
      <w:r>
        <w:rPr>
          <w:rFonts w:hint="eastAsia" w:ascii="仿宋_GB2312" w:eastAsia="仿宋_GB2312" w:cs="DengXian-Regular"/>
          <w:sz w:val="32"/>
          <w:szCs w:val="32"/>
        </w:rPr>
        <w:t>%；住房保障支出</w:t>
      </w:r>
      <w:r>
        <w:rPr>
          <w:rFonts w:ascii="仿宋_GB2312" w:eastAsia="仿宋_GB2312" w:cs="DengXian-Regular"/>
          <w:sz w:val="32"/>
          <w:szCs w:val="32"/>
        </w:rPr>
        <w:t>1.68</w:t>
      </w:r>
      <w:r>
        <w:rPr>
          <w:rFonts w:hint="eastAsia" w:ascii="仿宋_GB2312" w:eastAsia="仿宋_GB2312" w:cs="DengXian-Regular"/>
          <w:sz w:val="32"/>
          <w:szCs w:val="32"/>
        </w:rPr>
        <w:t>万元，占比</w:t>
      </w:r>
      <w:r>
        <w:rPr>
          <w:rFonts w:ascii="仿宋_GB2312" w:eastAsia="仿宋_GB2312" w:cs="DengXian-Regular"/>
          <w:sz w:val="32"/>
          <w:szCs w:val="32"/>
        </w:rPr>
        <w:t>3.55</w:t>
      </w:r>
      <w:r>
        <w:rPr>
          <w:rFonts w:hint="eastAsia" w:ascii="仿宋_GB2312" w:eastAsia="仿宋_GB2312" w:cs="DengXian-Regular"/>
          <w:sz w:val="32"/>
          <w:szCs w:val="32"/>
        </w:rPr>
        <w:t>%。具体决算收入详见附件</w:t>
      </w:r>
    </w:p>
    <w:p>
      <w:pPr>
        <w:spacing w:after="0" w:line="60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团区委一般公共预算财政拨款决算收入比年初预算减少8</w:t>
      </w:r>
      <w:r>
        <w:rPr>
          <w:rFonts w:ascii="仿宋_GB2312" w:eastAsia="仿宋_GB2312" w:cs="DengXian-Regular"/>
          <w:sz w:val="32"/>
          <w:szCs w:val="32"/>
        </w:rPr>
        <w:t>.95</w:t>
      </w:r>
      <w:r>
        <w:rPr>
          <w:rFonts w:hint="eastAsia" w:ascii="仿宋_GB2312" w:eastAsia="仿宋_GB2312" w:cs="DengXian-Regular"/>
          <w:sz w:val="32"/>
          <w:szCs w:val="32"/>
        </w:rPr>
        <w:t>万元，完成年初预算的</w:t>
      </w:r>
      <w:r>
        <w:rPr>
          <w:rFonts w:ascii="仿宋_GB2312" w:eastAsia="仿宋_GB2312" w:cs="DengXian-Regular"/>
          <w:sz w:val="32"/>
          <w:szCs w:val="32"/>
        </w:rPr>
        <w:t>84.08</w:t>
      </w:r>
      <w:r>
        <w:rPr>
          <w:rFonts w:hint="eastAsia" w:ascii="仿宋_GB2312" w:eastAsia="仿宋_GB2312" w:cs="DengXian-Regular"/>
          <w:sz w:val="32"/>
          <w:szCs w:val="32"/>
        </w:rPr>
        <w:t>%。决算收入小于预算收入的主要原因是团区委无公务</w:t>
      </w:r>
      <w:r>
        <w:rPr>
          <w:rFonts w:ascii="仿宋_GB2312" w:eastAsia="仿宋_GB2312" w:cs="DengXian-Regular"/>
          <w:sz w:val="32"/>
          <w:szCs w:val="32"/>
        </w:rPr>
        <w:t>用车、</w:t>
      </w:r>
      <w:r>
        <w:rPr>
          <w:rFonts w:hint="eastAsia" w:ascii="仿宋_GB2312" w:eastAsia="仿宋_GB2312" w:cs="DengXian-Regular"/>
          <w:sz w:val="32"/>
          <w:szCs w:val="32"/>
        </w:rPr>
        <w:t>2019年度</w:t>
      </w:r>
      <w:r>
        <w:rPr>
          <w:rFonts w:ascii="仿宋_GB2312" w:eastAsia="仿宋_GB2312" w:cs="DengXian-Regular"/>
          <w:sz w:val="32"/>
          <w:szCs w:val="32"/>
        </w:rPr>
        <w:t>养老保险</w:t>
      </w:r>
      <w:r>
        <w:rPr>
          <w:rFonts w:hint="eastAsia" w:ascii="仿宋_GB2312" w:eastAsia="仿宋_GB2312" w:cs="DengXian-Regular"/>
          <w:sz w:val="32"/>
          <w:szCs w:val="32"/>
        </w:rPr>
        <w:t>单位</w:t>
      </w:r>
      <w:r>
        <w:rPr>
          <w:rFonts w:ascii="仿宋_GB2312" w:eastAsia="仿宋_GB2312" w:cs="DengXian-Regular"/>
          <w:sz w:val="32"/>
          <w:szCs w:val="32"/>
        </w:rPr>
        <w:t>部分的下调等</w:t>
      </w:r>
      <w:r>
        <w:rPr>
          <w:rFonts w:hint="eastAsia" w:ascii="仿宋_GB2312" w:eastAsia="仿宋_GB2312" w:cs="DengXian-Regular"/>
          <w:sz w:val="32"/>
          <w:szCs w:val="32"/>
        </w:rPr>
        <w:t>。</w:t>
      </w:r>
    </w:p>
    <w:p>
      <w:pPr>
        <w:pStyle w:val="4"/>
        <w:spacing w:before="0" w:after="0" w:line="600" w:lineRule="exact"/>
        <w:ind w:firstLine="643" w:firstLineChars="200"/>
        <w:jc w:val="both"/>
        <w:rPr>
          <w:rFonts w:ascii="仿宋_GB2312" w:hAnsiTheme="minorEastAsia"/>
          <w:sz w:val="32"/>
        </w:rPr>
      </w:pPr>
      <w:bookmarkStart w:id="12" w:name="_Toc18197"/>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pPr>
        <w:spacing w:after="0" w:line="600" w:lineRule="exact"/>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2019年度团区委</w:t>
      </w:r>
      <w:r>
        <w:rPr>
          <w:rFonts w:hint="eastAsia" w:ascii="仿宋_GB2312" w:eastAsia="仿宋_GB2312" w:cs="Times New Roman" w:hAnsiTheme="minorEastAsia"/>
          <w:sz w:val="32"/>
          <w:szCs w:val="32"/>
          <w:u w:color="000000"/>
        </w:rPr>
        <w:t>预算支出安排</w:t>
      </w:r>
      <w:r>
        <w:rPr>
          <w:rFonts w:ascii="仿宋_GB2312" w:eastAsia="仿宋_GB2312" w:cs="Times New Roman" w:hAnsiTheme="minorEastAsia"/>
          <w:sz w:val="32"/>
          <w:szCs w:val="32"/>
          <w:u w:color="000000"/>
        </w:rPr>
        <w:t>56.23</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44.43</w:t>
      </w:r>
      <w:r>
        <w:rPr>
          <w:rFonts w:hint="eastAsia" w:ascii="仿宋_GB2312" w:eastAsia="仿宋_GB2312" w:cs="Times New Roman" w:hAnsiTheme="minorEastAsia"/>
          <w:sz w:val="32"/>
          <w:szCs w:val="32"/>
          <w:u w:color="000000"/>
        </w:rPr>
        <w:t>万元，项目支出</w:t>
      </w:r>
      <w:r>
        <w:rPr>
          <w:rFonts w:ascii="仿宋_GB2312" w:eastAsia="仿宋_GB2312" w:cs="Times New Roman" w:hAnsiTheme="minorEastAsia"/>
          <w:sz w:val="32"/>
          <w:szCs w:val="32"/>
          <w:u w:color="000000"/>
        </w:rPr>
        <w:t>11.8</w:t>
      </w:r>
      <w:r>
        <w:rPr>
          <w:rFonts w:hint="eastAsia" w:ascii="仿宋_GB2312" w:eastAsia="仿宋_GB2312" w:cs="Times New Roman" w:hAnsiTheme="minorEastAsia"/>
          <w:sz w:val="32"/>
          <w:szCs w:val="32"/>
          <w:u w:color="000000"/>
        </w:rPr>
        <w:t>万元。预算支出按功能分类包含：</w:t>
      </w:r>
      <w:r>
        <w:rPr>
          <w:rFonts w:hint="eastAsia" w:ascii="仿宋_GB2312" w:eastAsia="仿宋_GB2312" w:cs="DengXian-Regular"/>
          <w:sz w:val="32"/>
          <w:szCs w:val="32"/>
        </w:rPr>
        <w:t>一般公共服务</w:t>
      </w:r>
      <w:r>
        <w:rPr>
          <w:rFonts w:hint="eastAsia" w:ascii="仿宋_GB2312" w:eastAsia="仿宋_GB2312" w:cs="Times New Roman" w:hAnsiTheme="minorEastAsia"/>
          <w:sz w:val="32"/>
          <w:szCs w:val="32"/>
          <w:u w:color="000000"/>
        </w:rPr>
        <w:t>支出</w:t>
      </w:r>
      <w:r>
        <w:rPr>
          <w:rFonts w:ascii="仿宋_GB2312" w:eastAsia="仿宋_GB2312" w:cs="Times New Roman" w:hAnsiTheme="minorEastAsia"/>
          <w:sz w:val="32"/>
          <w:szCs w:val="32"/>
          <w:u w:color="000000"/>
        </w:rPr>
        <w:t>51.87</w:t>
      </w:r>
      <w:r>
        <w:rPr>
          <w:rFonts w:hint="eastAsia" w:ascii="仿宋_GB2312" w:eastAsia="仿宋_GB2312" w:cs="Times New Roman" w:hAnsiTheme="minorEastAsia"/>
          <w:sz w:val="32"/>
          <w:szCs w:val="32"/>
          <w:u w:color="000000"/>
        </w:rPr>
        <w:t>万元，社会保障和就业支出</w:t>
      </w:r>
      <w:r>
        <w:rPr>
          <w:rFonts w:ascii="仿宋_GB2312" w:eastAsia="仿宋_GB2312" w:cs="Times New Roman" w:hAnsiTheme="minorEastAsia"/>
          <w:sz w:val="32"/>
          <w:szCs w:val="32"/>
          <w:u w:color="000000"/>
        </w:rPr>
        <w:t>2.29</w:t>
      </w:r>
      <w:r>
        <w:rPr>
          <w:rFonts w:hint="eastAsia" w:ascii="仿宋_GB2312" w:eastAsia="仿宋_GB2312" w:cs="Times New Roman" w:hAnsiTheme="minorEastAsia"/>
          <w:sz w:val="32"/>
          <w:szCs w:val="32"/>
          <w:u w:color="000000"/>
        </w:rPr>
        <w:t>万元，医疗卫生与计划教育支出</w:t>
      </w:r>
      <w:r>
        <w:rPr>
          <w:rFonts w:ascii="仿宋_GB2312" w:eastAsia="仿宋_GB2312" w:cs="Times New Roman" w:hAnsiTheme="minorEastAsia"/>
          <w:sz w:val="32"/>
          <w:szCs w:val="32"/>
          <w:u w:color="000000"/>
        </w:rPr>
        <w:t>0.7</w:t>
      </w:r>
      <w:r>
        <w:rPr>
          <w:rFonts w:hint="eastAsia" w:ascii="仿宋_GB2312" w:eastAsia="仿宋_GB2312" w:cs="Times New Roman" w:hAnsiTheme="minorEastAsia"/>
          <w:sz w:val="32"/>
          <w:szCs w:val="32"/>
          <w:u w:color="000000"/>
        </w:rPr>
        <w:t>万元，住房保障支出</w:t>
      </w:r>
      <w:r>
        <w:rPr>
          <w:rFonts w:ascii="仿宋_GB2312" w:eastAsia="仿宋_GB2312" w:cs="Times New Roman" w:hAnsiTheme="minorEastAsia"/>
          <w:sz w:val="32"/>
          <w:szCs w:val="32"/>
          <w:u w:color="000000"/>
        </w:rPr>
        <w:t>1.37</w:t>
      </w:r>
      <w:r>
        <w:rPr>
          <w:rFonts w:hint="eastAsia" w:ascii="仿宋_GB2312" w:eastAsia="仿宋_GB2312" w:cs="Times New Roman" w:hAnsiTheme="minorEastAsia"/>
          <w:sz w:val="32"/>
          <w:szCs w:val="32"/>
          <w:u w:color="000000"/>
        </w:rPr>
        <w:t>万元。</w:t>
      </w:r>
    </w:p>
    <w:p>
      <w:pPr>
        <w:spacing w:after="0" w:line="600" w:lineRule="exact"/>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2019年度团区委</w:t>
      </w:r>
      <w:r>
        <w:rPr>
          <w:rFonts w:hint="eastAsia" w:ascii="仿宋_GB2312" w:eastAsia="仿宋_GB2312" w:cs="Times New Roman" w:hAnsiTheme="minorEastAsia"/>
          <w:sz w:val="32"/>
          <w:szCs w:val="32"/>
          <w:u w:color="000000"/>
        </w:rPr>
        <w:t>决算支出为</w:t>
      </w:r>
      <w:r>
        <w:rPr>
          <w:rFonts w:ascii="仿宋_GB2312" w:eastAsia="仿宋_GB2312" w:cs="Times New Roman" w:hAnsiTheme="minorEastAsia"/>
          <w:sz w:val="32"/>
          <w:szCs w:val="32"/>
          <w:u w:color="000000"/>
        </w:rPr>
        <w:t>50.63</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39.05</w:t>
      </w:r>
      <w:r>
        <w:rPr>
          <w:rFonts w:hint="eastAsia" w:ascii="仿宋_GB2312" w:eastAsia="仿宋_GB2312" w:cs="Times New Roman" w:hAnsiTheme="minorEastAsia"/>
          <w:sz w:val="32"/>
          <w:szCs w:val="32"/>
          <w:u w:color="000000"/>
        </w:rPr>
        <w:t>万元，项目支出</w:t>
      </w:r>
      <w:r>
        <w:rPr>
          <w:rFonts w:ascii="仿宋_GB2312" w:eastAsia="仿宋_GB2312" w:cs="Times New Roman" w:hAnsiTheme="minorEastAsia"/>
          <w:sz w:val="32"/>
          <w:szCs w:val="32"/>
          <w:u w:color="000000"/>
        </w:rPr>
        <w:t>11.58</w:t>
      </w:r>
      <w:r>
        <w:rPr>
          <w:rFonts w:hint="eastAsia" w:ascii="仿宋_GB2312" w:eastAsia="仿宋_GB2312" w:cs="Times New Roman" w:hAnsiTheme="minorEastAsia"/>
          <w:sz w:val="32"/>
          <w:szCs w:val="32"/>
          <w:u w:color="000000"/>
        </w:rPr>
        <w:t>万元。决算支出按功能分类包含：</w:t>
      </w:r>
      <w:r>
        <w:rPr>
          <w:rFonts w:hint="eastAsia" w:ascii="仿宋_GB2312" w:eastAsia="仿宋_GB2312" w:cs="DengXian-Regular"/>
          <w:sz w:val="32"/>
          <w:szCs w:val="32"/>
        </w:rPr>
        <w:t>一般公共服务</w:t>
      </w:r>
      <w:r>
        <w:rPr>
          <w:rFonts w:hint="eastAsia" w:ascii="仿宋_GB2312" w:eastAsia="仿宋_GB2312" w:cs="Times New Roman" w:hAnsiTheme="minorEastAsia"/>
          <w:sz w:val="32"/>
          <w:szCs w:val="32"/>
          <w:u w:color="000000"/>
        </w:rPr>
        <w:t>支出</w:t>
      </w:r>
      <w:r>
        <w:rPr>
          <w:rFonts w:ascii="仿宋_GB2312" w:eastAsia="仿宋_GB2312" w:cs="Times New Roman" w:hAnsiTheme="minorEastAsia"/>
          <w:sz w:val="32"/>
          <w:szCs w:val="32"/>
          <w:u w:color="000000"/>
        </w:rPr>
        <w:t>45.63</w:t>
      </w:r>
      <w:r>
        <w:rPr>
          <w:rFonts w:hint="eastAsia" w:ascii="仿宋_GB2312" w:eastAsia="仿宋_GB2312" w:cs="Times New Roman" w:hAnsiTheme="minorEastAsia"/>
          <w:sz w:val="32"/>
          <w:szCs w:val="32"/>
          <w:u w:color="000000"/>
        </w:rPr>
        <w:t>万元，占比</w:t>
      </w:r>
      <w:r>
        <w:rPr>
          <w:rFonts w:ascii="仿宋_GB2312" w:eastAsia="仿宋_GB2312" w:cs="Times New Roman" w:hAnsiTheme="minorEastAsia"/>
          <w:sz w:val="32"/>
          <w:szCs w:val="32"/>
          <w:u w:color="000000"/>
        </w:rPr>
        <w:t>90.12</w:t>
      </w:r>
      <w:r>
        <w:rPr>
          <w:rFonts w:hint="eastAsia" w:ascii="仿宋_GB2312" w:eastAsia="仿宋_GB2312" w:cs="Times New Roman" w:hAnsiTheme="minorEastAsia"/>
          <w:sz w:val="32"/>
          <w:szCs w:val="32"/>
          <w:u w:color="000000"/>
        </w:rPr>
        <w:t>%；社会保障和就业支出</w:t>
      </w:r>
      <w:r>
        <w:rPr>
          <w:rFonts w:ascii="仿宋_GB2312" w:eastAsia="仿宋_GB2312" w:cs="Times New Roman" w:hAnsiTheme="minorEastAsia"/>
          <w:sz w:val="32"/>
          <w:szCs w:val="32"/>
          <w:u w:color="000000"/>
        </w:rPr>
        <w:t>2.47</w:t>
      </w:r>
      <w:r>
        <w:rPr>
          <w:rFonts w:hint="eastAsia" w:ascii="仿宋_GB2312" w:eastAsia="仿宋_GB2312" w:cs="Times New Roman" w:hAnsiTheme="minorEastAsia"/>
          <w:sz w:val="32"/>
          <w:szCs w:val="32"/>
          <w:u w:color="000000"/>
        </w:rPr>
        <w:t>万元，占比</w:t>
      </w:r>
      <w:r>
        <w:rPr>
          <w:rFonts w:ascii="仿宋_GB2312" w:eastAsia="仿宋_GB2312" w:cs="Times New Roman" w:hAnsiTheme="minorEastAsia"/>
          <w:sz w:val="32"/>
          <w:szCs w:val="32"/>
          <w:u w:color="000000"/>
        </w:rPr>
        <w:t>4.88</w:t>
      </w:r>
      <w:r>
        <w:rPr>
          <w:rFonts w:hint="eastAsia" w:ascii="仿宋_GB2312" w:eastAsia="仿宋_GB2312" w:cs="Times New Roman" w:hAnsiTheme="minorEastAsia"/>
          <w:sz w:val="32"/>
          <w:szCs w:val="32"/>
          <w:u w:color="000000"/>
        </w:rPr>
        <w:t>%；医疗卫生与计划教育支出</w:t>
      </w:r>
      <w:r>
        <w:rPr>
          <w:rFonts w:ascii="仿宋_GB2312" w:eastAsia="仿宋_GB2312" w:cs="Times New Roman" w:hAnsiTheme="minorEastAsia"/>
          <w:sz w:val="32"/>
          <w:szCs w:val="32"/>
          <w:u w:color="000000"/>
        </w:rPr>
        <w:t>0.8</w:t>
      </w:r>
      <w:r>
        <w:rPr>
          <w:rFonts w:hint="eastAsia" w:ascii="仿宋_GB2312" w:eastAsia="仿宋_GB2312" w:cs="Times New Roman" w:hAnsiTheme="minorEastAsia"/>
          <w:sz w:val="32"/>
          <w:szCs w:val="32"/>
          <w:u w:color="000000"/>
        </w:rPr>
        <w:t>6万元，占比</w:t>
      </w:r>
      <w:r>
        <w:rPr>
          <w:rFonts w:ascii="仿宋_GB2312" w:eastAsia="仿宋_GB2312" w:cs="Times New Roman" w:hAnsiTheme="minorEastAsia"/>
          <w:sz w:val="32"/>
          <w:szCs w:val="32"/>
          <w:u w:color="000000"/>
        </w:rPr>
        <w:t>1.7</w:t>
      </w:r>
      <w:r>
        <w:rPr>
          <w:rFonts w:hint="eastAsia" w:ascii="仿宋_GB2312" w:eastAsia="仿宋_GB2312" w:cs="Times New Roman" w:hAnsiTheme="minorEastAsia"/>
          <w:sz w:val="32"/>
          <w:szCs w:val="32"/>
          <w:u w:color="000000"/>
        </w:rPr>
        <w:t>%；住房保障支出</w:t>
      </w:r>
      <w:r>
        <w:rPr>
          <w:rFonts w:ascii="仿宋_GB2312" w:eastAsia="仿宋_GB2312" w:cs="Times New Roman" w:hAnsiTheme="minorEastAsia"/>
          <w:sz w:val="32"/>
          <w:szCs w:val="32"/>
          <w:u w:color="000000"/>
        </w:rPr>
        <w:t>1.68</w:t>
      </w:r>
      <w:r>
        <w:rPr>
          <w:rFonts w:hint="eastAsia" w:ascii="仿宋_GB2312" w:eastAsia="仿宋_GB2312" w:cs="Times New Roman" w:hAnsiTheme="minorEastAsia"/>
          <w:sz w:val="32"/>
          <w:szCs w:val="32"/>
          <w:u w:color="000000"/>
        </w:rPr>
        <w:t>万元，占比</w:t>
      </w:r>
      <w:r>
        <w:rPr>
          <w:rFonts w:ascii="仿宋_GB2312" w:eastAsia="仿宋_GB2312" w:cs="Times New Roman" w:hAnsiTheme="minorEastAsia"/>
          <w:sz w:val="32"/>
          <w:szCs w:val="32"/>
          <w:u w:color="000000"/>
        </w:rPr>
        <w:t>3.32</w:t>
      </w:r>
      <w:r>
        <w:rPr>
          <w:rFonts w:hint="eastAsia" w:ascii="仿宋_GB2312" w:eastAsia="仿宋_GB2312" w:cs="Times New Roman" w:hAnsiTheme="minorEastAsia"/>
          <w:sz w:val="32"/>
          <w:szCs w:val="32"/>
          <w:u w:color="000000"/>
        </w:rPr>
        <w:t>%。具体决算支出详见附件2。</w:t>
      </w:r>
    </w:p>
    <w:p>
      <w:pPr>
        <w:spacing w:after="0" w:line="600" w:lineRule="exact"/>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财政拨款决算支出比年初预算减少</w:t>
      </w:r>
      <w:r>
        <w:rPr>
          <w:rFonts w:ascii="仿宋_GB2312" w:eastAsia="仿宋_GB2312" w:cs="DengXian-Regular"/>
          <w:sz w:val="32"/>
          <w:szCs w:val="32"/>
        </w:rPr>
        <w:t>5.6</w:t>
      </w:r>
      <w:r>
        <w:rPr>
          <w:rFonts w:hint="eastAsia" w:ascii="仿宋_GB2312" w:eastAsia="仿宋_GB2312" w:cs="DengXian-Regular"/>
          <w:sz w:val="32"/>
          <w:szCs w:val="32"/>
        </w:rPr>
        <w:t>万元。决算支出完成年初预算的</w:t>
      </w:r>
      <w:r>
        <w:rPr>
          <w:rFonts w:ascii="仿宋_GB2312" w:eastAsia="仿宋_GB2312" w:cs="DengXian-Regular"/>
          <w:sz w:val="32"/>
          <w:szCs w:val="32"/>
        </w:rPr>
        <w:t>90.04</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决算支出小于预算支出的</w:t>
      </w:r>
      <w:r>
        <w:rPr>
          <w:rFonts w:hint="eastAsia" w:ascii="仿宋_GB2312" w:eastAsia="仿宋_GB2312" w:cs="DengXian-Regular"/>
          <w:sz w:val="32"/>
          <w:szCs w:val="32"/>
        </w:rPr>
        <w:t>主要原因为一般公共服务支出减少</w:t>
      </w:r>
      <w:r>
        <w:rPr>
          <w:rFonts w:hint="eastAsia" w:ascii="仿宋" w:hAnsi="仿宋" w:eastAsia="仿宋"/>
          <w:snapToGrid w:val="0"/>
          <w:sz w:val="32"/>
          <w:szCs w:val="32"/>
        </w:rPr>
        <w:t>。</w:t>
      </w:r>
    </w:p>
    <w:p>
      <w:pPr>
        <w:spacing w:after="0" w:line="60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团</w:t>
      </w:r>
      <w:r>
        <w:rPr>
          <w:rFonts w:ascii="仿宋_GB2312" w:eastAsia="仿宋_GB2312" w:cs="DengXian-Regular"/>
          <w:sz w:val="32"/>
          <w:szCs w:val="32"/>
        </w:rPr>
        <w:t>区</w:t>
      </w:r>
      <w:r>
        <w:rPr>
          <w:rFonts w:hint="eastAsia" w:ascii="仿宋_GB2312" w:eastAsia="仿宋_GB2312" w:cs="DengXian-Regular"/>
          <w:sz w:val="32"/>
          <w:szCs w:val="32"/>
        </w:rPr>
        <w:t>委2019年实际项目支出</w:t>
      </w:r>
      <w:r>
        <w:rPr>
          <w:rFonts w:ascii="仿宋_GB2312" w:eastAsia="仿宋_GB2312" w:cs="DengXian-Regular"/>
          <w:sz w:val="32"/>
          <w:szCs w:val="32"/>
        </w:rPr>
        <w:t>11.58</w:t>
      </w:r>
      <w:r>
        <w:rPr>
          <w:rFonts w:hint="eastAsia" w:ascii="仿宋_GB2312" w:eastAsia="仿宋_GB2312" w:cs="DengXian-Regular"/>
          <w:sz w:val="32"/>
          <w:szCs w:val="32"/>
        </w:rPr>
        <w:t>万元，决算报表中项目支出</w:t>
      </w:r>
      <w:r>
        <w:rPr>
          <w:rFonts w:ascii="仿宋_GB2312" w:eastAsia="仿宋_GB2312" w:cs="DengXian-Regular"/>
          <w:sz w:val="32"/>
          <w:szCs w:val="32"/>
        </w:rPr>
        <w:t>11.58</w:t>
      </w:r>
      <w:r>
        <w:rPr>
          <w:rFonts w:hint="eastAsia" w:ascii="仿宋_GB2312" w:eastAsia="仿宋_GB2312" w:cs="DengXian-Regular"/>
          <w:sz w:val="32"/>
          <w:szCs w:val="32"/>
        </w:rPr>
        <w:t>万元，实际支出与决算报表差0万元。</w:t>
      </w:r>
    </w:p>
    <w:p>
      <w:pPr>
        <w:pStyle w:val="4"/>
        <w:spacing w:before="0" w:after="0" w:line="600" w:lineRule="exact"/>
        <w:ind w:firstLine="643" w:firstLineChars="200"/>
        <w:jc w:val="both"/>
        <w:rPr>
          <w:rFonts w:ascii="仿宋_GB2312" w:hAnsi="Tahoma" w:cs="DengXian-Regular"/>
          <w:sz w:val="32"/>
        </w:rPr>
      </w:pPr>
      <w:bookmarkStart w:id="13" w:name="_Toc465149503"/>
      <w:bookmarkStart w:id="14" w:name="_Toc19291"/>
      <w:bookmarkStart w:id="15" w:name="_Toc492652769"/>
      <w:r>
        <w:rPr>
          <w:rFonts w:hint="eastAsia" w:ascii="仿宋_GB2312" w:hAnsi="Tahoma" w:cs="DengXian-Regular"/>
          <w:sz w:val="32"/>
        </w:rPr>
        <w:t>（五）“三公”经费预算安排及支出情况</w:t>
      </w:r>
      <w:bookmarkEnd w:id="13"/>
      <w:bookmarkEnd w:id="14"/>
      <w:bookmarkEnd w:id="15"/>
    </w:p>
    <w:p>
      <w:pPr>
        <w:spacing w:after="0" w:line="60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2019年团区委“三公”经费预算</w:t>
      </w:r>
      <w:r>
        <w:rPr>
          <w:rFonts w:ascii="仿宋_GB2312" w:eastAsia="仿宋_GB2312" w:cs="DengXian-Regular"/>
          <w:sz w:val="32"/>
          <w:szCs w:val="32"/>
        </w:rPr>
        <w:t>3</w:t>
      </w:r>
      <w:r>
        <w:rPr>
          <w:rFonts w:hint="eastAsia" w:ascii="仿宋_GB2312" w:eastAsia="仿宋_GB2312" w:cs="DengXian-Regular"/>
          <w:sz w:val="32"/>
          <w:szCs w:val="32"/>
        </w:rPr>
        <w:t>.3万元（公务用车运行维护费</w:t>
      </w:r>
      <w:r>
        <w:rPr>
          <w:rFonts w:ascii="仿宋_GB2312" w:eastAsia="仿宋_GB2312" w:cs="DengXian-Regular"/>
          <w:sz w:val="32"/>
          <w:szCs w:val="32"/>
        </w:rPr>
        <w:t>3</w:t>
      </w:r>
      <w:r>
        <w:rPr>
          <w:rFonts w:hint="eastAsia" w:ascii="仿宋_GB2312" w:eastAsia="仿宋_GB2312" w:cs="DengXian-Regular"/>
          <w:sz w:val="32"/>
          <w:szCs w:val="32"/>
        </w:rPr>
        <w:t>万元，公务接待费0.</w:t>
      </w:r>
      <w:r>
        <w:rPr>
          <w:rFonts w:ascii="仿宋_GB2312" w:eastAsia="仿宋_GB2312" w:cs="DengXian-Regular"/>
          <w:sz w:val="32"/>
          <w:szCs w:val="32"/>
        </w:rPr>
        <w:t>3</w:t>
      </w:r>
      <w:r>
        <w:rPr>
          <w:rFonts w:hint="eastAsia" w:ascii="仿宋_GB2312" w:eastAsia="仿宋_GB2312" w:cs="DengXian-Regular"/>
          <w:sz w:val="32"/>
          <w:szCs w:val="32"/>
        </w:rPr>
        <w:t>万元），实际支出</w:t>
      </w:r>
      <w:r>
        <w:rPr>
          <w:rFonts w:ascii="仿宋_GB2312" w:eastAsia="仿宋_GB2312" w:cs="DengXian-Regular"/>
          <w:sz w:val="32"/>
          <w:szCs w:val="32"/>
        </w:rPr>
        <w:t>0</w:t>
      </w:r>
      <w:r>
        <w:rPr>
          <w:rFonts w:hint="eastAsia" w:ascii="仿宋_GB2312" w:eastAsia="仿宋_GB2312" w:cs="DengXian-Regular"/>
          <w:sz w:val="32"/>
          <w:szCs w:val="32"/>
        </w:rPr>
        <w:t>万元（公务用车运行维护费</w:t>
      </w:r>
      <w:r>
        <w:rPr>
          <w:rFonts w:ascii="仿宋_GB2312" w:eastAsia="仿宋_GB2312" w:cs="DengXian-Regular"/>
          <w:sz w:val="32"/>
          <w:szCs w:val="32"/>
        </w:rPr>
        <w:t>0</w:t>
      </w:r>
      <w:r>
        <w:rPr>
          <w:rFonts w:hint="eastAsia" w:ascii="仿宋_GB2312" w:eastAsia="仿宋_GB2312" w:cs="DengXian-Regular"/>
          <w:sz w:val="32"/>
          <w:szCs w:val="32"/>
        </w:rPr>
        <w:t>万元，公务接待费0万元），比预算减少</w:t>
      </w:r>
      <w:r>
        <w:rPr>
          <w:rFonts w:ascii="仿宋_GB2312" w:eastAsia="仿宋_GB2312" w:cs="DengXian-Regular"/>
          <w:sz w:val="32"/>
          <w:szCs w:val="32"/>
        </w:rPr>
        <w:t>3.3</w:t>
      </w:r>
      <w:r>
        <w:rPr>
          <w:rFonts w:hint="eastAsia" w:ascii="仿宋_GB2312" w:eastAsia="仿宋_GB2312" w:cs="DengXian-Regular"/>
          <w:sz w:val="32"/>
          <w:szCs w:val="32"/>
        </w:rPr>
        <w:t>万元，节约率</w:t>
      </w:r>
      <w:r>
        <w:rPr>
          <w:rFonts w:ascii="仿宋_GB2312" w:eastAsia="仿宋_GB2312" w:cs="DengXian-Regular"/>
          <w:sz w:val="32"/>
          <w:szCs w:val="32"/>
        </w:rPr>
        <w:t>100</w:t>
      </w:r>
      <w:r>
        <w:rPr>
          <w:rFonts w:hint="eastAsia" w:ascii="仿宋_GB2312" w:eastAsia="仿宋_GB2312" w:cs="DengXian-Regular"/>
          <w:sz w:val="32"/>
          <w:szCs w:val="32"/>
        </w:rPr>
        <w:t>%。2019年“三公”经费预算数与2018年预算数相比增加2.5万元，决算数与2018年实际支出相比，无变化。具体详见表1。</w:t>
      </w:r>
    </w:p>
    <w:p>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表1  团区委“三公”经费预算及决算明细表</w:t>
      </w:r>
    </w:p>
    <w:p>
      <w:pPr>
        <w:spacing w:after="0" w:line="360" w:lineRule="auto"/>
        <w:ind w:firstLine="420" w:firstLineChars="200"/>
        <w:jc w:val="right"/>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2018年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2019年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3</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asciiTheme="minorEastAsia" w:hAnsiTheme="minorEastAsia" w:eastAsiaTheme="minorEastAsia" w:cstheme="minorEastAsia"/>
                <w:color w:val="000000"/>
                <w:sz w:val="21"/>
                <w:szCs w:val="21"/>
              </w:rPr>
              <w:t>2.5</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r>
              <w:rPr>
                <w:rFonts w:asciiTheme="minorEastAsia" w:hAnsiTheme="minorEastAsia" w:eastAsiaTheme="minorEastAsia" w:cstheme="minorEastAsia"/>
                <w:color w:val="000000"/>
                <w:sz w:val="21"/>
                <w:szCs w:val="21"/>
              </w:rPr>
              <w:t>.3</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r>
              <w:rPr>
                <w:rFonts w:asciiTheme="minorEastAsia" w:hAnsiTheme="minorEastAsia" w:eastAsiaTheme="minorEastAsia" w:cstheme="minorEastAsia"/>
                <w:color w:val="000000"/>
                <w:sz w:val="21"/>
                <w:szCs w:val="21"/>
              </w:rPr>
              <w:t>3</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无变化</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0.8</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3</w:t>
            </w:r>
            <w:r>
              <w:rPr>
                <w:rFonts w:hint="eastAsia" w:asciiTheme="minorEastAsia" w:hAnsiTheme="minorEastAsia" w:eastAsiaTheme="minorEastAsia" w:cstheme="minorEastAsia"/>
                <w:color w:val="000000"/>
                <w:sz w:val="21"/>
                <w:szCs w:val="21"/>
              </w:rPr>
              <w:t>.3</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asciiTheme="minorEastAsia" w:hAnsiTheme="minorEastAsia" w:eastAsiaTheme="minorEastAsia" w:cstheme="minorEastAsia"/>
                <w:color w:val="000000"/>
                <w:sz w:val="21"/>
                <w:szCs w:val="21"/>
              </w:rPr>
              <w:t>2.5</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w:t>
            </w:r>
          </w:p>
        </w:tc>
      </w:tr>
    </w:tbl>
    <w:p>
      <w:pPr>
        <w:spacing w:after="0" w:line="60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1、公务用车：2019年底团区委车辆合计</w:t>
      </w:r>
      <w:r>
        <w:rPr>
          <w:rFonts w:ascii="仿宋_GB2312" w:eastAsia="仿宋_GB2312" w:cs="DengXian-Regular"/>
          <w:sz w:val="32"/>
          <w:szCs w:val="32"/>
        </w:rPr>
        <w:t>0</w:t>
      </w:r>
      <w:r>
        <w:rPr>
          <w:rFonts w:hint="eastAsia" w:ascii="仿宋_GB2312" w:eastAsia="仿宋_GB2312" w:cs="DengXian-Regular"/>
          <w:sz w:val="32"/>
          <w:szCs w:val="32"/>
        </w:rPr>
        <w:t>辆，其中</w:t>
      </w:r>
      <w:r>
        <w:rPr>
          <w:rFonts w:hint="eastAsia" w:ascii="仿宋" w:hAnsi="仿宋" w:eastAsia="仿宋"/>
          <w:sz w:val="32"/>
          <w:szCs w:val="32"/>
        </w:rPr>
        <w:t>机要应急保障</w:t>
      </w:r>
      <w:r>
        <w:rPr>
          <w:rFonts w:hint="eastAsia" w:ascii="仿宋_GB2312" w:eastAsia="仿宋_GB2312" w:cs="DengXian-Regular"/>
          <w:sz w:val="32"/>
          <w:szCs w:val="32"/>
        </w:rPr>
        <w:t>用车</w:t>
      </w:r>
      <w:r>
        <w:rPr>
          <w:rFonts w:ascii="仿宋_GB2312" w:eastAsia="仿宋_GB2312" w:cs="DengXian-Regular"/>
          <w:sz w:val="32"/>
          <w:szCs w:val="32"/>
        </w:rPr>
        <w:t>0</w:t>
      </w:r>
      <w:r>
        <w:rPr>
          <w:rFonts w:hint="eastAsia" w:ascii="仿宋_GB2312" w:eastAsia="仿宋_GB2312" w:cs="DengXian-Regular"/>
          <w:sz w:val="32"/>
          <w:szCs w:val="32"/>
        </w:rPr>
        <w:t>辆。2019年公务用车购置经费年初预算</w:t>
      </w:r>
      <w:r>
        <w:rPr>
          <w:rFonts w:ascii="仿宋_GB2312" w:eastAsia="仿宋_GB2312" w:cs="DengXian-Regular"/>
          <w:sz w:val="32"/>
          <w:szCs w:val="32"/>
        </w:rPr>
        <w:t>0</w:t>
      </w:r>
      <w:r>
        <w:rPr>
          <w:rFonts w:hint="eastAsia" w:ascii="仿宋_GB2312" w:eastAsia="仿宋_GB2312" w:cs="DengXian-Regular"/>
          <w:sz w:val="32"/>
          <w:szCs w:val="32"/>
        </w:rPr>
        <w:t>万元，公务用车运行经费0.5万元，实际支出</w:t>
      </w:r>
      <w:r>
        <w:rPr>
          <w:rFonts w:ascii="仿宋_GB2312" w:eastAsia="仿宋_GB2312" w:cs="DengXian-Regular"/>
          <w:sz w:val="32"/>
          <w:szCs w:val="32"/>
        </w:rPr>
        <w:t>0</w:t>
      </w:r>
      <w:r>
        <w:rPr>
          <w:rFonts w:hint="eastAsia" w:ascii="仿宋_GB2312" w:eastAsia="仿宋_GB2312" w:cs="DengXian-Regular"/>
          <w:sz w:val="32"/>
          <w:szCs w:val="32"/>
        </w:rPr>
        <w:t>万元。2019年预算数与2018年预算相比增加2.5万元</w:t>
      </w:r>
      <w:r>
        <w:rPr>
          <w:rFonts w:ascii="仿宋_GB2312" w:eastAsia="仿宋_GB2312" w:cs="DengXian-Regular"/>
          <w:sz w:val="32"/>
          <w:szCs w:val="32"/>
        </w:rPr>
        <w:t>，主要是因为按要求</w:t>
      </w:r>
      <w:r>
        <w:rPr>
          <w:rFonts w:hint="eastAsia" w:ascii="仿宋_GB2312" w:eastAsia="仿宋_GB2312" w:cs="DengXian-Regular"/>
          <w:sz w:val="32"/>
          <w:szCs w:val="32"/>
        </w:rPr>
        <w:t>对</w:t>
      </w:r>
      <w:r>
        <w:rPr>
          <w:rFonts w:ascii="仿宋_GB2312" w:eastAsia="仿宋_GB2312" w:cs="DengXian-Regular"/>
          <w:sz w:val="32"/>
          <w:szCs w:val="32"/>
        </w:rPr>
        <w:t>公务用车运行经费进行了年度预算调整</w:t>
      </w:r>
      <w:r>
        <w:rPr>
          <w:rFonts w:hint="eastAsia" w:ascii="仿宋_GB2312" w:eastAsia="仿宋_GB2312" w:cs="DengXian-Regular"/>
          <w:sz w:val="32"/>
          <w:szCs w:val="32"/>
        </w:rPr>
        <w:t>。</w:t>
      </w:r>
    </w:p>
    <w:p>
      <w:pPr>
        <w:spacing w:after="0" w:line="60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2、公务接待：2019年团区委公务接待费年初预算0.</w:t>
      </w:r>
      <w:r>
        <w:rPr>
          <w:rFonts w:ascii="仿宋_GB2312" w:eastAsia="仿宋_GB2312" w:cs="DengXian-Regular"/>
          <w:sz w:val="32"/>
          <w:szCs w:val="32"/>
        </w:rPr>
        <w:t>3</w:t>
      </w:r>
      <w:r>
        <w:rPr>
          <w:rFonts w:hint="eastAsia" w:ascii="仿宋_GB2312" w:eastAsia="仿宋_GB2312" w:cs="DengXian-Regular"/>
          <w:sz w:val="32"/>
          <w:szCs w:val="32"/>
        </w:rPr>
        <w:t>万元，实际支出0万元，比预算减少了0.</w:t>
      </w:r>
      <w:r>
        <w:rPr>
          <w:rFonts w:ascii="仿宋_GB2312" w:eastAsia="仿宋_GB2312" w:cs="DengXian-Regular"/>
          <w:sz w:val="32"/>
          <w:szCs w:val="32"/>
        </w:rPr>
        <w:t>3</w:t>
      </w:r>
      <w:r>
        <w:rPr>
          <w:rFonts w:hint="eastAsia" w:ascii="仿宋_GB2312" w:eastAsia="仿宋_GB2312" w:cs="DengXian-Regular"/>
          <w:sz w:val="32"/>
          <w:szCs w:val="32"/>
        </w:rPr>
        <w:t>万元，节约率100%。2019年预算数与2018年预算相比无变化，决算数与2018年实际支出相比，无变化。</w:t>
      </w:r>
    </w:p>
    <w:p>
      <w:pPr>
        <w:pStyle w:val="3"/>
        <w:spacing w:before="0" w:after="0" w:line="600" w:lineRule="exact"/>
        <w:jc w:val="center"/>
        <w:rPr>
          <w:rFonts w:ascii="黑体" w:hAnsiTheme="minorEastAsia"/>
          <w:u w:color="000000"/>
        </w:rPr>
      </w:pPr>
      <w:bookmarkStart w:id="16" w:name="_Toc20454"/>
      <w:bookmarkStart w:id="17" w:name="_Toc492652770"/>
      <w:bookmarkStart w:id="18" w:name="_Toc465149504"/>
      <w:r>
        <w:rPr>
          <w:rFonts w:hint="eastAsia" w:ascii="黑体"/>
        </w:rPr>
        <w:t>二、部门整体支出绩效评价指标体系设定情况</w:t>
      </w:r>
      <w:bookmarkEnd w:id="16"/>
      <w:bookmarkEnd w:id="17"/>
    </w:p>
    <w:p>
      <w:pPr>
        <w:spacing w:after="0" w:line="60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根据绩效预算管理改革的有关政策和文件规定，并与团区委沟通，绩效评价工作组以绩效预算架构为指导，以部门预算文本及相关资料为基础，制定了部门整体支出绩效评价指标体系。</w:t>
      </w:r>
    </w:p>
    <w:p>
      <w:pPr>
        <w:spacing w:after="0" w:line="60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492652771"/>
      <w:bookmarkStart w:id="20" w:name="_Toc9569"/>
    </w:p>
    <w:p>
      <w:pPr>
        <w:spacing w:after="0" w:line="600" w:lineRule="exact"/>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pPr>
        <w:spacing w:after="0" w:line="60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pPr>
        <w:keepNext/>
        <w:widowControl w:val="0"/>
        <w:spacing w:after="0" w:line="60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pPr>
        <w:pStyle w:val="4"/>
        <w:spacing w:before="0" w:after="0" w:line="600" w:lineRule="exact"/>
        <w:ind w:firstLine="643" w:firstLineChars="200"/>
        <w:jc w:val="both"/>
        <w:rPr>
          <w:rFonts w:ascii="楷体" w:hAnsi="楷体" w:eastAsia="楷体"/>
          <w:sz w:val="32"/>
        </w:rPr>
      </w:pPr>
      <w:bookmarkStart w:id="21" w:name="_Toc30221"/>
      <w:bookmarkStart w:id="22" w:name="_Toc492652772"/>
      <w:r>
        <w:rPr>
          <w:rFonts w:hint="eastAsia" w:ascii="楷体" w:hAnsi="楷体" w:eastAsia="楷体"/>
          <w:kern w:val="2"/>
          <w:sz w:val="32"/>
        </w:rPr>
        <w:t>（二）过程（48分）</w:t>
      </w:r>
      <w:bookmarkEnd w:id="21"/>
      <w:bookmarkEnd w:id="22"/>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pPr>
        <w:pStyle w:val="4"/>
        <w:spacing w:before="0" w:after="0" w:line="600" w:lineRule="exact"/>
        <w:ind w:firstLine="643" w:firstLineChars="200"/>
        <w:jc w:val="both"/>
        <w:rPr>
          <w:rFonts w:ascii="楷体" w:hAnsi="楷体" w:eastAsia="楷体"/>
          <w:kern w:val="2"/>
          <w:sz w:val="32"/>
        </w:rPr>
      </w:pPr>
      <w:bookmarkStart w:id="23" w:name="_Toc492652773"/>
      <w:bookmarkStart w:id="24" w:name="_Toc24932"/>
      <w:r>
        <w:rPr>
          <w:rFonts w:hint="eastAsia" w:ascii="楷体" w:hAnsi="楷体" w:eastAsia="楷体"/>
          <w:kern w:val="2"/>
          <w:sz w:val="32"/>
        </w:rPr>
        <w:t>（三）产出（25分）</w:t>
      </w:r>
      <w:bookmarkEnd w:id="23"/>
      <w:bookmarkEnd w:id="24"/>
    </w:p>
    <w:p>
      <w:pPr>
        <w:spacing w:after="0" w:line="600" w:lineRule="exact"/>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pPr>
        <w:pStyle w:val="4"/>
        <w:spacing w:before="0" w:after="0" w:line="600" w:lineRule="exact"/>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pPr>
        <w:spacing w:after="0" w:line="600" w:lineRule="exact"/>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pPr>
        <w:pStyle w:val="3"/>
        <w:spacing w:before="0" w:after="0" w:line="600" w:lineRule="exact"/>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92652776"/>
      <w:bookmarkStart w:id="30" w:name="_Toc465149505"/>
    </w:p>
    <w:p>
      <w:pPr>
        <w:pStyle w:val="4"/>
        <w:spacing w:before="0" w:after="0" w:line="600" w:lineRule="exact"/>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pPr>
        <w:spacing w:after="0" w:line="600" w:lineRule="exact"/>
        <w:ind w:firstLine="640" w:firstLineChars="200"/>
        <w:jc w:val="both"/>
        <w:textAlignment w:val="baseline"/>
        <w:rPr>
          <w:rFonts w:ascii="仿宋_GB2312" w:eastAsia="仿宋_GB2312" w:cs="DengXian-Regular"/>
          <w:sz w:val="32"/>
          <w:szCs w:val="32"/>
        </w:rPr>
      </w:pPr>
      <w:bookmarkStart w:id="32" w:name="_Toc465149506"/>
      <w:bookmarkStart w:id="33" w:name="_Toc492652777"/>
      <w:r>
        <w:rPr>
          <w:rFonts w:hint="eastAsia" w:ascii="仿宋_GB2312" w:eastAsia="仿宋_GB2312" w:cs="DengXian-Regular"/>
          <w:sz w:val="32"/>
          <w:szCs w:val="32"/>
        </w:rPr>
        <w:t>通过对团区委2019年部门整体支出绩效评价，了解部门整体资金预算情况、实际收支情况及结转结余情况；绩效目标和指标的设置及完成情况；部门履职对社会发展所带来的直接或间接影响及服务对象对部门履职效果的满意程度。</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pPr>
        <w:pStyle w:val="4"/>
        <w:spacing w:before="0" w:after="0" w:line="600" w:lineRule="exact"/>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pPr>
        <w:spacing w:after="0" w:line="600" w:lineRule="exact"/>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w:t>
      </w:r>
      <w:bookmarkStart w:id="80" w:name="_GoBack"/>
      <w:bookmarkEnd w:id="80"/>
      <w:r>
        <w:rPr>
          <w:rFonts w:hint="eastAsia" w:ascii="仿宋_GB2312" w:eastAsia="仿宋_GB2312" w:cs="DengXian-Regular"/>
          <w:sz w:val="32"/>
          <w:szCs w:val="32"/>
        </w:rPr>
        <w:t>全面实施预算绩效管理推进工作方案的通知》（徐政财字〔2019〕33号）；</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7.其他与部门绩效评价工作相关的文件。</w:t>
      </w:r>
      <w:bookmarkStart w:id="36" w:name="_Toc492652778"/>
    </w:p>
    <w:p>
      <w:pPr>
        <w:pStyle w:val="4"/>
        <w:spacing w:before="0" w:after="0" w:line="600" w:lineRule="exact"/>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pPr>
        <w:spacing w:after="0" w:line="600" w:lineRule="exact"/>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团区委2019年部门整体支出绩效目标和指标的设置及完成情况；资金预算情况、实际收支情况及结转结余情况；部门履职对社会发展所带来的直接或间接影响及服务对象对部门履职效果的满意程度。</w:t>
      </w:r>
    </w:p>
    <w:p>
      <w:pPr>
        <w:pStyle w:val="4"/>
        <w:spacing w:before="0" w:after="0" w:line="600" w:lineRule="exact"/>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pPr>
        <w:pStyle w:val="4"/>
        <w:spacing w:before="0" w:after="0" w:line="600" w:lineRule="exact"/>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pPr>
        <w:spacing w:after="0" w:line="600" w:lineRule="exact"/>
        <w:ind w:firstLine="640" w:firstLineChars="200"/>
        <w:jc w:val="both"/>
        <w:textAlignment w:val="baseline"/>
        <w:rPr>
          <w:rFonts w:ascii="仿宋_GB2312" w:eastAsia="仿宋_GB2312" w:cs="DengXian-Regular"/>
          <w:sz w:val="32"/>
          <w:szCs w:val="32"/>
        </w:rPr>
      </w:pPr>
      <w:bookmarkStart w:id="43" w:name="_Toc422314152"/>
      <w:bookmarkStart w:id="44" w:name="_Toc421623217"/>
      <w:bookmarkStart w:id="45" w:name="_Toc492652780"/>
      <w:bookmarkStart w:id="46" w:name="_Toc46514951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pPr>
        <w:spacing w:after="0" w:line="600" w:lineRule="exact"/>
        <w:ind w:firstLine="640" w:firstLineChars="200"/>
        <w:jc w:val="both"/>
        <w:textAlignment w:val="baseline"/>
        <w:rPr>
          <w:rFonts w:ascii="仿宋_GB2312" w:eastAsia="仿宋_GB2312" w:cs="DengXian-Regular"/>
          <w:sz w:val="32"/>
          <w:szCs w:val="32"/>
        </w:rPr>
      </w:pPr>
      <w:bookmarkStart w:id="47" w:name="_Toc421623218"/>
      <w:bookmarkStart w:id="48" w:name="_Toc422314153"/>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pPr>
        <w:spacing w:after="0" w:line="600" w:lineRule="exact"/>
        <w:ind w:firstLine="640" w:firstLineChars="200"/>
        <w:jc w:val="both"/>
        <w:textAlignment w:val="baseline"/>
        <w:rPr>
          <w:rFonts w:ascii="仿宋_GB2312" w:eastAsia="仿宋_GB2312" w:cs="DengXian-Regular"/>
          <w:sz w:val="32"/>
          <w:szCs w:val="32"/>
        </w:rPr>
      </w:pPr>
      <w:bookmarkStart w:id="49" w:name="_Toc422314155"/>
      <w:bookmarkStart w:id="50"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pPr>
        <w:spacing w:after="0" w:line="600" w:lineRule="exact"/>
        <w:ind w:firstLine="640" w:firstLineChars="200"/>
        <w:jc w:val="both"/>
        <w:textAlignment w:val="baseline"/>
        <w:rPr>
          <w:rFonts w:ascii="仿宋_GB2312" w:eastAsia="仿宋_GB2312" w:cs="DengXian-Regular"/>
          <w:sz w:val="32"/>
          <w:szCs w:val="32"/>
        </w:rPr>
      </w:pPr>
      <w:bookmarkStart w:id="51" w:name="_Toc421623221"/>
      <w:bookmarkStart w:id="52" w:name="_Toc422314156"/>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pPr>
        <w:spacing w:after="0" w:line="600" w:lineRule="exact"/>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经充分收集相关资料，主要包括部门职责、工作活动、预决算文本、相关管理制度、资金使用等相关资料，为制定绩效评价实施方案和指标体系奠定了基础。</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基于对相关资料的收集，制定绩效评价实施方案和体系,确定最终方案。</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w:t>
      </w:r>
      <w:r>
        <w:rPr>
          <w:rFonts w:hint="eastAsia" w:ascii="仿宋_GB2312" w:eastAsia="仿宋_GB2312" w:cs="DengXian-Regular"/>
          <w:sz w:val="32"/>
          <w:szCs w:val="32"/>
          <w:lang w:val="en-US" w:eastAsia="zh-CN"/>
        </w:rPr>
        <w:t>团区委</w:t>
      </w:r>
      <w:r>
        <w:rPr>
          <w:rFonts w:hint="eastAsia" w:ascii="仿宋_GB2312" w:eastAsia="仿宋_GB2312" w:cs="DengXian-Regular"/>
          <w:sz w:val="32"/>
          <w:szCs w:val="32"/>
        </w:rPr>
        <w:t>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65149511"/>
      <w:bookmarkStart w:id="55" w:name="_Toc492652781"/>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pPr>
        <w:pStyle w:val="3"/>
        <w:spacing w:before="0" w:after="0" w:line="600" w:lineRule="exact"/>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pPr>
        <w:spacing w:after="0" w:line="60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团区委部门整体支出绩效评价总得分为</w:t>
      </w:r>
      <w:r>
        <w:rPr>
          <w:rFonts w:ascii="仿宋_GB2312" w:eastAsia="仿宋_GB2312" w:cs="DengXian-Regular"/>
          <w:sz w:val="32"/>
          <w:szCs w:val="32"/>
        </w:rPr>
        <w:t>84.6</w:t>
      </w:r>
      <w:r>
        <w:rPr>
          <w:rFonts w:hint="eastAsia" w:ascii="仿宋_GB2312" w:eastAsia="仿宋_GB2312" w:cs="DengXian-Regular"/>
          <w:sz w:val="32"/>
          <w:szCs w:val="32"/>
        </w:rPr>
        <w:t>分，综合绩效评价等级为“优”。各项得分情况如下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pPr>
        <w:pStyle w:val="4"/>
        <w:spacing w:before="0" w:after="0" w:line="600" w:lineRule="exact"/>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pPr>
        <w:spacing w:after="0" w:line="60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pPr>
        <w:spacing w:after="0" w:line="600" w:lineRule="exact"/>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11.6</w:t>
            </w:r>
          </w:p>
        </w:tc>
      </w:tr>
    </w:tbl>
    <w:p>
      <w:pPr>
        <w:spacing w:after="0" w:line="600" w:lineRule="exact"/>
        <w:ind w:firstLine="640" w:firstLineChars="200"/>
        <w:jc w:val="both"/>
        <w:textAlignment w:val="baseline"/>
        <w:rPr>
          <w:rFonts w:ascii="仿宋_GB2312" w:eastAsia="仿宋_GB2312" w:cs="DengXian-Regular"/>
          <w:sz w:val="32"/>
          <w:szCs w:val="32"/>
        </w:rPr>
      </w:pPr>
      <w:bookmarkStart w:id="60" w:name="_Toc464638478"/>
      <w:bookmarkStart w:id="61" w:name="_Toc465149513"/>
      <w:r>
        <w:rPr>
          <w:rFonts w:hint="eastAsia" w:ascii="仿宋_GB2312" w:eastAsia="仿宋_GB2312" w:cs="DengXian-Regular"/>
          <w:sz w:val="32"/>
          <w:szCs w:val="32"/>
        </w:rPr>
        <w:t>1.绩效目标设定（6分）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通过对比中共徐水县委</w:t>
      </w:r>
      <w:r>
        <w:rPr>
          <w:rFonts w:ascii="仿宋_GB2312" w:eastAsia="仿宋_GB2312" w:cs="DengXian-Regular"/>
          <w:sz w:val="32"/>
          <w:szCs w:val="32"/>
        </w:rPr>
        <w:t>办公室</w:t>
      </w:r>
      <w:r>
        <w:rPr>
          <w:rFonts w:hint="eastAsia" w:ascii="仿宋_GB2312" w:eastAsia="仿宋_GB2312" w:cs="DengXian-Regular"/>
          <w:sz w:val="32"/>
          <w:szCs w:val="32"/>
        </w:rPr>
        <w:t>关于印发《共青团徐</w:t>
      </w:r>
      <w:r>
        <w:rPr>
          <w:rFonts w:ascii="仿宋_GB2312" w:eastAsia="仿宋_GB2312" w:cs="DengXian-Regular"/>
          <w:sz w:val="32"/>
          <w:szCs w:val="32"/>
        </w:rPr>
        <w:t>水县委</w:t>
      </w:r>
      <w:r>
        <w:rPr>
          <w:rFonts w:hint="eastAsia" w:ascii="仿宋_GB2312" w:eastAsia="仿宋_GB2312" w:cs="DengXian-Regular"/>
          <w:sz w:val="32"/>
          <w:szCs w:val="32"/>
        </w:rPr>
        <w:t>职能配置、内设机构和人员编制方案》的通知（</w:t>
      </w:r>
      <w:r>
        <w:rPr>
          <w:rFonts w:ascii="仿宋_GB2312" w:eastAsia="仿宋_GB2312" w:cs="DengXian-Regular"/>
          <w:sz w:val="32"/>
          <w:szCs w:val="32"/>
        </w:rPr>
        <w:t>徐办【</w:t>
      </w:r>
      <w:r>
        <w:rPr>
          <w:rFonts w:hint="eastAsia" w:ascii="仿宋_GB2312" w:eastAsia="仿宋_GB2312" w:cs="DengXian-Regular"/>
          <w:sz w:val="32"/>
          <w:szCs w:val="32"/>
        </w:rPr>
        <w:t>2002】67号</w:t>
      </w:r>
      <w:r>
        <w:rPr>
          <w:rFonts w:ascii="仿宋_GB2312" w:eastAsia="仿宋_GB2312" w:cs="DengXian-Regular"/>
          <w:sz w:val="32"/>
          <w:szCs w:val="32"/>
        </w:rPr>
        <w:t>）</w:t>
      </w:r>
      <w:r>
        <w:rPr>
          <w:rFonts w:hint="eastAsia" w:ascii="仿宋_GB2312" w:eastAsia="仿宋_GB2312" w:cs="DengXian-Regular"/>
          <w:sz w:val="32"/>
          <w:szCs w:val="32"/>
        </w:rPr>
        <w:t>和团区委2019年预算文本—部门职责工作活动绩效目标，评价工作组认为团区委部门职责符合“三定”方案中所赋予的职责，绩效目标设立依据充分，符合客观实际，与部门职责、工作规划和重点工作相关，工作活动和项目预算安排合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根据团区委2019年预算文本—部门职责工作活动绩效目标（详见附件4），绩效目标与部门履职、年度工作任务相符；工作活动有明确的绩效目标，绩效目标与部门职责目标、部门年度工作目标一致。</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pPr>
        <w:spacing w:after="0" w:line="600" w:lineRule="exact"/>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根据团区委2019年预算文本—部门职责工作活动绩效目标,该指标实际得分2分。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根据团区委2019年预算文本及相关会计资料，团区委所有收入均已纳入部门预算，部门支出按基本支出、项目支出分别编制。</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该指标实际得2分。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根据团区委2019年预算文本—部门项目支出预算表，团区委2019年预算项目共</w:t>
      </w:r>
      <w:r>
        <w:rPr>
          <w:rFonts w:ascii="仿宋_GB2312" w:eastAsia="仿宋_GB2312" w:cs="DengXian-Regular"/>
          <w:sz w:val="32"/>
          <w:szCs w:val="32"/>
        </w:rPr>
        <w:t>6</w:t>
      </w:r>
      <w:r>
        <w:rPr>
          <w:rFonts w:hint="eastAsia" w:ascii="仿宋_GB2312" w:eastAsia="仿宋_GB2312" w:cs="DengXian-Regular"/>
          <w:sz w:val="32"/>
          <w:szCs w:val="32"/>
        </w:rPr>
        <w:t>个（详见附件2-2-2），涉及资金</w:t>
      </w:r>
      <w:r>
        <w:rPr>
          <w:rFonts w:ascii="仿宋_GB2312" w:eastAsia="仿宋_GB2312" w:cs="DengXian-Regular"/>
          <w:sz w:val="32"/>
          <w:szCs w:val="32"/>
        </w:rPr>
        <w:t>11.8</w:t>
      </w:r>
      <w:r>
        <w:rPr>
          <w:rFonts w:hint="eastAsia" w:ascii="仿宋_GB2312" w:eastAsia="仿宋_GB2312" w:cs="DengXian-Regular"/>
          <w:sz w:val="32"/>
          <w:szCs w:val="32"/>
        </w:rPr>
        <w:t>万元，所有项目均细化到具体用款单位及项目资金额度。项目预算细化率=（</w:t>
      </w:r>
      <w:r>
        <w:rPr>
          <w:rFonts w:ascii="仿宋_GB2312" w:eastAsia="仿宋_GB2312" w:cs="DengXian-Regular"/>
          <w:sz w:val="32"/>
          <w:szCs w:val="32"/>
        </w:rPr>
        <w:t>11.8</w:t>
      </w:r>
      <w:r>
        <w:rPr>
          <w:rFonts w:hint="eastAsia" w:ascii="仿宋_GB2312" w:eastAsia="仿宋_GB2312" w:cs="DengXian-Regular"/>
          <w:sz w:val="32"/>
          <w:szCs w:val="32"/>
        </w:rPr>
        <w:t>/11.8）*100%=100%</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该指标主要考核截至2019年底团区委在职人员控制情况，通过在职人员控制率衡量。</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根据中共徐水县委</w:t>
      </w:r>
      <w:r>
        <w:rPr>
          <w:rFonts w:ascii="仿宋_GB2312" w:eastAsia="仿宋_GB2312" w:cs="DengXian-Regular"/>
          <w:sz w:val="32"/>
          <w:szCs w:val="32"/>
        </w:rPr>
        <w:t>办公室</w:t>
      </w:r>
      <w:r>
        <w:rPr>
          <w:rFonts w:hint="eastAsia" w:ascii="仿宋_GB2312" w:eastAsia="仿宋_GB2312" w:cs="DengXian-Regular"/>
          <w:sz w:val="32"/>
          <w:szCs w:val="32"/>
        </w:rPr>
        <w:t>关于印发《共青团徐</w:t>
      </w:r>
      <w:r>
        <w:rPr>
          <w:rFonts w:ascii="仿宋_GB2312" w:eastAsia="仿宋_GB2312" w:cs="DengXian-Regular"/>
          <w:sz w:val="32"/>
          <w:szCs w:val="32"/>
        </w:rPr>
        <w:t>水县委</w:t>
      </w:r>
      <w:r>
        <w:rPr>
          <w:rFonts w:hint="eastAsia" w:ascii="仿宋_GB2312" w:eastAsia="仿宋_GB2312" w:cs="DengXian-Regular"/>
          <w:sz w:val="32"/>
          <w:szCs w:val="32"/>
        </w:rPr>
        <w:t>职能配置、内设机构和人员编制方案》的通知（</w:t>
      </w:r>
      <w:r>
        <w:rPr>
          <w:rFonts w:ascii="仿宋_GB2312" w:eastAsia="仿宋_GB2312" w:cs="DengXian-Regular"/>
          <w:sz w:val="32"/>
          <w:szCs w:val="32"/>
        </w:rPr>
        <w:t>徐办【</w:t>
      </w:r>
      <w:r>
        <w:rPr>
          <w:rFonts w:hint="eastAsia" w:ascii="仿宋_GB2312" w:eastAsia="仿宋_GB2312" w:cs="DengXian-Regular"/>
          <w:sz w:val="32"/>
          <w:szCs w:val="32"/>
        </w:rPr>
        <w:t>2002】67号</w:t>
      </w:r>
      <w:r>
        <w:rPr>
          <w:rFonts w:ascii="仿宋_GB2312" w:eastAsia="仿宋_GB2312" w:cs="DengXian-Regular"/>
          <w:sz w:val="32"/>
          <w:szCs w:val="32"/>
        </w:rPr>
        <w:t>）</w:t>
      </w:r>
      <w:r>
        <w:rPr>
          <w:rFonts w:hint="eastAsia" w:ascii="仿宋_GB2312" w:eastAsia="仿宋_GB2312" w:cs="DengXian-Regular"/>
          <w:sz w:val="32"/>
          <w:szCs w:val="32"/>
        </w:rPr>
        <w:t>，团区委人员编制为</w:t>
      </w:r>
      <w:r>
        <w:rPr>
          <w:rFonts w:ascii="仿宋_GB2312" w:eastAsia="仿宋_GB2312" w:cs="DengXian-Regular"/>
          <w:sz w:val="32"/>
          <w:szCs w:val="32"/>
        </w:rPr>
        <w:t>5</w:t>
      </w:r>
      <w:r>
        <w:rPr>
          <w:rFonts w:hint="eastAsia" w:ascii="仿宋_GB2312" w:eastAsia="仿宋_GB2312" w:cs="DengXian-Regular"/>
          <w:sz w:val="32"/>
          <w:szCs w:val="32"/>
        </w:rPr>
        <w:t>人，根据团区委2019年决算文本-部门基本情况表，截至2019年底，在职人员</w:t>
      </w:r>
      <w:r>
        <w:rPr>
          <w:rFonts w:ascii="仿宋_GB2312" w:eastAsia="仿宋_GB2312" w:cs="DengXian-Regular"/>
          <w:sz w:val="32"/>
          <w:szCs w:val="32"/>
        </w:rPr>
        <w:t>4</w:t>
      </w:r>
      <w:r>
        <w:rPr>
          <w:rFonts w:hint="eastAsia" w:ascii="仿宋_GB2312" w:eastAsia="仿宋_GB2312" w:cs="DengXian-Regular"/>
          <w:sz w:val="32"/>
          <w:szCs w:val="32"/>
        </w:rPr>
        <w:t>人，在职人员控制率=（</w:t>
      </w:r>
      <w:r>
        <w:rPr>
          <w:rFonts w:ascii="仿宋_GB2312" w:eastAsia="仿宋_GB2312" w:cs="DengXian-Regular"/>
          <w:sz w:val="32"/>
          <w:szCs w:val="32"/>
        </w:rPr>
        <w:t>4</w:t>
      </w:r>
      <w:r>
        <w:rPr>
          <w:rFonts w:hint="eastAsia" w:ascii="仿宋_GB2312" w:eastAsia="仿宋_GB2312" w:cs="DengXian-Regular"/>
          <w:sz w:val="32"/>
          <w:szCs w:val="32"/>
        </w:rPr>
        <w:t>/</w:t>
      </w:r>
      <w:r>
        <w:rPr>
          <w:rFonts w:ascii="仿宋_GB2312" w:eastAsia="仿宋_GB2312" w:cs="DengXian-Regular"/>
          <w:sz w:val="32"/>
          <w:szCs w:val="32"/>
        </w:rPr>
        <w:t>5</w:t>
      </w:r>
      <w:r>
        <w:rPr>
          <w:rFonts w:hint="eastAsia" w:ascii="仿宋_GB2312" w:eastAsia="仿宋_GB2312" w:cs="DengXian-Regular"/>
          <w:sz w:val="32"/>
          <w:szCs w:val="32"/>
        </w:rPr>
        <w:t>）*100%=</w:t>
      </w:r>
      <w:r>
        <w:rPr>
          <w:rFonts w:ascii="仿宋_GB2312" w:eastAsia="仿宋_GB2312" w:cs="DengXian-Regular"/>
          <w:sz w:val="32"/>
          <w:szCs w:val="32"/>
        </w:rPr>
        <w:t>80</w:t>
      </w:r>
      <w:r>
        <w:rPr>
          <w:rFonts w:hint="eastAsia" w:ascii="仿宋_GB2312" w:eastAsia="仿宋_GB2312" w:cs="DengXian-Regular"/>
          <w:sz w:val="32"/>
          <w:szCs w:val="32"/>
        </w:rPr>
        <w:t>%。</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1.6</w:t>
      </w:r>
      <w:r>
        <w:rPr>
          <w:rFonts w:hint="eastAsia" w:ascii="仿宋_GB2312" w:eastAsia="仿宋_GB2312" w:cs="DengXian-Regular"/>
          <w:sz w:val="32"/>
          <w:szCs w:val="32"/>
        </w:rPr>
        <w:t>。</w:t>
      </w:r>
    </w:p>
    <w:bookmarkEnd w:id="60"/>
    <w:bookmarkEnd w:id="61"/>
    <w:p>
      <w:pPr>
        <w:pStyle w:val="4"/>
        <w:spacing w:before="0" w:after="0" w:line="600" w:lineRule="exact"/>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pPr>
        <w:spacing w:after="0" w:line="600" w:lineRule="exact"/>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pPr>
        <w:spacing w:after="0" w:line="600" w:lineRule="exact"/>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pPr>
              <w:spacing w:line="420" w:lineRule="exact"/>
              <w:jc w:val="center"/>
              <w:rPr>
                <w:rFonts w:cs="宋体" w:asciiTheme="minorEastAsia" w:hAnsiTheme="minorEastAsia" w:eastAsiaTheme="minorEastAsia"/>
                <w:sz w:val="21"/>
                <w:szCs w:val="21"/>
              </w:rPr>
            </w:pP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44</w:t>
            </w:r>
          </w:p>
        </w:tc>
      </w:tr>
      <w:bookmarkEnd w:id="63"/>
    </w:tbl>
    <w:p>
      <w:pPr>
        <w:spacing w:after="0" w:line="600" w:lineRule="exact"/>
        <w:ind w:firstLine="640" w:firstLineChars="200"/>
        <w:jc w:val="both"/>
        <w:textAlignment w:val="baseline"/>
        <w:rPr>
          <w:rFonts w:ascii="仿宋_GB2312" w:eastAsia="仿宋_GB2312" w:cs="DengXian-Regular"/>
          <w:sz w:val="32"/>
          <w:szCs w:val="32"/>
        </w:rPr>
      </w:pPr>
      <w:bookmarkStart w:id="64" w:name="_Toc464638487"/>
      <w:bookmarkStart w:id="65" w:name="_Toc465149514"/>
      <w:r>
        <w:rPr>
          <w:rFonts w:hint="eastAsia" w:ascii="仿宋_GB2312" w:eastAsia="仿宋_GB2312" w:cs="DengXian-Regular"/>
          <w:sz w:val="32"/>
          <w:szCs w:val="32"/>
        </w:rPr>
        <w:t>1.预算执行（24分）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预算收入调整率=（4</w:t>
      </w:r>
      <w:r>
        <w:rPr>
          <w:rFonts w:ascii="仿宋_GB2312" w:eastAsia="仿宋_GB2312" w:cs="DengXian-Regular"/>
          <w:sz w:val="32"/>
          <w:szCs w:val="32"/>
        </w:rPr>
        <w:t>7.28</w:t>
      </w:r>
      <w:r>
        <w:rPr>
          <w:rFonts w:hint="eastAsia" w:ascii="仿宋_GB2312" w:eastAsia="仿宋_GB2312" w:cs="DengXian-Regular"/>
          <w:sz w:val="32"/>
          <w:szCs w:val="32"/>
        </w:rPr>
        <w:t>-5</w:t>
      </w:r>
      <w:r>
        <w:rPr>
          <w:rFonts w:ascii="仿宋_GB2312" w:eastAsia="仿宋_GB2312" w:cs="DengXian-Regular"/>
          <w:sz w:val="32"/>
          <w:szCs w:val="32"/>
        </w:rPr>
        <w:t>6.23</w:t>
      </w:r>
      <w:r>
        <w:rPr>
          <w:rFonts w:hint="eastAsia" w:ascii="仿宋_GB2312" w:eastAsia="仿宋_GB2312" w:cs="DengXian-Regular"/>
          <w:sz w:val="32"/>
          <w:szCs w:val="32"/>
        </w:rPr>
        <w:t>）/5</w:t>
      </w:r>
      <w:r>
        <w:rPr>
          <w:rFonts w:ascii="仿宋_GB2312" w:eastAsia="仿宋_GB2312" w:cs="DengXian-Regular"/>
          <w:sz w:val="32"/>
          <w:szCs w:val="32"/>
        </w:rPr>
        <w:t>6.23</w:t>
      </w:r>
      <w:r>
        <w:rPr>
          <w:rFonts w:hint="eastAsia" w:ascii="仿宋_GB2312" w:eastAsia="仿宋_GB2312" w:cs="DengXian-Regular"/>
          <w:sz w:val="32"/>
          <w:szCs w:val="32"/>
        </w:rPr>
        <w:t>*100%</w:t>
      </w:r>
      <w:r>
        <w:rPr>
          <w:rFonts w:ascii="仿宋_GB2312" w:eastAsia="仿宋_GB2312" w:cs="DengXian-Regular"/>
          <w:sz w:val="32"/>
          <w:szCs w:val="32"/>
        </w:rPr>
        <w:t>=-15.92%</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2019年团区委年初预算数</w:t>
      </w:r>
      <w:r>
        <w:rPr>
          <w:rFonts w:ascii="仿宋_GB2312" w:eastAsia="仿宋_GB2312" w:cs="DengXian-Regular"/>
          <w:sz w:val="32"/>
          <w:szCs w:val="32"/>
        </w:rPr>
        <w:t>为</w:t>
      </w:r>
      <w:r>
        <w:rPr>
          <w:rFonts w:hint="eastAsia" w:ascii="仿宋_GB2312" w:eastAsia="仿宋_GB2312" w:cs="DengXian-Regular"/>
          <w:sz w:val="32"/>
          <w:szCs w:val="32"/>
        </w:rPr>
        <w:t>56.23万元</w:t>
      </w:r>
      <w:r>
        <w:rPr>
          <w:rFonts w:ascii="仿宋_GB2312" w:eastAsia="仿宋_GB2312" w:cs="DengXian-Regular"/>
          <w:sz w:val="32"/>
          <w:szCs w:val="32"/>
        </w:rPr>
        <w:t>，</w:t>
      </w:r>
      <w:r>
        <w:rPr>
          <w:rFonts w:hint="eastAsia" w:ascii="仿宋_GB2312" w:eastAsia="仿宋_GB2312" w:cs="DengXian-Regular"/>
          <w:sz w:val="32"/>
          <w:szCs w:val="32"/>
        </w:rPr>
        <w:t>调整预算数47.28万元。</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根据团区委2019年预算文本、决算文本，2019年收入预算数</w:t>
      </w:r>
      <w:r>
        <w:rPr>
          <w:rFonts w:ascii="仿宋_GB2312" w:eastAsia="仿宋_GB2312" w:cs="DengXian-Regular"/>
          <w:sz w:val="32"/>
          <w:szCs w:val="32"/>
        </w:rPr>
        <w:t>56.23</w:t>
      </w:r>
      <w:r>
        <w:rPr>
          <w:rFonts w:hint="eastAsia" w:ascii="仿宋_GB2312" w:eastAsia="仿宋_GB2312" w:cs="DengXian-Regular"/>
          <w:sz w:val="32"/>
          <w:szCs w:val="32"/>
        </w:rPr>
        <w:t>万元，收入决算数</w:t>
      </w:r>
      <w:r>
        <w:rPr>
          <w:rFonts w:ascii="仿宋_GB2312" w:eastAsia="仿宋_GB2312" w:cs="DengXian-Regular"/>
          <w:sz w:val="32"/>
          <w:szCs w:val="32"/>
        </w:rPr>
        <w:t>47.33</w:t>
      </w:r>
      <w:r>
        <w:rPr>
          <w:rFonts w:hint="eastAsia" w:ascii="仿宋_GB2312" w:eastAsia="仿宋_GB2312" w:cs="DengXian-Regular"/>
          <w:sz w:val="32"/>
          <w:szCs w:val="32"/>
        </w:rPr>
        <w:t>万元，收入完成率=（</w:t>
      </w:r>
      <w:r>
        <w:rPr>
          <w:rFonts w:ascii="仿宋_GB2312" w:eastAsia="仿宋_GB2312" w:cs="DengXian-Regular"/>
          <w:sz w:val="32"/>
          <w:szCs w:val="32"/>
        </w:rPr>
        <w:t>47.33</w:t>
      </w:r>
      <w:r>
        <w:rPr>
          <w:rFonts w:hint="eastAsia" w:ascii="仿宋_GB2312" w:eastAsia="仿宋_GB2312" w:cs="DengXian-Regular"/>
          <w:sz w:val="32"/>
          <w:szCs w:val="32"/>
        </w:rPr>
        <w:t>/</w:t>
      </w:r>
      <w:r>
        <w:rPr>
          <w:rFonts w:ascii="仿宋_GB2312" w:eastAsia="仿宋_GB2312" w:cs="DengXian-Regular"/>
          <w:sz w:val="32"/>
          <w:szCs w:val="32"/>
        </w:rPr>
        <w:t>56.23</w:t>
      </w:r>
      <w:r>
        <w:rPr>
          <w:rFonts w:hint="eastAsia" w:ascii="仿宋_GB2312" w:eastAsia="仿宋_GB2312" w:cs="DengXian-Regular"/>
          <w:sz w:val="32"/>
          <w:szCs w:val="32"/>
        </w:rPr>
        <w:t>）*100%=8</w:t>
      </w:r>
      <w:r>
        <w:rPr>
          <w:rFonts w:ascii="仿宋_GB2312" w:eastAsia="仿宋_GB2312" w:cs="DengXian-Regular"/>
          <w:sz w:val="32"/>
          <w:szCs w:val="32"/>
        </w:rPr>
        <w:t>4.17</w:t>
      </w:r>
      <w:r>
        <w:rPr>
          <w:rFonts w:hint="eastAsia" w:ascii="仿宋_GB2312" w:eastAsia="仿宋_GB2312" w:cs="DengXian-Regular"/>
          <w:sz w:val="32"/>
          <w:szCs w:val="32"/>
        </w:rPr>
        <w:t>%。</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2019年团区委年初预算数</w:t>
      </w:r>
      <w:r>
        <w:rPr>
          <w:rFonts w:ascii="仿宋_GB2312" w:eastAsia="仿宋_GB2312" w:cs="DengXian-Regular"/>
          <w:sz w:val="32"/>
          <w:szCs w:val="32"/>
        </w:rPr>
        <w:t>为</w:t>
      </w:r>
      <w:r>
        <w:rPr>
          <w:rFonts w:hint="eastAsia" w:ascii="仿宋_GB2312" w:eastAsia="仿宋_GB2312" w:cs="DengXian-Regular"/>
          <w:sz w:val="32"/>
          <w:szCs w:val="32"/>
        </w:rPr>
        <w:t>56.23万元</w:t>
      </w:r>
      <w:r>
        <w:rPr>
          <w:rFonts w:ascii="仿宋_GB2312" w:eastAsia="仿宋_GB2312" w:cs="DengXian-Regular"/>
          <w:sz w:val="32"/>
          <w:szCs w:val="32"/>
        </w:rPr>
        <w:t>，</w:t>
      </w:r>
      <w:r>
        <w:rPr>
          <w:rFonts w:hint="eastAsia" w:ascii="仿宋_GB2312" w:eastAsia="仿宋_GB2312" w:cs="DengXian-Regular"/>
          <w:sz w:val="32"/>
          <w:szCs w:val="32"/>
        </w:rPr>
        <w:t>调整预算数47.28万元，团区委预算支出调整率=（4</w:t>
      </w:r>
      <w:r>
        <w:rPr>
          <w:rFonts w:ascii="仿宋_GB2312" w:eastAsia="仿宋_GB2312" w:cs="DengXian-Regular"/>
          <w:sz w:val="32"/>
          <w:szCs w:val="32"/>
        </w:rPr>
        <w:t>7.28</w:t>
      </w:r>
      <w:r>
        <w:rPr>
          <w:rFonts w:hint="eastAsia" w:ascii="仿宋_GB2312" w:eastAsia="仿宋_GB2312" w:cs="DengXian-Regular"/>
          <w:sz w:val="32"/>
          <w:szCs w:val="32"/>
        </w:rPr>
        <w:t>-5</w:t>
      </w:r>
      <w:r>
        <w:rPr>
          <w:rFonts w:ascii="仿宋_GB2312" w:eastAsia="仿宋_GB2312" w:cs="DengXian-Regular"/>
          <w:sz w:val="32"/>
          <w:szCs w:val="32"/>
        </w:rPr>
        <w:t>6.23</w:t>
      </w:r>
      <w:r>
        <w:rPr>
          <w:rFonts w:hint="eastAsia" w:ascii="仿宋_GB2312" w:eastAsia="仿宋_GB2312" w:cs="DengXian-Regular"/>
          <w:sz w:val="32"/>
          <w:szCs w:val="32"/>
        </w:rPr>
        <w:t>）/5</w:t>
      </w:r>
      <w:r>
        <w:rPr>
          <w:rFonts w:ascii="仿宋_GB2312" w:eastAsia="仿宋_GB2312" w:cs="DengXian-Regular"/>
          <w:sz w:val="32"/>
          <w:szCs w:val="32"/>
        </w:rPr>
        <w:t>6.23</w:t>
      </w:r>
      <w:r>
        <w:rPr>
          <w:rFonts w:hint="eastAsia" w:ascii="仿宋_GB2312" w:eastAsia="仿宋_GB2312" w:cs="DengXian-Regular"/>
          <w:sz w:val="32"/>
          <w:szCs w:val="32"/>
        </w:rPr>
        <w:t>*100%</w:t>
      </w:r>
      <w:r>
        <w:rPr>
          <w:rFonts w:ascii="仿宋_GB2312" w:eastAsia="仿宋_GB2312" w:cs="DengXian-Regular"/>
          <w:sz w:val="32"/>
          <w:szCs w:val="32"/>
        </w:rPr>
        <w:t>=-15.92%</w:t>
      </w:r>
      <w:r>
        <w:rPr>
          <w:rFonts w:hint="eastAsia" w:ascii="仿宋_GB2312" w:eastAsia="仿宋_GB2312" w:cs="DengXian-Regular"/>
          <w:sz w:val="32"/>
          <w:szCs w:val="32"/>
        </w:rPr>
        <w:t>。</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团区委提供的2019年决算文本，部门决算财政拨款支出数</w:t>
      </w:r>
      <w:r>
        <w:rPr>
          <w:rFonts w:ascii="仿宋_GB2312" w:eastAsia="仿宋_GB2312" w:cs="DengXian-Regular"/>
          <w:sz w:val="32"/>
          <w:szCs w:val="32"/>
        </w:rPr>
        <w:t>56.23</w:t>
      </w:r>
      <w:r>
        <w:rPr>
          <w:rFonts w:hint="eastAsia" w:ascii="仿宋_GB2312" w:eastAsia="仿宋_GB2312" w:cs="DengXian-Regular"/>
          <w:sz w:val="32"/>
          <w:szCs w:val="32"/>
        </w:rPr>
        <w:t>万元，财政拨款收入数</w:t>
      </w:r>
      <w:r>
        <w:rPr>
          <w:rFonts w:ascii="仿宋_GB2312" w:eastAsia="仿宋_GB2312" w:cs="DengXian-Regular"/>
          <w:sz w:val="32"/>
          <w:szCs w:val="32"/>
        </w:rPr>
        <w:t>50.63</w:t>
      </w:r>
      <w:r>
        <w:rPr>
          <w:rFonts w:hint="eastAsia" w:ascii="仿宋_GB2312" w:eastAsia="仿宋_GB2312" w:cs="DengXian-Regular"/>
          <w:sz w:val="32"/>
          <w:szCs w:val="32"/>
        </w:rPr>
        <w:t>万元，财政拨款支出率=（</w:t>
      </w:r>
      <w:r>
        <w:rPr>
          <w:rFonts w:ascii="仿宋_GB2312" w:eastAsia="仿宋_GB2312" w:cs="DengXian-Regular"/>
          <w:sz w:val="32"/>
          <w:szCs w:val="32"/>
        </w:rPr>
        <w:t>50.63</w:t>
      </w:r>
      <w:r>
        <w:rPr>
          <w:rFonts w:hint="eastAsia" w:ascii="仿宋_GB2312" w:eastAsia="仿宋_GB2312" w:cs="DengXian-Regular"/>
          <w:sz w:val="32"/>
          <w:szCs w:val="32"/>
        </w:rPr>
        <w:t>/</w:t>
      </w:r>
      <w:r>
        <w:rPr>
          <w:rFonts w:ascii="仿宋_GB2312" w:eastAsia="仿宋_GB2312" w:cs="DengXian-Regular"/>
          <w:sz w:val="32"/>
          <w:szCs w:val="32"/>
        </w:rPr>
        <w:t>56.23</w:t>
      </w:r>
      <w:r>
        <w:rPr>
          <w:rFonts w:hint="eastAsia" w:ascii="仿宋_GB2312" w:eastAsia="仿宋_GB2312" w:cs="DengXian-Regular"/>
          <w:sz w:val="32"/>
          <w:szCs w:val="32"/>
        </w:rPr>
        <w:t>）*100%=</w:t>
      </w:r>
      <w:r>
        <w:rPr>
          <w:rFonts w:ascii="仿宋_GB2312" w:eastAsia="仿宋_GB2312" w:cs="DengXian-Regular"/>
          <w:sz w:val="32"/>
          <w:szCs w:val="32"/>
        </w:rPr>
        <w:t>90.04</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90%。</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val="en-US" w:eastAsia="zh-CN"/>
        </w:rPr>
        <w:t>团区委</w:t>
      </w:r>
      <w:r>
        <w:rPr>
          <w:rFonts w:hint="eastAsia" w:ascii="仿宋_GB2312" w:eastAsia="仿宋_GB2312" w:cs="DengXian-Regular"/>
          <w:sz w:val="32"/>
          <w:szCs w:val="32"/>
        </w:rPr>
        <w:t>2019年预算文本及决算文本，“三公”经费年初预算数</w:t>
      </w:r>
      <w:r>
        <w:rPr>
          <w:rFonts w:ascii="仿宋_GB2312" w:eastAsia="仿宋_GB2312" w:cs="DengXian-Regular"/>
          <w:sz w:val="32"/>
          <w:szCs w:val="32"/>
        </w:rPr>
        <w:t>3</w:t>
      </w:r>
      <w:r>
        <w:rPr>
          <w:rFonts w:hint="eastAsia" w:ascii="仿宋_GB2312" w:eastAsia="仿宋_GB2312" w:cs="DengXian-Regular"/>
          <w:sz w:val="32"/>
          <w:szCs w:val="32"/>
        </w:rPr>
        <w:t>.3万元，年末决算数</w:t>
      </w:r>
      <w:r>
        <w:rPr>
          <w:rFonts w:ascii="仿宋_GB2312" w:eastAsia="仿宋_GB2312" w:cs="DengXian-Regular"/>
          <w:sz w:val="32"/>
          <w:szCs w:val="32"/>
        </w:rPr>
        <w:t>0</w:t>
      </w:r>
      <w:r>
        <w:rPr>
          <w:rFonts w:hint="eastAsia" w:ascii="仿宋_GB2312" w:eastAsia="仿宋_GB2312" w:cs="DengXian-Regular"/>
          <w:sz w:val="32"/>
          <w:szCs w:val="32"/>
        </w:rPr>
        <w:t>万元，“三公”经费控制率=（</w:t>
      </w:r>
      <w:r>
        <w:rPr>
          <w:rFonts w:ascii="仿宋_GB2312" w:eastAsia="仿宋_GB2312" w:cs="DengXian-Regular"/>
          <w:sz w:val="32"/>
          <w:szCs w:val="32"/>
        </w:rPr>
        <w:t>0</w:t>
      </w:r>
      <w:r>
        <w:rPr>
          <w:rFonts w:hint="eastAsia" w:ascii="仿宋_GB2312" w:eastAsia="仿宋_GB2312" w:cs="DengXian-Regular"/>
          <w:sz w:val="32"/>
          <w:szCs w:val="32"/>
        </w:rPr>
        <w:t>/</w:t>
      </w:r>
      <w:r>
        <w:rPr>
          <w:rFonts w:ascii="仿宋_GB2312" w:eastAsia="仿宋_GB2312" w:cs="DengXian-Regular"/>
          <w:sz w:val="32"/>
          <w:szCs w:val="32"/>
        </w:rPr>
        <w:t>3</w:t>
      </w:r>
      <w:r>
        <w:rPr>
          <w:rFonts w:hint="eastAsia" w:ascii="仿宋_GB2312" w:eastAsia="仿宋_GB2312" w:cs="DengXian-Regular"/>
          <w:sz w:val="32"/>
          <w:szCs w:val="32"/>
        </w:rPr>
        <w:t>.3）*100%=</w:t>
      </w:r>
      <w:r>
        <w:rPr>
          <w:rFonts w:ascii="仿宋_GB2312" w:eastAsia="仿宋_GB2312" w:cs="DengXian-Regular"/>
          <w:sz w:val="32"/>
          <w:szCs w:val="32"/>
        </w:rPr>
        <w:t>0</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100%。</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根据团区委2019年预算文本及决算文本，政府采购年初预算数0万元，年末决算数</w:t>
      </w:r>
      <w:r>
        <w:rPr>
          <w:rFonts w:ascii="仿宋_GB2312" w:eastAsia="仿宋_GB2312" w:cs="DengXian-Regular"/>
          <w:sz w:val="32"/>
          <w:szCs w:val="32"/>
        </w:rPr>
        <w:t>6.41</w:t>
      </w:r>
      <w:r>
        <w:rPr>
          <w:rFonts w:hint="eastAsia" w:ascii="仿宋_GB2312" w:eastAsia="仿宋_GB2312" w:cs="DengXian-Regular"/>
          <w:sz w:val="32"/>
          <w:szCs w:val="32"/>
        </w:rPr>
        <w:t>万元，政府采购执行率为0。</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ascii="仿宋_GB2312" w:eastAsia="仿宋_GB2312" w:cs="DengXian-Regular"/>
          <w:sz w:val="32"/>
          <w:szCs w:val="32"/>
        </w:rPr>
        <w:t>1</w:t>
      </w:r>
      <w:r>
        <w:rPr>
          <w:rFonts w:hint="eastAsia" w:ascii="仿宋_GB2312" w:eastAsia="仿宋_GB2312" w:cs="DengXian-Regular"/>
          <w:sz w:val="32"/>
          <w:szCs w:val="32"/>
        </w:rPr>
        <w:t>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根据团区</w:t>
      </w:r>
      <w:r>
        <w:rPr>
          <w:rFonts w:ascii="仿宋_GB2312" w:eastAsia="仿宋_GB2312" w:cs="DengXian-Regular"/>
          <w:sz w:val="32"/>
          <w:szCs w:val="32"/>
        </w:rPr>
        <w:t>委</w:t>
      </w:r>
      <w:r>
        <w:rPr>
          <w:rFonts w:hint="eastAsia" w:ascii="仿宋_GB2312" w:eastAsia="仿宋_GB2312" w:cs="DengXian-Regular"/>
          <w:sz w:val="32"/>
          <w:szCs w:val="32"/>
        </w:rPr>
        <w:t>2019年明细账、会计凭证等相关资料，团区委资金使用符合相关会计准则和财务制度，资金拨付有完备的审批程序和手续，资金使用符合部门预算批复的用途，未发现截留、挤占、挪用财政资金的情况。</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经核查团区委2019年决算文本、明细账及总账，</w:t>
      </w:r>
      <w:r>
        <w:rPr>
          <w:rFonts w:hint="eastAsia" w:ascii="仿宋_GB2312" w:eastAsia="仿宋_GB2312" w:cs="DengXian-Regular"/>
          <w:sz w:val="32"/>
          <w:szCs w:val="32"/>
          <w:lang w:val="en-US" w:eastAsia="zh-CN"/>
        </w:rPr>
        <w:t>团区委</w:t>
      </w:r>
      <w:r>
        <w:rPr>
          <w:rFonts w:hint="eastAsia" w:ascii="仿宋_GB2312" w:eastAsia="仿宋_GB2312" w:cs="DengXian-Regular"/>
          <w:sz w:val="32"/>
          <w:szCs w:val="32"/>
        </w:rPr>
        <w:t>决算文本数据均与明细账、总账一致。</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团区委工作制度涵盖了财务制度、网络安全制度、公务用车制度等相关制度，经检查团区委付款流程审批单、资产盘点表等资料，团区委已按照相关管理制度的规定执行。</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团区委2019年按政府信息公开的有关要求在保定市徐水区人民政府网公开了2019年的预决算情况、部门责任清单、行政监督清单等相关信息。</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根据团区委提供的会计账簿、凭证及其他相关资料，团区委会计信息资料真实完整，</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团区委建立了固定资产台账、无形资产台账，资产保存完整，2019年新增资产</w:t>
      </w:r>
      <w:r>
        <w:rPr>
          <w:rFonts w:ascii="仿宋_GB2312" w:eastAsia="仿宋_GB2312" w:cs="DengXian-Regular"/>
          <w:sz w:val="32"/>
          <w:szCs w:val="32"/>
        </w:rPr>
        <w:t>0.76</w:t>
      </w:r>
      <w:r>
        <w:rPr>
          <w:rFonts w:hint="eastAsia" w:ascii="仿宋_GB2312" w:eastAsia="仿宋_GB2312" w:cs="DengXian-Regular"/>
          <w:sz w:val="32"/>
          <w:szCs w:val="32"/>
        </w:rPr>
        <w:t>万元，包含：</w:t>
      </w:r>
      <w:r>
        <w:rPr>
          <w:rFonts w:hint="eastAsia" w:ascii="仿宋_GB2312" w:eastAsia="仿宋_GB2312" w:cs="DengXian-Regular"/>
          <w:sz w:val="32"/>
          <w:szCs w:val="32"/>
          <w:lang w:val="en-US" w:eastAsia="zh-CN"/>
        </w:rPr>
        <w:t>电脑</w:t>
      </w:r>
      <w:r>
        <w:rPr>
          <w:rFonts w:hint="eastAsia" w:ascii="仿宋_GB2312" w:eastAsia="仿宋_GB2312" w:cs="DengXian-Regular"/>
          <w:sz w:val="32"/>
          <w:szCs w:val="32"/>
        </w:rPr>
        <w:t>设备（0.</w:t>
      </w:r>
      <w:r>
        <w:rPr>
          <w:rFonts w:ascii="仿宋_GB2312" w:eastAsia="仿宋_GB2312" w:cs="DengXian-Regular"/>
          <w:sz w:val="32"/>
          <w:szCs w:val="32"/>
        </w:rPr>
        <w:t>76</w:t>
      </w:r>
      <w:r>
        <w:rPr>
          <w:rFonts w:hint="eastAsia" w:ascii="仿宋_GB2312" w:eastAsia="仿宋_GB2312" w:cs="DengXian-Regular"/>
          <w:sz w:val="32"/>
          <w:szCs w:val="32"/>
        </w:rPr>
        <w:t>万元），资产购置手续完备，配置符合要求，资产管理整体较规范。</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根据徐水区财政局《关于开展2019年度财政专项资金部门绩效自评价工作的通知》及</w:t>
      </w:r>
      <w:r>
        <w:rPr>
          <w:rFonts w:hint="eastAsia" w:ascii="仿宋_GB2312" w:eastAsia="仿宋_GB2312" w:cs="DengXian-Regular"/>
          <w:sz w:val="32"/>
          <w:szCs w:val="32"/>
          <w:lang w:val="en-US" w:eastAsia="zh-CN"/>
        </w:rPr>
        <w:t>团区委</w:t>
      </w:r>
      <w:r>
        <w:rPr>
          <w:rFonts w:hint="eastAsia" w:ascii="仿宋_GB2312" w:eastAsia="仿宋_GB2312" w:cs="DengXian-Regular"/>
          <w:sz w:val="32"/>
          <w:szCs w:val="32"/>
        </w:rPr>
        <w:t>2019年一般项目部门绩效自评表，</w:t>
      </w:r>
      <w:r>
        <w:rPr>
          <w:rFonts w:hint="eastAsia" w:ascii="仿宋_GB2312" w:eastAsia="仿宋_GB2312" w:cs="DengXian-Regular"/>
          <w:sz w:val="32"/>
          <w:szCs w:val="32"/>
          <w:lang w:val="en-US" w:eastAsia="zh-CN"/>
        </w:rPr>
        <w:t>团区委</w:t>
      </w:r>
      <w:r>
        <w:rPr>
          <w:rFonts w:hint="eastAsia" w:ascii="仿宋_GB2312" w:eastAsia="仿宋_GB2312" w:cs="DengXian-Regular"/>
          <w:sz w:val="32"/>
          <w:szCs w:val="32"/>
        </w:rPr>
        <w:t>2019年开展绩效自评的项目数为</w:t>
      </w:r>
      <w:r>
        <w:rPr>
          <w:rFonts w:ascii="仿宋_GB2312" w:eastAsia="仿宋_GB2312" w:cs="DengXian-Regular"/>
          <w:sz w:val="32"/>
          <w:szCs w:val="32"/>
        </w:rPr>
        <w:t>6</w:t>
      </w:r>
      <w:r>
        <w:rPr>
          <w:rFonts w:hint="eastAsia" w:ascii="仿宋_GB2312" w:eastAsia="仿宋_GB2312" w:cs="DengXian-Regular"/>
          <w:sz w:val="32"/>
          <w:szCs w:val="32"/>
        </w:rPr>
        <w:t>个，年初预算文本项目数</w:t>
      </w:r>
      <w:r>
        <w:rPr>
          <w:rFonts w:ascii="仿宋_GB2312" w:eastAsia="仿宋_GB2312" w:cs="DengXian-Regular"/>
          <w:sz w:val="32"/>
          <w:szCs w:val="32"/>
        </w:rPr>
        <w:t>6</w:t>
      </w:r>
      <w:r>
        <w:rPr>
          <w:rFonts w:hint="eastAsia" w:ascii="仿宋_GB2312" w:eastAsia="仿宋_GB2312" w:cs="DengXian-Regular"/>
          <w:sz w:val="32"/>
          <w:szCs w:val="32"/>
        </w:rPr>
        <w:t>个，要求自评项目个数</w:t>
      </w:r>
      <w:r>
        <w:rPr>
          <w:rFonts w:ascii="仿宋_GB2312" w:eastAsia="仿宋_GB2312" w:cs="DengXian-Regular"/>
          <w:sz w:val="32"/>
          <w:szCs w:val="32"/>
        </w:rPr>
        <w:t>6</w:t>
      </w:r>
      <w:r>
        <w:rPr>
          <w:rFonts w:hint="eastAsia" w:ascii="仿宋_GB2312" w:eastAsia="仿宋_GB2312" w:cs="DengXian-Regular"/>
          <w:sz w:val="32"/>
          <w:szCs w:val="32"/>
        </w:rPr>
        <w:t>个，自评覆盖率为 100%。</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团区委2019年参评数量</w:t>
      </w:r>
      <w:r>
        <w:rPr>
          <w:rFonts w:ascii="仿宋_GB2312" w:eastAsia="仿宋_GB2312" w:cs="DengXian-Regular"/>
          <w:sz w:val="32"/>
          <w:szCs w:val="32"/>
        </w:rPr>
        <w:t>6</w:t>
      </w:r>
      <w:r>
        <w:rPr>
          <w:rFonts w:hint="eastAsia" w:ascii="仿宋_GB2312" w:eastAsia="仿宋_GB2312" w:cs="DengXian-Regular"/>
          <w:sz w:val="32"/>
          <w:szCs w:val="32"/>
        </w:rPr>
        <w:t>个，绩效评价结果达到优等的数量</w:t>
      </w:r>
      <w:r>
        <w:rPr>
          <w:rFonts w:ascii="仿宋_GB2312" w:eastAsia="仿宋_GB2312" w:cs="DengXian-Regular"/>
          <w:sz w:val="32"/>
          <w:szCs w:val="32"/>
        </w:rPr>
        <w:t>6</w:t>
      </w:r>
      <w:r>
        <w:rPr>
          <w:rFonts w:hint="eastAsia" w:ascii="仿宋_GB2312" w:eastAsia="仿宋_GB2312" w:cs="DengXian-Regular"/>
          <w:sz w:val="32"/>
          <w:szCs w:val="32"/>
        </w:rPr>
        <w:t>个，绩效评价优等率为</w:t>
      </w:r>
      <w:r>
        <w:rPr>
          <w:rFonts w:ascii="仿宋_GB2312" w:eastAsia="仿宋_GB2312" w:cs="DengXian-Regular"/>
          <w:sz w:val="32"/>
          <w:szCs w:val="32"/>
        </w:rPr>
        <w:t>100</w:t>
      </w:r>
      <w:r>
        <w:rPr>
          <w:rFonts w:hint="eastAsia" w:ascii="仿宋_GB2312" w:eastAsia="仿宋_GB2312" w:cs="DengXian-Regular"/>
          <w:sz w:val="32"/>
          <w:szCs w:val="32"/>
        </w:rPr>
        <w:t>%。</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bookmarkEnd w:id="64"/>
      <w:bookmarkEnd w:id="65"/>
    </w:p>
    <w:p>
      <w:pPr>
        <w:pStyle w:val="4"/>
        <w:spacing w:before="0" w:after="0" w:line="600" w:lineRule="exact"/>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该一级指标包含责任履行一个二级指标，主要反映结转结余率，项目资金使用率，社区矫正人数，社区服刑人员再次犯罪率，法律援助案件办结率。</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765"/>
        <w:gridCol w:w="896"/>
        <w:gridCol w:w="853"/>
      </w:tblGrid>
      <w:tr>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76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896"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76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89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0</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76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89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76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基层组织与基层建设完成率</w:t>
            </w:r>
          </w:p>
        </w:tc>
        <w:tc>
          <w:tcPr>
            <w:tcW w:w="89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76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少先队</w:t>
            </w:r>
            <w:r>
              <w:rPr>
                <w:rFonts w:cs="宋体" w:asciiTheme="minorEastAsia" w:hAnsiTheme="minorEastAsia" w:eastAsiaTheme="minorEastAsia"/>
                <w:sz w:val="21"/>
                <w:szCs w:val="21"/>
              </w:rPr>
              <w:t>工作者</w:t>
            </w:r>
            <w:r>
              <w:rPr>
                <w:rFonts w:hint="eastAsia" w:cs="宋体" w:asciiTheme="minorEastAsia" w:hAnsiTheme="minorEastAsia" w:eastAsiaTheme="minorEastAsia"/>
                <w:sz w:val="21"/>
                <w:szCs w:val="21"/>
              </w:rPr>
              <w:t>培训参与率</w:t>
            </w:r>
          </w:p>
        </w:tc>
        <w:tc>
          <w:tcPr>
            <w:tcW w:w="89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76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法治宣传教育完成率</w:t>
            </w:r>
          </w:p>
        </w:tc>
        <w:tc>
          <w:tcPr>
            <w:tcW w:w="89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76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89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r>
              <w:rPr>
                <w:rFonts w:cs="宋体" w:asciiTheme="minorEastAsia" w:hAnsiTheme="minorEastAsia" w:eastAsiaTheme="minorEastAsia"/>
                <w:sz w:val="21"/>
                <w:szCs w:val="21"/>
              </w:rPr>
              <w:t>0</w:t>
            </w:r>
          </w:p>
        </w:tc>
      </w:tr>
    </w:tbl>
    <w:p>
      <w:pPr>
        <w:spacing w:after="0" w:line="600" w:lineRule="exact"/>
        <w:ind w:firstLine="640" w:firstLineChars="200"/>
        <w:jc w:val="both"/>
        <w:textAlignment w:val="baseline"/>
        <w:rPr>
          <w:rFonts w:ascii="仿宋_GB2312" w:eastAsia="仿宋_GB2312" w:cs="DengXian-Regular"/>
          <w:sz w:val="32"/>
          <w:szCs w:val="32"/>
        </w:rPr>
      </w:pPr>
      <w:bookmarkStart w:id="67" w:name="_Toc464638518"/>
      <w:bookmarkStart w:id="68" w:name="_Toc465149515"/>
      <w:r>
        <w:rPr>
          <w:rFonts w:hint="eastAsia" w:ascii="仿宋_GB2312" w:eastAsia="仿宋_GB2312" w:cs="DengXian-Regular"/>
          <w:sz w:val="32"/>
          <w:szCs w:val="32"/>
        </w:rPr>
        <w:t>1.结转结余率（5分）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根据团区委2019年决算文本及相关资料，团区委2019年结转结余资金</w:t>
      </w:r>
      <w:r>
        <w:rPr>
          <w:rFonts w:ascii="仿宋_GB2312" w:eastAsia="仿宋_GB2312" w:cs="DengXian-Regular"/>
          <w:sz w:val="32"/>
          <w:szCs w:val="32"/>
        </w:rPr>
        <w:t>13.04</w:t>
      </w:r>
      <w:r>
        <w:rPr>
          <w:rFonts w:hint="eastAsia" w:ascii="仿宋_GB2312" w:eastAsia="仿宋_GB2312" w:cs="DengXian-Regular"/>
          <w:sz w:val="32"/>
          <w:szCs w:val="32"/>
        </w:rPr>
        <w:t>万元，决算收入</w:t>
      </w:r>
      <w:r>
        <w:rPr>
          <w:rFonts w:ascii="仿宋_GB2312" w:eastAsia="仿宋_GB2312" w:cs="DengXian-Regular"/>
          <w:sz w:val="32"/>
          <w:szCs w:val="32"/>
        </w:rPr>
        <w:t>47.28</w:t>
      </w:r>
      <w:r>
        <w:rPr>
          <w:rFonts w:hint="eastAsia" w:ascii="仿宋_GB2312" w:eastAsia="仿宋_GB2312" w:cs="DengXian-Regular"/>
          <w:sz w:val="32"/>
          <w:szCs w:val="32"/>
        </w:rPr>
        <w:t>万元，结转结余率</w:t>
      </w:r>
      <w:r>
        <w:rPr>
          <w:rFonts w:ascii="仿宋_GB2312" w:eastAsia="仿宋_GB2312" w:cs="DengXian-Regular"/>
          <w:sz w:val="32"/>
          <w:szCs w:val="32"/>
        </w:rPr>
        <w:t>27.58</w:t>
      </w:r>
      <w:r>
        <w:rPr>
          <w:rFonts w:hint="eastAsia" w:ascii="仿宋_GB2312" w:eastAsia="仿宋_GB2312" w:cs="DengXian-Regular"/>
          <w:sz w:val="32"/>
          <w:szCs w:val="32"/>
        </w:rPr>
        <w:t>%，大于5%。</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0</w:t>
      </w:r>
      <w:r>
        <w:rPr>
          <w:rFonts w:hint="eastAsia" w:ascii="仿宋_GB2312" w:eastAsia="仿宋_GB2312" w:cs="DengXian-Regular"/>
          <w:sz w:val="32"/>
          <w:szCs w:val="32"/>
        </w:rPr>
        <w:t>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团区委2019年实际支出项目资金总额</w:t>
      </w:r>
      <w:r>
        <w:rPr>
          <w:rFonts w:ascii="仿宋_GB2312" w:eastAsia="仿宋_GB2312" w:cs="DengXian-Regular"/>
          <w:sz w:val="32"/>
          <w:szCs w:val="32"/>
        </w:rPr>
        <w:t>11.58</w:t>
      </w:r>
      <w:r>
        <w:rPr>
          <w:rFonts w:hint="eastAsia" w:ascii="仿宋_GB2312" w:eastAsia="仿宋_GB2312" w:cs="DengXian-Regular"/>
          <w:sz w:val="32"/>
          <w:szCs w:val="32"/>
        </w:rPr>
        <w:t>万元，年初预算共</w:t>
      </w:r>
      <w:r>
        <w:rPr>
          <w:rFonts w:ascii="仿宋_GB2312" w:eastAsia="仿宋_GB2312" w:cs="DengXian-Regular"/>
          <w:sz w:val="32"/>
          <w:szCs w:val="32"/>
        </w:rPr>
        <w:t>6</w:t>
      </w:r>
      <w:r>
        <w:rPr>
          <w:rFonts w:hint="eastAsia" w:ascii="仿宋_GB2312" w:eastAsia="仿宋_GB2312" w:cs="DengXian-Regular"/>
          <w:sz w:val="32"/>
          <w:szCs w:val="32"/>
        </w:rPr>
        <w:t>个项目，预算数</w:t>
      </w:r>
      <w:r>
        <w:rPr>
          <w:rFonts w:ascii="仿宋_GB2312" w:eastAsia="仿宋_GB2312" w:cs="DengXian-Regular"/>
          <w:sz w:val="32"/>
          <w:szCs w:val="32"/>
        </w:rPr>
        <w:t>11.8</w:t>
      </w:r>
      <w:r>
        <w:rPr>
          <w:rFonts w:hint="eastAsia" w:ascii="仿宋_GB2312" w:eastAsia="仿宋_GB2312" w:cs="DengXian-Regular"/>
          <w:sz w:val="32"/>
          <w:szCs w:val="32"/>
        </w:rPr>
        <w:t>万元，项目资金使用率为</w:t>
      </w:r>
      <w:r>
        <w:rPr>
          <w:rFonts w:ascii="仿宋_GB2312" w:eastAsia="仿宋_GB2312" w:cs="DengXian-Regular"/>
          <w:sz w:val="32"/>
          <w:szCs w:val="32"/>
        </w:rPr>
        <w:t>98.14</w:t>
      </w:r>
      <w:r>
        <w:rPr>
          <w:rFonts w:hint="eastAsia" w:ascii="仿宋_GB2312" w:eastAsia="仿宋_GB2312" w:cs="DengXian-Regular"/>
          <w:sz w:val="32"/>
          <w:szCs w:val="32"/>
        </w:rPr>
        <w:t>%。</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5</w:t>
      </w:r>
      <w:r>
        <w:rPr>
          <w:rFonts w:hint="eastAsia" w:ascii="仿宋_GB2312" w:eastAsia="仿宋_GB2312" w:cs="DengXian-Regular"/>
          <w:sz w:val="32"/>
          <w:szCs w:val="32"/>
        </w:rPr>
        <w:t>分。</w:t>
      </w:r>
    </w:p>
    <w:p>
      <w:pPr>
        <w:spacing w:after="0" w:line="600" w:lineRule="exact"/>
        <w:ind w:firstLine="643" w:firstLineChars="200"/>
        <w:jc w:val="both"/>
        <w:textAlignment w:val="baseline"/>
        <w:rPr>
          <w:rFonts w:ascii="仿宋_GB2312" w:eastAsia="仿宋_GB2312" w:cs="DengXian-Regular"/>
          <w:b/>
          <w:sz w:val="32"/>
          <w:szCs w:val="32"/>
        </w:rPr>
      </w:pPr>
      <w:bookmarkStart w:id="69" w:name="_Toc28363"/>
      <w:r>
        <w:rPr>
          <w:rFonts w:hint="eastAsia" w:ascii="仿宋_GB2312" w:eastAsia="仿宋_GB2312" w:cs="DengXian-Regular"/>
          <w:b/>
          <w:sz w:val="32"/>
          <w:szCs w:val="32"/>
        </w:rPr>
        <w:t>（四）效果</w:t>
      </w:r>
      <w:bookmarkEnd w:id="67"/>
      <w:bookmarkEnd w:id="68"/>
      <w:r>
        <w:rPr>
          <w:rFonts w:hint="eastAsia" w:ascii="仿宋_GB2312" w:eastAsia="仿宋_GB2312" w:cs="DengXian-Regular"/>
          <w:b/>
          <w:sz w:val="32"/>
          <w:szCs w:val="32"/>
        </w:rPr>
        <w:t>（15分）</w:t>
      </w:r>
      <w:bookmarkEnd w:id="69"/>
    </w:p>
    <w:p>
      <w:pPr>
        <w:spacing w:after="0" w:line="600" w:lineRule="exact"/>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pPr>
        <w:spacing w:after="0" w:line="600" w:lineRule="exact"/>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r>
      <w:bookmarkEnd w:id="70"/>
    </w:tbl>
    <w:p>
      <w:pPr>
        <w:spacing w:after="0" w:line="600" w:lineRule="exact"/>
        <w:ind w:firstLine="640" w:firstLineChars="200"/>
        <w:jc w:val="both"/>
        <w:textAlignment w:val="baseline"/>
        <w:rPr>
          <w:rFonts w:ascii="仿宋_GB2312" w:eastAsia="仿宋_GB2312" w:cs="DengXian-Regular"/>
          <w:sz w:val="32"/>
          <w:szCs w:val="32"/>
        </w:rPr>
      </w:pPr>
      <w:bookmarkStart w:id="71" w:name="_Toc492652784"/>
      <w:bookmarkStart w:id="72" w:name="_Toc464638561"/>
      <w:bookmarkStart w:id="73" w:name="_Toc465149516"/>
      <w:r>
        <w:rPr>
          <w:rFonts w:hint="eastAsia" w:ascii="仿宋_GB2312" w:eastAsia="仿宋_GB2312" w:cs="DengXian-Regular"/>
          <w:sz w:val="32"/>
          <w:szCs w:val="32"/>
        </w:rPr>
        <w:t>1.部门整体效益（10分）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经查看团区委提供的相关资料，团区委履行职责对社会发展所带来的社会效益较显著，为青少年提供了</w:t>
      </w:r>
      <w:r>
        <w:rPr>
          <w:rFonts w:ascii="仿宋_GB2312" w:eastAsia="仿宋_GB2312" w:cs="DengXian-Regular"/>
          <w:sz w:val="32"/>
          <w:szCs w:val="32"/>
        </w:rPr>
        <w:t>良好服务</w:t>
      </w:r>
      <w:r>
        <w:rPr>
          <w:rFonts w:hint="eastAsia" w:ascii="仿宋_GB2312" w:eastAsia="仿宋_GB2312" w:cs="DengXian-Regular"/>
          <w:sz w:val="32"/>
          <w:szCs w:val="32"/>
        </w:rPr>
        <w:t>。</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该项指标实际得分6分。</w:t>
      </w:r>
    </w:p>
    <w:p>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pPr>
        <w:spacing w:after="0" w:line="60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pPr>
        <w:spacing w:after="0" w:line="60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pPr>
        <w:spacing w:after="0" w:line="600" w:lineRule="exact"/>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pPr>
        <w:spacing w:after="0" w:line="60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18"/>
                <w:szCs w:val="21"/>
                <w:u w:color="000000"/>
              </w:rPr>
              <w:t>对徐水区共青团和</w:t>
            </w:r>
            <w:r>
              <w:rPr>
                <w:rFonts w:cs="Times New Roman" w:asciiTheme="minorEastAsia" w:hAnsiTheme="minorEastAsia" w:eastAsiaTheme="minorEastAsia"/>
                <w:sz w:val="18"/>
                <w:szCs w:val="21"/>
                <w:u w:color="000000"/>
              </w:rPr>
              <w:t>少先队基层组织建设满意</w:t>
            </w:r>
            <w:r>
              <w:rPr>
                <w:rFonts w:hint="eastAsia" w:cs="Times New Roman" w:asciiTheme="minorEastAsia" w:hAnsiTheme="minorEastAsia" w:eastAsiaTheme="minorEastAsia"/>
                <w:sz w:val="18"/>
                <w:szCs w:val="21"/>
                <w:u w:color="000000"/>
              </w:rPr>
              <w:t>程度</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r>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对共青团和</w:t>
            </w:r>
            <w:r>
              <w:rPr>
                <w:rFonts w:cs="Times New Roman" w:asciiTheme="minorEastAsia" w:hAnsiTheme="minorEastAsia" w:eastAsiaTheme="minorEastAsia"/>
                <w:sz w:val="21"/>
                <w:szCs w:val="21"/>
                <w:u w:color="000000"/>
              </w:rPr>
              <w:t>少先队工作满意</w:t>
            </w:r>
            <w:r>
              <w:rPr>
                <w:rFonts w:hint="eastAsia" w:cs="Times New Roman" w:asciiTheme="minorEastAsia" w:hAnsiTheme="minorEastAsia" w:eastAsiaTheme="minorEastAsia"/>
                <w:sz w:val="21"/>
                <w:szCs w:val="21"/>
                <w:u w:color="000000"/>
              </w:rPr>
              <w:t>度</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r>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对预防青少年违法犯罪满意度</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bl>
    <w:p>
      <w:pPr>
        <w:spacing w:after="0" w:line="60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pPr>
        <w:spacing w:after="0" w:line="60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pPr>
        <w:spacing w:after="0" w:line="60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pPr>
        <w:spacing w:after="0" w:line="60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经计算，总体得分为100分，小于(大于）90分，评价等级为“优”。</w:t>
      </w:r>
    </w:p>
    <w:p>
      <w:pPr>
        <w:spacing w:after="0" w:line="600" w:lineRule="exact"/>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该指标实际得分5分。</w:t>
      </w:r>
    </w:p>
    <w:p>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团区委</w:t>
      </w:r>
      <w:r>
        <w:rPr>
          <w:rFonts w:hint="eastAsia" w:ascii="仿宋_GB2312" w:eastAsia="仿宋_GB2312" w:cs="Times New Roman" w:hAnsiTheme="minorEastAsia"/>
          <w:sz w:val="32"/>
          <w:szCs w:val="32"/>
          <w:u w:color="000000"/>
        </w:rPr>
        <w:t>2019年部门整体支出基本按相关要求执行预算、决算，完成了绩效目标，资金使用效益良好。通过评价，也发现一些不足之处，具体情况如下：</w:t>
      </w:r>
      <w:bookmarkStart w:id="76" w:name="_Toc20723"/>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w:t>
      </w:r>
      <w:r>
        <w:rPr>
          <w:rFonts w:ascii="仿宋_GB2312" w:eastAsia="仿宋_GB2312" w:cs="Times New Roman" w:hAnsiTheme="minorEastAsia"/>
          <w:sz w:val="32"/>
          <w:szCs w:val="32"/>
          <w:u w:color="000000"/>
        </w:rPr>
        <w:t>预算编制有待进一步加强，确保预算执行力度。</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财务制度执行力有待加强，资金使用计划有待细化。</w:t>
      </w:r>
    </w:p>
    <w:bookmarkEnd w:id="75"/>
    <w:bookmarkEnd w:id="76"/>
    <w:p>
      <w:pPr>
        <w:spacing w:after="0" w:line="560" w:lineRule="exact"/>
        <w:ind w:left="1440" w:hanging="1440" w:hangingChars="450"/>
        <w:jc w:val="both"/>
        <w:textAlignment w:val="baseline"/>
        <w:rPr>
          <w:rFonts w:ascii="仿宋_GB2312" w:eastAsia="仿宋_GB2312" w:cs="Times New Roman" w:hAnsiTheme="minorEastAsia"/>
          <w:sz w:val="32"/>
          <w:szCs w:val="32"/>
          <w:u w:color="000000"/>
        </w:rPr>
      </w:pPr>
      <w:bookmarkStart w:id="77" w:name="_Toc465149521"/>
    </w:p>
    <w:p>
      <w:pPr>
        <w:spacing w:after="0" w:line="560" w:lineRule="exact"/>
        <w:ind w:left="1440" w:hanging="1440" w:hangingChars="450"/>
        <w:jc w:val="both"/>
        <w:textAlignment w:val="baseline"/>
        <w:rPr>
          <w:rFonts w:ascii="仿宋_GB2312" w:eastAsia="仿宋_GB2312" w:cs="Times New Roman" w:hAnsiTheme="minorEastAsia"/>
          <w:sz w:val="32"/>
          <w:szCs w:val="32"/>
          <w:u w:color="000000"/>
        </w:rPr>
      </w:pPr>
    </w:p>
    <w:p>
      <w:pPr>
        <w:spacing w:after="0" w:line="560" w:lineRule="exact"/>
        <w:ind w:left="1440" w:hanging="1440" w:hangingChars="450"/>
        <w:jc w:val="both"/>
        <w:textAlignment w:val="baseline"/>
        <w:rPr>
          <w:rFonts w:ascii="仿宋_GB2312" w:eastAsia="仿宋_GB2312" w:cs="Times New Roman" w:hAnsiTheme="minorEastAsia"/>
          <w:sz w:val="32"/>
          <w:szCs w:val="32"/>
          <w:u w:color="000000"/>
        </w:rPr>
      </w:pPr>
    </w:p>
    <w:p>
      <w:pPr>
        <w:spacing w:after="0" w:line="560" w:lineRule="exact"/>
        <w:ind w:left="1440" w:hanging="1440" w:hangingChars="450"/>
        <w:jc w:val="both"/>
        <w:textAlignment w:val="baseline"/>
        <w:rPr>
          <w:rFonts w:ascii="仿宋_GB2312" w:eastAsia="仿宋_GB2312" w:cs="Times New Roman" w:hAnsiTheme="minorEastAsia"/>
          <w:sz w:val="32"/>
          <w:szCs w:val="32"/>
          <w:u w:color="000000"/>
        </w:rPr>
      </w:pPr>
    </w:p>
    <w:p>
      <w:pPr>
        <w:spacing w:after="0" w:line="560" w:lineRule="exact"/>
        <w:ind w:left="1440" w:hanging="1440" w:hangingChars="45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附件：1.中国共产主义青年团保定市徐水区委员会基本情况及主要职责</w:t>
      </w:r>
    </w:p>
    <w:p>
      <w:pPr>
        <w:spacing w:after="0" w:line="560" w:lineRule="exact"/>
        <w:ind w:left="1284" w:leftChars="438" w:hanging="320" w:hangingChars="1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2.2019年度中国共产主义青年团保定市徐水区委员会收支预算及决算明细表</w:t>
      </w:r>
    </w:p>
    <w:p>
      <w:pPr>
        <w:spacing w:after="0" w:line="56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34"/>
      <w:r>
        <w:rPr>
          <w:rFonts w:hint="eastAsia" w:ascii="仿宋_GB2312" w:eastAsia="仿宋_GB2312" w:cs="Times New Roman" w:hAnsiTheme="minorEastAsia"/>
          <w:sz w:val="32"/>
          <w:szCs w:val="32"/>
          <w:u w:color="000000"/>
        </w:rPr>
        <w:t>3.</w:t>
      </w:r>
      <w:bookmarkEnd w:id="78"/>
      <w:r>
        <w:rPr>
          <w:rFonts w:hint="eastAsia" w:ascii="仿宋_GB2312" w:eastAsia="仿宋_GB2312" w:cs="Times New Roman" w:hAnsiTheme="minorEastAsia"/>
          <w:sz w:val="32"/>
          <w:szCs w:val="32"/>
          <w:u w:color="000000"/>
        </w:rPr>
        <w:t>部门整体支出绩效评价指标体系</w:t>
      </w:r>
    </w:p>
    <w:p>
      <w:pPr>
        <w:spacing w:after="0" w:line="560" w:lineRule="exact"/>
        <w:ind w:left="1284" w:leftChars="438" w:hanging="320" w:hangingChars="100"/>
        <w:jc w:val="both"/>
        <w:textAlignment w:val="baseline"/>
        <w:rPr>
          <w:rFonts w:ascii="仿宋_GB2312" w:eastAsia="仿宋_GB2312" w:cs="Times New Roman" w:hAnsiTheme="minorEastAsia"/>
          <w:sz w:val="32"/>
          <w:szCs w:val="32"/>
          <w:u w:color="000000"/>
        </w:rPr>
      </w:pPr>
      <w:bookmarkStart w:id="79" w:name="_Toc465149544"/>
      <w:r>
        <w:rPr>
          <w:rFonts w:hint="eastAsia" w:ascii="仿宋_GB2312" w:eastAsia="仿宋_GB2312" w:cs="Times New Roman" w:hAnsiTheme="minorEastAsia"/>
          <w:sz w:val="32"/>
          <w:szCs w:val="32"/>
          <w:u w:color="000000"/>
        </w:rPr>
        <w:t>4.</w:t>
      </w:r>
      <w:bookmarkEnd w:id="79"/>
      <w:r>
        <w:rPr>
          <w:rFonts w:hint="eastAsia" w:ascii="仿宋_GB2312" w:eastAsia="仿宋_GB2312" w:cs="Times New Roman" w:hAnsiTheme="minorEastAsia"/>
          <w:sz w:val="32"/>
          <w:szCs w:val="32"/>
          <w:u w:color="000000"/>
        </w:rPr>
        <w:t>2019年中国共产主义青年团保定市徐水区委员会工作活动绩效目标、绩效指标一览表</w:t>
      </w:r>
      <w:bookmarkEnd w:id="77"/>
    </w:p>
    <w:p>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19</w:t>
    </w:r>
    <w:r>
      <w:rPr>
        <w:lang w:val="zh-CN"/>
      </w:rPr>
      <w:fldChar w:fldCharType="end"/>
    </w:r>
  </w:p>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01341"/>
    <w:rsid w:val="000013BD"/>
    <w:rsid w:val="0000364C"/>
    <w:rsid w:val="00003FA2"/>
    <w:rsid w:val="00004179"/>
    <w:rsid w:val="0000439F"/>
    <w:rsid w:val="00006E4F"/>
    <w:rsid w:val="00007CA0"/>
    <w:rsid w:val="00015C39"/>
    <w:rsid w:val="000174D3"/>
    <w:rsid w:val="0002415F"/>
    <w:rsid w:val="00025620"/>
    <w:rsid w:val="0002705B"/>
    <w:rsid w:val="000317D7"/>
    <w:rsid w:val="00032B03"/>
    <w:rsid w:val="000334C2"/>
    <w:rsid w:val="0003450B"/>
    <w:rsid w:val="0003465E"/>
    <w:rsid w:val="00034910"/>
    <w:rsid w:val="0003506D"/>
    <w:rsid w:val="000409C0"/>
    <w:rsid w:val="00040B1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3F31"/>
    <w:rsid w:val="000752C6"/>
    <w:rsid w:val="00075B78"/>
    <w:rsid w:val="00077648"/>
    <w:rsid w:val="00080E48"/>
    <w:rsid w:val="00091473"/>
    <w:rsid w:val="00091D50"/>
    <w:rsid w:val="000935D5"/>
    <w:rsid w:val="00095202"/>
    <w:rsid w:val="00095EF7"/>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59B"/>
    <w:rsid w:val="000F364D"/>
    <w:rsid w:val="000F4432"/>
    <w:rsid w:val="000F465E"/>
    <w:rsid w:val="000F5E8C"/>
    <w:rsid w:val="001000B2"/>
    <w:rsid w:val="00102693"/>
    <w:rsid w:val="00104C6C"/>
    <w:rsid w:val="00105160"/>
    <w:rsid w:val="0010560E"/>
    <w:rsid w:val="0010612A"/>
    <w:rsid w:val="001061BF"/>
    <w:rsid w:val="00106FF7"/>
    <w:rsid w:val="00107111"/>
    <w:rsid w:val="0010735F"/>
    <w:rsid w:val="001073D6"/>
    <w:rsid w:val="00107819"/>
    <w:rsid w:val="0011574B"/>
    <w:rsid w:val="00116132"/>
    <w:rsid w:val="00117B9C"/>
    <w:rsid w:val="00117E7D"/>
    <w:rsid w:val="00120EA6"/>
    <w:rsid w:val="00122196"/>
    <w:rsid w:val="0012439D"/>
    <w:rsid w:val="0012587C"/>
    <w:rsid w:val="00131643"/>
    <w:rsid w:val="001321C5"/>
    <w:rsid w:val="00135903"/>
    <w:rsid w:val="0013591D"/>
    <w:rsid w:val="00141DE8"/>
    <w:rsid w:val="00144105"/>
    <w:rsid w:val="00145B4E"/>
    <w:rsid w:val="0015045A"/>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97E9B"/>
    <w:rsid w:val="001A0F7A"/>
    <w:rsid w:val="001A1677"/>
    <w:rsid w:val="001A5FD3"/>
    <w:rsid w:val="001B0380"/>
    <w:rsid w:val="001B04A4"/>
    <w:rsid w:val="001B30D5"/>
    <w:rsid w:val="001B382A"/>
    <w:rsid w:val="001B5C88"/>
    <w:rsid w:val="001B6CE6"/>
    <w:rsid w:val="001C046D"/>
    <w:rsid w:val="001C1412"/>
    <w:rsid w:val="001C2B78"/>
    <w:rsid w:val="001C391F"/>
    <w:rsid w:val="001C39F1"/>
    <w:rsid w:val="001C5085"/>
    <w:rsid w:val="001C5135"/>
    <w:rsid w:val="001C796E"/>
    <w:rsid w:val="001D1367"/>
    <w:rsid w:val="001D34FF"/>
    <w:rsid w:val="001D5041"/>
    <w:rsid w:val="001D5A78"/>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3AEC"/>
    <w:rsid w:val="00205F02"/>
    <w:rsid w:val="0021307B"/>
    <w:rsid w:val="002142B8"/>
    <w:rsid w:val="002161F4"/>
    <w:rsid w:val="00216E75"/>
    <w:rsid w:val="00221907"/>
    <w:rsid w:val="00222FA8"/>
    <w:rsid w:val="0022532A"/>
    <w:rsid w:val="00227AFB"/>
    <w:rsid w:val="00231968"/>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75EFF"/>
    <w:rsid w:val="0028068C"/>
    <w:rsid w:val="00280A1F"/>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E70D2"/>
    <w:rsid w:val="002F005B"/>
    <w:rsid w:val="002F0C41"/>
    <w:rsid w:val="002F2837"/>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386D"/>
    <w:rsid w:val="00355403"/>
    <w:rsid w:val="003569A8"/>
    <w:rsid w:val="00361FFF"/>
    <w:rsid w:val="00362340"/>
    <w:rsid w:val="003653A5"/>
    <w:rsid w:val="00366971"/>
    <w:rsid w:val="00367DF7"/>
    <w:rsid w:val="00370AFA"/>
    <w:rsid w:val="0037120F"/>
    <w:rsid w:val="0037242E"/>
    <w:rsid w:val="003743E9"/>
    <w:rsid w:val="003744C8"/>
    <w:rsid w:val="003775A2"/>
    <w:rsid w:val="0038005F"/>
    <w:rsid w:val="003803CC"/>
    <w:rsid w:val="00382949"/>
    <w:rsid w:val="00391AE3"/>
    <w:rsid w:val="00394C9E"/>
    <w:rsid w:val="00396D4C"/>
    <w:rsid w:val="003A02BE"/>
    <w:rsid w:val="003A1765"/>
    <w:rsid w:val="003A3611"/>
    <w:rsid w:val="003A3C32"/>
    <w:rsid w:val="003A4D02"/>
    <w:rsid w:val="003A4D52"/>
    <w:rsid w:val="003A536E"/>
    <w:rsid w:val="003B0405"/>
    <w:rsid w:val="003B6DEC"/>
    <w:rsid w:val="003B79D3"/>
    <w:rsid w:val="003C018B"/>
    <w:rsid w:val="003C2B92"/>
    <w:rsid w:val="003C6B35"/>
    <w:rsid w:val="003D126B"/>
    <w:rsid w:val="003D1D33"/>
    <w:rsid w:val="003D22C9"/>
    <w:rsid w:val="003D28AC"/>
    <w:rsid w:val="003D37D8"/>
    <w:rsid w:val="003D4AA9"/>
    <w:rsid w:val="003D7B2A"/>
    <w:rsid w:val="003E266C"/>
    <w:rsid w:val="003E3C05"/>
    <w:rsid w:val="003F282F"/>
    <w:rsid w:val="00400E89"/>
    <w:rsid w:val="00401AB4"/>
    <w:rsid w:val="00401C0E"/>
    <w:rsid w:val="00402CA2"/>
    <w:rsid w:val="00402D95"/>
    <w:rsid w:val="00403ADD"/>
    <w:rsid w:val="00407629"/>
    <w:rsid w:val="004108EE"/>
    <w:rsid w:val="00410BD0"/>
    <w:rsid w:val="00410F1A"/>
    <w:rsid w:val="0041154B"/>
    <w:rsid w:val="00412A31"/>
    <w:rsid w:val="004200B9"/>
    <w:rsid w:val="00425015"/>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8DA"/>
    <w:rsid w:val="004639E0"/>
    <w:rsid w:val="00463A6D"/>
    <w:rsid w:val="00465A21"/>
    <w:rsid w:val="0047047F"/>
    <w:rsid w:val="00472C49"/>
    <w:rsid w:val="00474DE3"/>
    <w:rsid w:val="00477959"/>
    <w:rsid w:val="00485E61"/>
    <w:rsid w:val="00486217"/>
    <w:rsid w:val="00486A56"/>
    <w:rsid w:val="00494D73"/>
    <w:rsid w:val="004A19C4"/>
    <w:rsid w:val="004A5ED8"/>
    <w:rsid w:val="004A6EA4"/>
    <w:rsid w:val="004B146A"/>
    <w:rsid w:val="004B1E69"/>
    <w:rsid w:val="004B4146"/>
    <w:rsid w:val="004B5892"/>
    <w:rsid w:val="004B59DD"/>
    <w:rsid w:val="004B5E88"/>
    <w:rsid w:val="004B5EDE"/>
    <w:rsid w:val="004C0341"/>
    <w:rsid w:val="004C258C"/>
    <w:rsid w:val="004C46D3"/>
    <w:rsid w:val="004C5068"/>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383D"/>
    <w:rsid w:val="004E446B"/>
    <w:rsid w:val="004E5448"/>
    <w:rsid w:val="004E5DFC"/>
    <w:rsid w:val="004E642E"/>
    <w:rsid w:val="004E7ADC"/>
    <w:rsid w:val="004F37CE"/>
    <w:rsid w:val="004F4875"/>
    <w:rsid w:val="004F6796"/>
    <w:rsid w:val="005031BA"/>
    <w:rsid w:val="005042A2"/>
    <w:rsid w:val="00507211"/>
    <w:rsid w:val="00507934"/>
    <w:rsid w:val="0051171B"/>
    <w:rsid w:val="00512D1D"/>
    <w:rsid w:val="005131A5"/>
    <w:rsid w:val="00515160"/>
    <w:rsid w:val="00516D5A"/>
    <w:rsid w:val="005170FB"/>
    <w:rsid w:val="00520C16"/>
    <w:rsid w:val="0052300D"/>
    <w:rsid w:val="00523B77"/>
    <w:rsid w:val="0052474C"/>
    <w:rsid w:val="00525074"/>
    <w:rsid w:val="00525520"/>
    <w:rsid w:val="00525A5B"/>
    <w:rsid w:val="00531322"/>
    <w:rsid w:val="005319EE"/>
    <w:rsid w:val="00531BE2"/>
    <w:rsid w:val="005371CE"/>
    <w:rsid w:val="005421AC"/>
    <w:rsid w:val="00544C1A"/>
    <w:rsid w:val="00546D1B"/>
    <w:rsid w:val="0055027D"/>
    <w:rsid w:val="00554FA1"/>
    <w:rsid w:val="00556934"/>
    <w:rsid w:val="005607DF"/>
    <w:rsid w:val="00564377"/>
    <w:rsid w:val="00564538"/>
    <w:rsid w:val="00564C97"/>
    <w:rsid w:val="00566A89"/>
    <w:rsid w:val="00567E07"/>
    <w:rsid w:val="005771F7"/>
    <w:rsid w:val="00577B7B"/>
    <w:rsid w:val="00583F7F"/>
    <w:rsid w:val="0058600B"/>
    <w:rsid w:val="0058662E"/>
    <w:rsid w:val="00587913"/>
    <w:rsid w:val="00593428"/>
    <w:rsid w:val="00593B65"/>
    <w:rsid w:val="0059427D"/>
    <w:rsid w:val="005A15D6"/>
    <w:rsid w:val="005A1C68"/>
    <w:rsid w:val="005A1FD8"/>
    <w:rsid w:val="005A317D"/>
    <w:rsid w:val="005A79F9"/>
    <w:rsid w:val="005C3594"/>
    <w:rsid w:val="005C46B7"/>
    <w:rsid w:val="005C4769"/>
    <w:rsid w:val="005C7C8B"/>
    <w:rsid w:val="005D5617"/>
    <w:rsid w:val="005D6591"/>
    <w:rsid w:val="005D6869"/>
    <w:rsid w:val="005D7446"/>
    <w:rsid w:val="005E1054"/>
    <w:rsid w:val="005E5F88"/>
    <w:rsid w:val="005F06F5"/>
    <w:rsid w:val="005F46C0"/>
    <w:rsid w:val="005F471D"/>
    <w:rsid w:val="005F720A"/>
    <w:rsid w:val="005F7467"/>
    <w:rsid w:val="005F78E7"/>
    <w:rsid w:val="006007F3"/>
    <w:rsid w:val="006016BB"/>
    <w:rsid w:val="00602942"/>
    <w:rsid w:val="0060402C"/>
    <w:rsid w:val="0061101C"/>
    <w:rsid w:val="0061252A"/>
    <w:rsid w:val="006135B3"/>
    <w:rsid w:val="006138D4"/>
    <w:rsid w:val="00616C03"/>
    <w:rsid w:val="00616F30"/>
    <w:rsid w:val="006215A2"/>
    <w:rsid w:val="00621F7D"/>
    <w:rsid w:val="00622AD1"/>
    <w:rsid w:val="00623267"/>
    <w:rsid w:val="00625428"/>
    <w:rsid w:val="0062670B"/>
    <w:rsid w:val="00630B86"/>
    <w:rsid w:val="00630F5B"/>
    <w:rsid w:val="00634028"/>
    <w:rsid w:val="00634C66"/>
    <w:rsid w:val="006352D1"/>
    <w:rsid w:val="00636E1A"/>
    <w:rsid w:val="00642BA5"/>
    <w:rsid w:val="006434E0"/>
    <w:rsid w:val="00646F91"/>
    <w:rsid w:val="00650C90"/>
    <w:rsid w:val="0065172D"/>
    <w:rsid w:val="0065287D"/>
    <w:rsid w:val="0065671B"/>
    <w:rsid w:val="00656A5A"/>
    <w:rsid w:val="00663A42"/>
    <w:rsid w:val="0066418E"/>
    <w:rsid w:val="0066469F"/>
    <w:rsid w:val="00674401"/>
    <w:rsid w:val="0067581C"/>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14ED"/>
    <w:rsid w:val="006C18E5"/>
    <w:rsid w:val="006C39AC"/>
    <w:rsid w:val="006C5198"/>
    <w:rsid w:val="006C6A07"/>
    <w:rsid w:val="006D4D03"/>
    <w:rsid w:val="006E0A3D"/>
    <w:rsid w:val="006E27F1"/>
    <w:rsid w:val="006E384F"/>
    <w:rsid w:val="006E5BC8"/>
    <w:rsid w:val="006E7CBA"/>
    <w:rsid w:val="006F222F"/>
    <w:rsid w:val="006F7B69"/>
    <w:rsid w:val="0070241F"/>
    <w:rsid w:val="007024A9"/>
    <w:rsid w:val="00703C96"/>
    <w:rsid w:val="007130D7"/>
    <w:rsid w:val="00713E98"/>
    <w:rsid w:val="00715591"/>
    <w:rsid w:val="00715AE8"/>
    <w:rsid w:val="0072516F"/>
    <w:rsid w:val="0073034D"/>
    <w:rsid w:val="00731ADC"/>
    <w:rsid w:val="0073281D"/>
    <w:rsid w:val="007330F2"/>
    <w:rsid w:val="00733DB0"/>
    <w:rsid w:val="00735043"/>
    <w:rsid w:val="00740444"/>
    <w:rsid w:val="00744577"/>
    <w:rsid w:val="007452CF"/>
    <w:rsid w:val="00746055"/>
    <w:rsid w:val="00746DA9"/>
    <w:rsid w:val="00747086"/>
    <w:rsid w:val="00747ECE"/>
    <w:rsid w:val="007515E2"/>
    <w:rsid w:val="00756D66"/>
    <w:rsid w:val="00761D80"/>
    <w:rsid w:val="0076364A"/>
    <w:rsid w:val="00766FC5"/>
    <w:rsid w:val="00770E5B"/>
    <w:rsid w:val="00772930"/>
    <w:rsid w:val="00776E20"/>
    <w:rsid w:val="007808F6"/>
    <w:rsid w:val="0078132E"/>
    <w:rsid w:val="007814AF"/>
    <w:rsid w:val="007825F0"/>
    <w:rsid w:val="0078362A"/>
    <w:rsid w:val="00787F88"/>
    <w:rsid w:val="0079721A"/>
    <w:rsid w:val="007A095C"/>
    <w:rsid w:val="007A0AF8"/>
    <w:rsid w:val="007A283A"/>
    <w:rsid w:val="007A65C8"/>
    <w:rsid w:val="007A6B16"/>
    <w:rsid w:val="007A7AC4"/>
    <w:rsid w:val="007B1D0F"/>
    <w:rsid w:val="007B3C41"/>
    <w:rsid w:val="007B4E8B"/>
    <w:rsid w:val="007B639C"/>
    <w:rsid w:val="007B7036"/>
    <w:rsid w:val="007C0870"/>
    <w:rsid w:val="007C2D10"/>
    <w:rsid w:val="007C457D"/>
    <w:rsid w:val="007D02A9"/>
    <w:rsid w:val="007D166D"/>
    <w:rsid w:val="007D17C7"/>
    <w:rsid w:val="007D2766"/>
    <w:rsid w:val="007D2FF7"/>
    <w:rsid w:val="007D31D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6F21"/>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67D22"/>
    <w:rsid w:val="00871B0D"/>
    <w:rsid w:val="00871B14"/>
    <w:rsid w:val="008735A1"/>
    <w:rsid w:val="00875962"/>
    <w:rsid w:val="00880325"/>
    <w:rsid w:val="00882ABD"/>
    <w:rsid w:val="008844A4"/>
    <w:rsid w:val="008857CC"/>
    <w:rsid w:val="0089095F"/>
    <w:rsid w:val="0089314F"/>
    <w:rsid w:val="0089328E"/>
    <w:rsid w:val="0089513A"/>
    <w:rsid w:val="00896069"/>
    <w:rsid w:val="00896786"/>
    <w:rsid w:val="008976AB"/>
    <w:rsid w:val="008A2C15"/>
    <w:rsid w:val="008A3980"/>
    <w:rsid w:val="008A3DBA"/>
    <w:rsid w:val="008A483E"/>
    <w:rsid w:val="008A5601"/>
    <w:rsid w:val="008A77BF"/>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E6862"/>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1EEE"/>
    <w:rsid w:val="00962D93"/>
    <w:rsid w:val="009636EF"/>
    <w:rsid w:val="00963AEB"/>
    <w:rsid w:val="0096408D"/>
    <w:rsid w:val="009651A8"/>
    <w:rsid w:val="009657E9"/>
    <w:rsid w:val="0096666B"/>
    <w:rsid w:val="009719C3"/>
    <w:rsid w:val="0097578E"/>
    <w:rsid w:val="00976E55"/>
    <w:rsid w:val="009814B0"/>
    <w:rsid w:val="00984D41"/>
    <w:rsid w:val="009852BB"/>
    <w:rsid w:val="009853C4"/>
    <w:rsid w:val="0098547C"/>
    <w:rsid w:val="009860B4"/>
    <w:rsid w:val="00986724"/>
    <w:rsid w:val="0098718E"/>
    <w:rsid w:val="009900D5"/>
    <w:rsid w:val="00994269"/>
    <w:rsid w:val="0099439A"/>
    <w:rsid w:val="00994737"/>
    <w:rsid w:val="009A0F00"/>
    <w:rsid w:val="009A0FA6"/>
    <w:rsid w:val="009A37AE"/>
    <w:rsid w:val="009A4059"/>
    <w:rsid w:val="009A445F"/>
    <w:rsid w:val="009A47EF"/>
    <w:rsid w:val="009B0B81"/>
    <w:rsid w:val="009B1979"/>
    <w:rsid w:val="009B1E1B"/>
    <w:rsid w:val="009B2CC0"/>
    <w:rsid w:val="009B4C38"/>
    <w:rsid w:val="009C0DAB"/>
    <w:rsid w:val="009C1E20"/>
    <w:rsid w:val="009D0378"/>
    <w:rsid w:val="009D0F18"/>
    <w:rsid w:val="009D1EFB"/>
    <w:rsid w:val="009D5964"/>
    <w:rsid w:val="009D6A0C"/>
    <w:rsid w:val="009D7615"/>
    <w:rsid w:val="009E0725"/>
    <w:rsid w:val="009E1492"/>
    <w:rsid w:val="009E4B3F"/>
    <w:rsid w:val="009E5877"/>
    <w:rsid w:val="009F69B0"/>
    <w:rsid w:val="00A0310D"/>
    <w:rsid w:val="00A062AD"/>
    <w:rsid w:val="00A073F4"/>
    <w:rsid w:val="00A07BBE"/>
    <w:rsid w:val="00A12E72"/>
    <w:rsid w:val="00A16439"/>
    <w:rsid w:val="00A16D38"/>
    <w:rsid w:val="00A21057"/>
    <w:rsid w:val="00A217CE"/>
    <w:rsid w:val="00A21E86"/>
    <w:rsid w:val="00A22DFB"/>
    <w:rsid w:val="00A305E3"/>
    <w:rsid w:val="00A353F1"/>
    <w:rsid w:val="00A357B0"/>
    <w:rsid w:val="00A35B22"/>
    <w:rsid w:val="00A37758"/>
    <w:rsid w:val="00A42B99"/>
    <w:rsid w:val="00A43A58"/>
    <w:rsid w:val="00A478DD"/>
    <w:rsid w:val="00A479B6"/>
    <w:rsid w:val="00A50D3C"/>
    <w:rsid w:val="00A531D0"/>
    <w:rsid w:val="00A532E3"/>
    <w:rsid w:val="00A54D9C"/>
    <w:rsid w:val="00A57200"/>
    <w:rsid w:val="00A57865"/>
    <w:rsid w:val="00A60D29"/>
    <w:rsid w:val="00A62B31"/>
    <w:rsid w:val="00A64850"/>
    <w:rsid w:val="00A65003"/>
    <w:rsid w:val="00A65202"/>
    <w:rsid w:val="00A73299"/>
    <w:rsid w:val="00A7396D"/>
    <w:rsid w:val="00A7536B"/>
    <w:rsid w:val="00A80356"/>
    <w:rsid w:val="00A816B6"/>
    <w:rsid w:val="00A82D81"/>
    <w:rsid w:val="00A922B1"/>
    <w:rsid w:val="00A93877"/>
    <w:rsid w:val="00A96E79"/>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04742"/>
    <w:rsid w:val="00B130D5"/>
    <w:rsid w:val="00B13566"/>
    <w:rsid w:val="00B13A54"/>
    <w:rsid w:val="00B14220"/>
    <w:rsid w:val="00B16868"/>
    <w:rsid w:val="00B17251"/>
    <w:rsid w:val="00B2159A"/>
    <w:rsid w:val="00B21D32"/>
    <w:rsid w:val="00B239D3"/>
    <w:rsid w:val="00B2439D"/>
    <w:rsid w:val="00B313B2"/>
    <w:rsid w:val="00B34A43"/>
    <w:rsid w:val="00B36912"/>
    <w:rsid w:val="00B404A0"/>
    <w:rsid w:val="00B4256A"/>
    <w:rsid w:val="00B432AB"/>
    <w:rsid w:val="00B500E0"/>
    <w:rsid w:val="00B54D75"/>
    <w:rsid w:val="00B55838"/>
    <w:rsid w:val="00B60C2A"/>
    <w:rsid w:val="00B65FC0"/>
    <w:rsid w:val="00B662D0"/>
    <w:rsid w:val="00B707DD"/>
    <w:rsid w:val="00B719F4"/>
    <w:rsid w:val="00B73609"/>
    <w:rsid w:val="00B73995"/>
    <w:rsid w:val="00B74DBC"/>
    <w:rsid w:val="00B75E08"/>
    <w:rsid w:val="00B76684"/>
    <w:rsid w:val="00B7698F"/>
    <w:rsid w:val="00B85F5F"/>
    <w:rsid w:val="00B86395"/>
    <w:rsid w:val="00B86E2B"/>
    <w:rsid w:val="00B90F5C"/>
    <w:rsid w:val="00B919CF"/>
    <w:rsid w:val="00B91DEC"/>
    <w:rsid w:val="00B92A56"/>
    <w:rsid w:val="00B931F8"/>
    <w:rsid w:val="00B9374A"/>
    <w:rsid w:val="00B95DB0"/>
    <w:rsid w:val="00B9722F"/>
    <w:rsid w:val="00B97741"/>
    <w:rsid w:val="00B97A8F"/>
    <w:rsid w:val="00BA0373"/>
    <w:rsid w:val="00BA0721"/>
    <w:rsid w:val="00BA1883"/>
    <w:rsid w:val="00BA227D"/>
    <w:rsid w:val="00BA4C84"/>
    <w:rsid w:val="00BB395F"/>
    <w:rsid w:val="00BB5DC6"/>
    <w:rsid w:val="00BC09FC"/>
    <w:rsid w:val="00BC0DD5"/>
    <w:rsid w:val="00BC21E9"/>
    <w:rsid w:val="00BC60E6"/>
    <w:rsid w:val="00BC7162"/>
    <w:rsid w:val="00BC72A6"/>
    <w:rsid w:val="00BD2AD4"/>
    <w:rsid w:val="00BE4FB9"/>
    <w:rsid w:val="00BE66AA"/>
    <w:rsid w:val="00BE6DB2"/>
    <w:rsid w:val="00BE73B9"/>
    <w:rsid w:val="00BF444F"/>
    <w:rsid w:val="00BF77F5"/>
    <w:rsid w:val="00C01D8A"/>
    <w:rsid w:val="00C023EF"/>
    <w:rsid w:val="00C15415"/>
    <w:rsid w:val="00C16A53"/>
    <w:rsid w:val="00C16FE4"/>
    <w:rsid w:val="00C172EB"/>
    <w:rsid w:val="00C22F98"/>
    <w:rsid w:val="00C2363B"/>
    <w:rsid w:val="00C26560"/>
    <w:rsid w:val="00C27D26"/>
    <w:rsid w:val="00C3062F"/>
    <w:rsid w:val="00C32E7A"/>
    <w:rsid w:val="00C404D9"/>
    <w:rsid w:val="00C408D9"/>
    <w:rsid w:val="00C42DB9"/>
    <w:rsid w:val="00C447FD"/>
    <w:rsid w:val="00C44B90"/>
    <w:rsid w:val="00C50CF6"/>
    <w:rsid w:val="00C51434"/>
    <w:rsid w:val="00C51743"/>
    <w:rsid w:val="00C51A61"/>
    <w:rsid w:val="00C57393"/>
    <w:rsid w:val="00C64C71"/>
    <w:rsid w:val="00C6528B"/>
    <w:rsid w:val="00C65820"/>
    <w:rsid w:val="00C661B3"/>
    <w:rsid w:val="00C70300"/>
    <w:rsid w:val="00C7037D"/>
    <w:rsid w:val="00C70637"/>
    <w:rsid w:val="00C71DC8"/>
    <w:rsid w:val="00C73E69"/>
    <w:rsid w:val="00C74592"/>
    <w:rsid w:val="00C767BA"/>
    <w:rsid w:val="00C8048C"/>
    <w:rsid w:val="00C80C68"/>
    <w:rsid w:val="00C86E9A"/>
    <w:rsid w:val="00C9006B"/>
    <w:rsid w:val="00C93A3D"/>
    <w:rsid w:val="00C94F0A"/>
    <w:rsid w:val="00CA3203"/>
    <w:rsid w:val="00CA6048"/>
    <w:rsid w:val="00CA6058"/>
    <w:rsid w:val="00CA6AB0"/>
    <w:rsid w:val="00CA6BD1"/>
    <w:rsid w:val="00CB05A3"/>
    <w:rsid w:val="00CB1434"/>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E4A9F"/>
    <w:rsid w:val="00CE56FD"/>
    <w:rsid w:val="00CF0B65"/>
    <w:rsid w:val="00CF148C"/>
    <w:rsid w:val="00CF3D94"/>
    <w:rsid w:val="00CF48A3"/>
    <w:rsid w:val="00CF5081"/>
    <w:rsid w:val="00D058E4"/>
    <w:rsid w:val="00D060FE"/>
    <w:rsid w:val="00D06884"/>
    <w:rsid w:val="00D07178"/>
    <w:rsid w:val="00D0751B"/>
    <w:rsid w:val="00D11C0B"/>
    <w:rsid w:val="00D11EE9"/>
    <w:rsid w:val="00D13F47"/>
    <w:rsid w:val="00D14E66"/>
    <w:rsid w:val="00D17631"/>
    <w:rsid w:val="00D17CD3"/>
    <w:rsid w:val="00D21B22"/>
    <w:rsid w:val="00D24AEB"/>
    <w:rsid w:val="00D24AFD"/>
    <w:rsid w:val="00D27902"/>
    <w:rsid w:val="00D27984"/>
    <w:rsid w:val="00D27FE9"/>
    <w:rsid w:val="00D31D50"/>
    <w:rsid w:val="00D323E9"/>
    <w:rsid w:val="00D34F5B"/>
    <w:rsid w:val="00D35023"/>
    <w:rsid w:val="00D403B8"/>
    <w:rsid w:val="00D4216E"/>
    <w:rsid w:val="00D45C1B"/>
    <w:rsid w:val="00D45E14"/>
    <w:rsid w:val="00D478FD"/>
    <w:rsid w:val="00D50555"/>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06C"/>
    <w:rsid w:val="00DE53FE"/>
    <w:rsid w:val="00DE5FC0"/>
    <w:rsid w:val="00DE6ED8"/>
    <w:rsid w:val="00E00A5F"/>
    <w:rsid w:val="00E01F1F"/>
    <w:rsid w:val="00E05D64"/>
    <w:rsid w:val="00E07ABB"/>
    <w:rsid w:val="00E07D8F"/>
    <w:rsid w:val="00E12F07"/>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3EC0"/>
    <w:rsid w:val="00E65332"/>
    <w:rsid w:val="00E65F77"/>
    <w:rsid w:val="00E670CD"/>
    <w:rsid w:val="00E67EA9"/>
    <w:rsid w:val="00E7727F"/>
    <w:rsid w:val="00E83519"/>
    <w:rsid w:val="00E91889"/>
    <w:rsid w:val="00E91F0F"/>
    <w:rsid w:val="00E944E2"/>
    <w:rsid w:val="00E95C54"/>
    <w:rsid w:val="00E96103"/>
    <w:rsid w:val="00EA027D"/>
    <w:rsid w:val="00EA4E29"/>
    <w:rsid w:val="00EB22CF"/>
    <w:rsid w:val="00EB3414"/>
    <w:rsid w:val="00EB39DD"/>
    <w:rsid w:val="00EB40E4"/>
    <w:rsid w:val="00EB46B5"/>
    <w:rsid w:val="00EB67BA"/>
    <w:rsid w:val="00EC16F8"/>
    <w:rsid w:val="00EC306F"/>
    <w:rsid w:val="00EC408E"/>
    <w:rsid w:val="00EC41F2"/>
    <w:rsid w:val="00EC4EB3"/>
    <w:rsid w:val="00EC5617"/>
    <w:rsid w:val="00EC7C9E"/>
    <w:rsid w:val="00ED230D"/>
    <w:rsid w:val="00ED2440"/>
    <w:rsid w:val="00EE1C0B"/>
    <w:rsid w:val="00EE59D0"/>
    <w:rsid w:val="00EE7686"/>
    <w:rsid w:val="00EE7FF3"/>
    <w:rsid w:val="00EF1793"/>
    <w:rsid w:val="00EF26BF"/>
    <w:rsid w:val="00EF2856"/>
    <w:rsid w:val="00EF4861"/>
    <w:rsid w:val="00EF50C7"/>
    <w:rsid w:val="00EF5E19"/>
    <w:rsid w:val="00EF5EC7"/>
    <w:rsid w:val="00EF779D"/>
    <w:rsid w:val="00EF7E82"/>
    <w:rsid w:val="00F01970"/>
    <w:rsid w:val="00F01B91"/>
    <w:rsid w:val="00F04AE0"/>
    <w:rsid w:val="00F05693"/>
    <w:rsid w:val="00F06001"/>
    <w:rsid w:val="00F06AF6"/>
    <w:rsid w:val="00F079A5"/>
    <w:rsid w:val="00F07F69"/>
    <w:rsid w:val="00F107F9"/>
    <w:rsid w:val="00F111E0"/>
    <w:rsid w:val="00F117D4"/>
    <w:rsid w:val="00F1616E"/>
    <w:rsid w:val="00F16475"/>
    <w:rsid w:val="00F21B03"/>
    <w:rsid w:val="00F22D55"/>
    <w:rsid w:val="00F24A9A"/>
    <w:rsid w:val="00F2592D"/>
    <w:rsid w:val="00F25C5F"/>
    <w:rsid w:val="00F3182D"/>
    <w:rsid w:val="00F34EF2"/>
    <w:rsid w:val="00F3580F"/>
    <w:rsid w:val="00F406BB"/>
    <w:rsid w:val="00F44AD0"/>
    <w:rsid w:val="00F50379"/>
    <w:rsid w:val="00F55102"/>
    <w:rsid w:val="00F56C18"/>
    <w:rsid w:val="00F57115"/>
    <w:rsid w:val="00F6298B"/>
    <w:rsid w:val="00F63B02"/>
    <w:rsid w:val="00F65350"/>
    <w:rsid w:val="00F65C21"/>
    <w:rsid w:val="00F700A6"/>
    <w:rsid w:val="00F72429"/>
    <w:rsid w:val="00F74FC5"/>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D77D6"/>
    <w:rsid w:val="00FE35E7"/>
    <w:rsid w:val="00FE44CF"/>
    <w:rsid w:val="00FF1239"/>
    <w:rsid w:val="00FF1AC1"/>
    <w:rsid w:val="00FF5DE3"/>
    <w:rsid w:val="00FF60F7"/>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E866AF"/>
    <w:rsid w:val="130C55D8"/>
    <w:rsid w:val="13244A23"/>
    <w:rsid w:val="13EE6B6B"/>
    <w:rsid w:val="1472386E"/>
    <w:rsid w:val="148F0FC6"/>
    <w:rsid w:val="151600A7"/>
    <w:rsid w:val="159F345A"/>
    <w:rsid w:val="15E43EF8"/>
    <w:rsid w:val="16A81136"/>
    <w:rsid w:val="16AC4207"/>
    <w:rsid w:val="178A56FB"/>
    <w:rsid w:val="17A8647B"/>
    <w:rsid w:val="180F4C35"/>
    <w:rsid w:val="18253B4C"/>
    <w:rsid w:val="190F1674"/>
    <w:rsid w:val="19132D2F"/>
    <w:rsid w:val="19210747"/>
    <w:rsid w:val="196E38F9"/>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8617A4"/>
    <w:rsid w:val="54B52F23"/>
    <w:rsid w:val="559025B5"/>
    <w:rsid w:val="55BE6F3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9A71B9"/>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字符"/>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字符"/>
    <w:basedOn w:val="24"/>
    <w:link w:val="3"/>
    <w:qFormat/>
    <w:uiPriority w:val="99"/>
    <w:rPr>
      <w:rFonts w:ascii="Arial" w:hAnsi="Arial" w:eastAsia="黑体" w:cs="Times New Roman"/>
      <w:b/>
      <w:bCs/>
      <w:kern w:val="2"/>
      <w:sz w:val="32"/>
      <w:szCs w:val="32"/>
    </w:rPr>
  </w:style>
  <w:style w:type="character" w:customStyle="1" w:styleId="33">
    <w:name w:val="标题 3 字符"/>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字符"/>
    <w:basedOn w:val="24"/>
    <w:link w:val="6"/>
    <w:qFormat/>
    <w:uiPriority w:val="0"/>
    <w:rPr>
      <w:rFonts w:ascii="Times New Roman" w:hAnsi="Times New Roman" w:eastAsia="宋体" w:cs="Times New Roman"/>
      <w:b/>
      <w:bCs/>
      <w:kern w:val="2"/>
      <w:sz w:val="28"/>
      <w:szCs w:val="28"/>
    </w:rPr>
  </w:style>
  <w:style w:type="character" w:customStyle="1" w:styleId="36">
    <w:name w:val="标题 6 字符"/>
    <w:basedOn w:val="24"/>
    <w:link w:val="7"/>
    <w:qFormat/>
    <w:uiPriority w:val="0"/>
    <w:rPr>
      <w:rFonts w:asciiTheme="majorHAnsi" w:hAnsiTheme="majorHAnsi" w:eastAsiaTheme="majorEastAsia" w:cstheme="majorBidi"/>
      <w:b/>
      <w:bCs/>
      <w:kern w:val="2"/>
      <w:sz w:val="24"/>
      <w:szCs w:val="24"/>
    </w:rPr>
  </w:style>
  <w:style w:type="character" w:customStyle="1" w:styleId="37">
    <w:name w:val="页眉 字符"/>
    <w:basedOn w:val="24"/>
    <w:link w:val="15"/>
    <w:qFormat/>
    <w:uiPriority w:val="99"/>
    <w:rPr>
      <w:rFonts w:ascii="Tahoma" w:hAnsi="Tahoma"/>
      <w:sz w:val="18"/>
      <w:szCs w:val="18"/>
    </w:rPr>
  </w:style>
  <w:style w:type="character" w:customStyle="1" w:styleId="38">
    <w:name w:val="页脚 字符"/>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字符"/>
    <w:basedOn w:val="24"/>
    <w:link w:val="9"/>
    <w:qFormat/>
    <w:uiPriority w:val="99"/>
    <w:rPr>
      <w:rFonts w:ascii="Tahoma" w:hAnsi="Tahoma"/>
    </w:rPr>
  </w:style>
  <w:style w:type="character" w:customStyle="1" w:styleId="42">
    <w:name w:val="批注主题 字符"/>
    <w:basedOn w:val="41"/>
    <w:link w:val="22"/>
    <w:qFormat/>
    <w:uiPriority w:val="99"/>
    <w:rPr>
      <w:rFonts w:ascii="Times New Roman" w:hAnsi="Times New Roman" w:eastAsia="宋体" w:cs="Times New Roman"/>
      <w:b/>
      <w:bCs/>
      <w:kern w:val="2"/>
      <w:sz w:val="21"/>
      <w:szCs w:val="24"/>
    </w:rPr>
  </w:style>
  <w:style w:type="character" w:customStyle="1" w:styleId="43">
    <w:name w:val="文档结构图 字符"/>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字符"/>
    <w:basedOn w:val="24"/>
    <w:link w:val="10"/>
    <w:qFormat/>
    <w:uiPriority w:val="99"/>
    <w:rPr>
      <w:rFonts w:ascii="Times New Roman" w:hAnsi="Times New Roman" w:eastAsia="宋体" w:cs="Times New Roman"/>
      <w:kern w:val="2"/>
      <w:sz w:val="21"/>
      <w:szCs w:val="24"/>
    </w:rPr>
  </w:style>
  <w:style w:type="character" w:customStyle="1" w:styleId="45">
    <w:name w:val="纯文本 字符"/>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字符"/>
    <w:basedOn w:val="24"/>
    <w:link w:val="13"/>
    <w:qFormat/>
    <w:uiPriority w:val="99"/>
    <w:rPr>
      <w:rFonts w:ascii="Times New Roman" w:hAnsi="Times New Roman" w:eastAsia="宋体" w:cs="Times New Roman"/>
      <w:kern w:val="2"/>
      <w:sz w:val="18"/>
      <w:szCs w:val="18"/>
    </w:rPr>
  </w:style>
  <w:style w:type="character" w:customStyle="1" w:styleId="47">
    <w:name w:val="脚注文本 字符"/>
    <w:basedOn w:val="24"/>
    <w:link w:val="17"/>
    <w:qFormat/>
    <w:uiPriority w:val="99"/>
    <w:rPr>
      <w:rFonts w:ascii="Times New Roman" w:hAnsi="Times New Roman" w:eastAsia="宋体" w:cs="Times New Roman"/>
      <w:kern w:val="2"/>
      <w:sz w:val="18"/>
      <w:szCs w:val="18"/>
    </w:rPr>
  </w:style>
  <w:style w:type="character" w:customStyle="1" w:styleId="48">
    <w:name w:val="HTML 预设格式 字符"/>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字符"/>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37BD5D-3536-4E73-9C08-EA48A394D70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2082</Words>
  <Characters>11873</Characters>
  <Lines>98</Lines>
  <Paragraphs>27</Paragraphs>
  <TotalTime>2321</TotalTime>
  <ScaleCrop>false</ScaleCrop>
  <LinksUpToDate>false</LinksUpToDate>
  <CharactersWithSpaces>13928</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天天</cp:lastModifiedBy>
  <cp:lastPrinted>2020-08-10T02:34:00Z</cp:lastPrinted>
  <dcterms:modified xsi:type="dcterms:W3CDTF">2026-01-27T06:42:22Z</dcterms:modified>
  <cp:revision>211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