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简体" w:cs="方正小标宋简体"/>
          <w:b w:val="0"/>
          <w:bCs w:val="0"/>
          <w:i w:val="0"/>
          <w:iCs w:val="0"/>
          <w:caps w:val="0"/>
          <w:color w:val="000000"/>
          <w:spacing w:val="0"/>
          <w:sz w:val="45"/>
          <w:szCs w:val="45"/>
          <w:shd w:val="clear" w:fill="FFFFFF"/>
        </w:rPr>
      </w:pPr>
      <w:r>
        <w:rPr>
          <w:rFonts w:hint="eastAsia" w:ascii="Times New Roman" w:hAnsi="Times New Roman" w:eastAsia="方正小标宋简体" w:cs="方正小标宋简体"/>
          <w:b w:val="0"/>
          <w:bCs w:val="0"/>
          <w:i w:val="0"/>
          <w:iCs w:val="0"/>
          <w:caps w:val="0"/>
          <w:color w:val="000000"/>
          <w:spacing w:val="0"/>
          <w:sz w:val="45"/>
          <w:szCs w:val="45"/>
          <w:shd w:val="clear" w:fill="FFFFFF"/>
        </w:rPr>
        <w:t>保定市徐水区财政局</w:t>
      </w:r>
    </w:p>
    <w:p>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5"/>
          <w:szCs w:val="45"/>
          <w:shd w:val="clear" w:fill="FFFFFF"/>
        </w:rPr>
      </w:pPr>
      <w:r>
        <w:rPr>
          <w:rFonts w:hint="eastAsia" w:ascii="Times New Roman" w:hAnsi="Times New Roman" w:eastAsia="方正小标宋简体" w:cs="方正小标宋简体"/>
          <w:b w:val="0"/>
          <w:bCs w:val="0"/>
          <w:i w:val="0"/>
          <w:iCs w:val="0"/>
          <w:caps w:val="0"/>
          <w:color w:val="000000"/>
          <w:spacing w:val="0"/>
          <w:sz w:val="45"/>
          <w:szCs w:val="45"/>
          <w:shd w:val="clear" w:fill="FFFFFF"/>
          <w:lang w:val="en-US" w:eastAsia="zh-CN"/>
        </w:rPr>
        <w:t>2025</w:t>
      </w:r>
      <w:r>
        <w:rPr>
          <w:rFonts w:hint="eastAsia" w:ascii="Times New Roman" w:hAnsi="Times New Roman" w:eastAsia="方正小标宋简体" w:cs="方正小标宋简体"/>
          <w:b w:val="0"/>
          <w:bCs w:val="0"/>
          <w:i w:val="0"/>
          <w:iCs w:val="0"/>
          <w:caps w:val="0"/>
          <w:color w:val="000000"/>
          <w:spacing w:val="0"/>
          <w:sz w:val="45"/>
          <w:szCs w:val="45"/>
          <w:shd w:val="clear" w:fill="FFFFFF"/>
        </w:rPr>
        <w:t>年度政府信息公开</w:t>
      </w:r>
      <w:r>
        <w:rPr>
          <w:rFonts w:hint="eastAsia" w:ascii="方正小标宋简体" w:hAnsi="方正小标宋简体" w:eastAsia="方正小标宋简体" w:cs="方正小标宋简体"/>
          <w:b w:val="0"/>
          <w:bCs w:val="0"/>
          <w:i w:val="0"/>
          <w:iCs w:val="0"/>
          <w:caps w:val="0"/>
          <w:color w:val="000000"/>
          <w:spacing w:val="0"/>
          <w:sz w:val="45"/>
          <w:szCs w:val="45"/>
          <w:shd w:val="clear" w:fill="FFFFFF"/>
        </w:rPr>
        <w:t>工作</w:t>
      </w:r>
      <w:r>
        <w:rPr>
          <w:rFonts w:hint="eastAsia" w:ascii="方正小标宋简体" w:hAnsi="方正小标宋简体" w:eastAsia="方正小标宋简体" w:cs="方正小标宋简体"/>
          <w:b w:val="0"/>
          <w:bCs w:val="0"/>
          <w:i w:val="0"/>
          <w:iCs w:val="0"/>
          <w:caps w:val="0"/>
          <w:color w:val="000000"/>
          <w:spacing w:val="0"/>
          <w:sz w:val="45"/>
          <w:szCs w:val="45"/>
          <w:shd w:val="clear" w:fill="FFFFFF"/>
          <w:lang w:val="en-US" w:eastAsia="zh-CN"/>
        </w:rPr>
        <w:t>年度</w:t>
      </w:r>
      <w:r>
        <w:rPr>
          <w:rFonts w:hint="eastAsia" w:ascii="方正小标宋简体" w:hAnsi="方正小标宋简体" w:eastAsia="方正小标宋简体" w:cs="方正小标宋简体"/>
          <w:b w:val="0"/>
          <w:bCs w:val="0"/>
          <w:i w:val="0"/>
          <w:iCs w:val="0"/>
          <w:caps w:val="0"/>
          <w:color w:val="000000"/>
          <w:spacing w:val="0"/>
          <w:sz w:val="45"/>
          <w:szCs w:val="45"/>
          <w:shd w:val="clear" w:fill="FFFFFF"/>
        </w:rPr>
        <w:t>报告</w:t>
      </w:r>
    </w:p>
    <w:p>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5"/>
          <w:szCs w:val="45"/>
          <w:shd w:val="clear" w:fill="FFFFFF"/>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3"/>
        <w:jc w:val="left"/>
        <w:textAlignment w:val="auto"/>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202</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5</w:t>
      </w: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年，我局根据《中华人民共和国政府信息公开条例》规定，严格按照省市区政府信息公开工作要求，加强组织领导，完善工作机制，明确工作分工，</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结合</w:t>
      </w: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全区政务公开工作要点</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和</w:t>
      </w: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财政工作实际，研究工作措施，明确公开内容，确保</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了</w:t>
      </w: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政务公开工作积极稳妥开展。</w:t>
      </w:r>
    </w:p>
    <w:p>
      <w:pPr>
        <w:keepNext w:val="0"/>
        <w:keepLines w:val="0"/>
        <w:widowControl/>
        <w:numPr>
          <w:ilvl w:val="0"/>
          <w:numId w:val="0"/>
        </w:numPr>
        <w:suppressLineNumbers w:val="0"/>
        <w:shd w:val="clear" w:fill="FFFFFF"/>
        <w:spacing w:before="0" w:beforeAutospacing="0" w:after="0" w:afterAutospacing="0" w:line="560" w:lineRule="atLeast"/>
        <w:ind w:right="0" w:rightChars="0" w:firstLine="640" w:firstLineChars="200"/>
        <w:jc w:val="left"/>
        <w:rPr>
          <w:rFonts w:hint="default" w:ascii="Times New Roman" w:hAnsi="Times New Roman" w:eastAsia="方正黑体_GBK"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方正黑体_GBK" w:cs="Times New Roman"/>
          <w:i w:val="0"/>
          <w:iCs w:val="0"/>
          <w:caps w:val="0"/>
          <w:color w:val="000000"/>
          <w:spacing w:val="0"/>
          <w:kern w:val="0"/>
          <w:sz w:val="32"/>
          <w:szCs w:val="32"/>
          <w:highlight w:val="none"/>
          <w:shd w:val="clear" w:fill="FFFFFF"/>
          <w:lang w:val="en-US" w:eastAsia="zh-CN" w:bidi="ar"/>
        </w:rPr>
        <w:t>一、总体情况</w:t>
      </w:r>
    </w:p>
    <w:p>
      <w:pPr>
        <w:keepNext w:val="0"/>
        <w:keepLines w:val="0"/>
        <w:widowControl/>
        <w:numPr>
          <w:ilvl w:val="0"/>
          <w:numId w:val="0"/>
        </w:numPr>
        <w:suppressLineNumbers w:val="0"/>
        <w:shd w:val="clear" w:fill="FFFFFF"/>
        <w:spacing w:before="0" w:beforeAutospacing="0" w:after="0" w:afterAutospacing="0" w:line="560" w:lineRule="atLeast"/>
        <w:ind w:right="0" w:rightChars="0" w:firstLine="640" w:firstLineChars="200"/>
        <w:jc w:val="left"/>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202</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5</w:t>
      </w: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年以来，</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保定市徐水区财政局</w:t>
      </w: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始终坚持依法、全面、真实、及时、便民的原则，围绕“公开为常态，不公开为例外”的总体要求，</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统筹推进各项</w:t>
      </w: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公开工作</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，全面提升公开质效。</w:t>
      </w:r>
    </w:p>
    <w:p>
      <w:pPr>
        <w:keepNext w:val="0"/>
        <w:keepLines w:val="0"/>
        <w:widowControl/>
        <w:numPr>
          <w:ilvl w:val="0"/>
          <w:numId w:val="0"/>
        </w:numPr>
        <w:suppressLineNumbers w:val="0"/>
        <w:shd w:val="clear" w:fill="FFFFFF"/>
        <w:spacing w:before="0" w:beforeAutospacing="0" w:after="0" w:afterAutospacing="0" w:line="560" w:lineRule="atLeast"/>
        <w:ind w:right="0" w:rightChars="0" w:firstLine="640" w:firstLineChars="200"/>
        <w:jc w:val="left"/>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方正楷体_GBK" w:cs="Times New Roman"/>
          <w:b w:val="0"/>
          <w:bCs w:val="0"/>
          <w:i w:val="0"/>
          <w:iCs w:val="0"/>
          <w:caps w:val="0"/>
          <w:color w:val="000000"/>
          <w:spacing w:val="0"/>
          <w:kern w:val="0"/>
          <w:sz w:val="32"/>
          <w:szCs w:val="32"/>
          <w:highlight w:val="none"/>
          <w:shd w:val="clear" w:fill="FFFFFF"/>
          <w:lang w:val="en-US" w:eastAsia="zh-CN" w:bidi="ar"/>
        </w:rPr>
        <w:t>（一）主动公开。</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聚焦社会关切，以预算决算、财政政策、民生支出、税费政策、政府债券、国有资产管理等重点领域，在</w:t>
      </w: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区政府网站积极发布公开信息，</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确保应公开尽公开，切实保障公众知情权与监督权。</w:t>
      </w:r>
    </w:p>
    <w:p>
      <w:pPr>
        <w:keepNext w:val="0"/>
        <w:keepLines w:val="0"/>
        <w:widowControl/>
        <w:numPr>
          <w:ilvl w:val="0"/>
          <w:numId w:val="0"/>
        </w:numPr>
        <w:suppressLineNumbers w:val="0"/>
        <w:shd w:val="clear" w:fill="FFFFFF"/>
        <w:spacing w:before="0" w:beforeAutospacing="0" w:after="0" w:afterAutospacing="0" w:line="560" w:lineRule="atLeast"/>
        <w:ind w:right="0" w:rightChars="0" w:firstLine="640" w:firstLineChars="200"/>
        <w:jc w:val="left"/>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方正楷体_GBK" w:cs="Times New Roman"/>
          <w:b w:val="0"/>
          <w:bCs w:val="0"/>
          <w:i w:val="0"/>
          <w:iCs w:val="0"/>
          <w:caps w:val="0"/>
          <w:color w:val="000000"/>
          <w:spacing w:val="0"/>
          <w:kern w:val="0"/>
          <w:sz w:val="32"/>
          <w:szCs w:val="32"/>
          <w:highlight w:val="none"/>
          <w:shd w:val="clear" w:fill="FFFFFF"/>
          <w:lang w:val="en-US" w:eastAsia="zh-CN" w:bidi="ar"/>
        </w:rPr>
        <w:t>（二）依申请公开。</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严格执行</w:t>
      </w: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《中华人民共和国政府信息公开条例》</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，规范申请接收、审查、办理、答复全流程管理，全年接收政府信息公开申请2件，已全部办结，未发生超期办理或者违规答复情况。</w:t>
      </w:r>
    </w:p>
    <w:p>
      <w:pPr>
        <w:keepNext w:val="0"/>
        <w:keepLines w:val="0"/>
        <w:widowControl/>
        <w:suppressLineNumbers w:val="0"/>
        <w:shd w:val="clear" w:fill="FFFFFF"/>
        <w:spacing w:before="0" w:beforeAutospacing="0" w:after="0" w:afterAutospacing="0" w:line="560" w:lineRule="atLeast"/>
        <w:ind w:left="0" w:right="0" w:firstLine="643"/>
        <w:jc w:val="left"/>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方正楷体_GBK" w:cs="Times New Roman"/>
          <w:b w:val="0"/>
          <w:bCs w:val="0"/>
          <w:i w:val="0"/>
          <w:iCs w:val="0"/>
          <w:caps w:val="0"/>
          <w:color w:val="000000"/>
          <w:spacing w:val="0"/>
          <w:kern w:val="0"/>
          <w:sz w:val="32"/>
          <w:szCs w:val="32"/>
          <w:highlight w:val="none"/>
          <w:shd w:val="clear" w:fill="FFFFFF"/>
          <w:lang w:val="en-US" w:eastAsia="zh-CN" w:bidi="ar"/>
        </w:rPr>
        <w:t>（三）政府信息管理。</w:t>
      </w: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积极提升政务服务透明度和便利度</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w:t>
      </w:r>
    </w:p>
    <w:p>
      <w:pPr>
        <w:keepNext w:val="0"/>
        <w:keepLines w:val="0"/>
        <w:widowControl/>
        <w:suppressLineNumbers w:val="0"/>
        <w:shd w:val="clear" w:fill="FFFFFF"/>
        <w:spacing w:before="0" w:beforeAutospacing="0" w:after="0" w:afterAutospacing="0" w:line="560" w:lineRule="atLeast"/>
        <w:ind w:right="0"/>
        <w:jc w:val="left"/>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pP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进一步厘清本部门</w:t>
      </w: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公开</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职责</w:t>
      </w: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全面梳理法定公开事项，</w:t>
      </w:r>
      <w:r>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按照政府信息公开条例的有关规定，</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形成更加详实准确的《徐水区财政局主动公开事项目录》，明确公开要素、范围及时限，实现信息检索便捷、内容全面合规。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3"/>
        <w:jc w:val="left"/>
        <w:textAlignment w:val="auto"/>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方正楷体_GBK" w:cs="Times New Roman"/>
          <w:b w:val="0"/>
          <w:bCs w:val="0"/>
          <w:i w:val="0"/>
          <w:iCs w:val="0"/>
          <w:caps w:val="0"/>
          <w:color w:val="000000"/>
          <w:spacing w:val="0"/>
          <w:kern w:val="0"/>
          <w:sz w:val="32"/>
          <w:szCs w:val="32"/>
          <w:highlight w:val="none"/>
          <w:shd w:val="clear" w:fill="FFFFFF"/>
          <w:lang w:val="en-US" w:eastAsia="zh-CN" w:bidi="ar"/>
        </w:rPr>
        <w:t>（四）政府信息公开平台建设。</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强化政府平台信息管理，积极报送财政领域信息，对涉及群众切身利益的民生信息，及时准确报送。安排专人盯办政府网站留言，做到民有所呼、我有所应。</w:t>
      </w:r>
    </w:p>
    <w:p>
      <w:pPr>
        <w:keepNext w:val="0"/>
        <w:keepLines w:val="0"/>
        <w:widowControl/>
        <w:suppressLineNumbers w:val="0"/>
        <w:shd w:val="clear" w:fill="FFFFFF"/>
        <w:spacing w:before="0" w:beforeAutospacing="0" w:after="0" w:afterAutospacing="0" w:line="560" w:lineRule="atLeast"/>
        <w:ind w:left="0" w:right="0" w:firstLine="643"/>
        <w:jc w:val="left"/>
        <w:rPr>
          <w:rFonts w:hint="default"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方正楷体_GBK" w:cs="Times New Roman"/>
          <w:b w:val="0"/>
          <w:bCs w:val="0"/>
          <w:i w:val="0"/>
          <w:iCs w:val="0"/>
          <w:caps w:val="0"/>
          <w:color w:val="000000"/>
          <w:spacing w:val="0"/>
          <w:kern w:val="0"/>
          <w:sz w:val="32"/>
          <w:szCs w:val="32"/>
          <w:highlight w:val="none"/>
          <w:shd w:val="clear" w:fill="FFFFFF"/>
          <w:lang w:val="en-US" w:eastAsia="zh-CN" w:bidi="ar"/>
        </w:rPr>
        <w:t>（五）监督保障。</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强化组织领导，</w:t>
      </w:r>
      <w:r>
        <w:rPr>
          <w:rFonts w:hint="eastAsia" w:ascii="Times New Roman" w:hAnsi="Times New Roman" w:eastAsia="方正仿宋_GBK" w:cs="Times New Roman"/>
          <w:i w:val="0"/>
          <w:iCs w:val="0"/>
          <w:caps w:val="0"/>
          <w:color w:val="000000"/>
          <w:spacing w:val="0"/>
          <w:kern w:val="0"/>
          <w:sz w:val="32"/>
          <w:szCs w:val="32"/>
          <w:highlight w:val="none"/>
          <w:shd w:val="clear" w:fill="FFFFFF"/>
          <w:lang w:val="en-US" w:eastAsia="zh-CN" w:bidi="ar"/>
        </w:rPr>
        <w:t>压实工作责任，细化责任分工，形成了主要领导牵头、分管领导把关、局办公室承办，各有关业务股室协同配合的的工作机制，确保了各项公开工作有人抓有人管。</w:t>
      </w:r>
    </w:p>
    <w:p>
      <w:pPr>
        <w:pStyle w:val="2"/>
        <w:keepNext w:val="0"/>
        <w:keepLines w:val="0"/>
        <w:widowControl/>
        <w:suppressLineNumbers w:val="0"/>
        <w:shd w:val="clear" w:fill="FFFFFF"/>
        <w:spacing w:before="0" w:beforeAutospacing="0" w:after="0" w:afterAutospacing="0" w:line="420" w:lineRule="atLeast"/>
        <w:ind w:left="0" w:firstLine="640"/>
        <w:jc w:val="both"/>
        <w:rPr>
          <w:rFonts w:hint="eastAsia" w:ascii="微软雅黑" w:hAnsi="微软雅黑" w:eastAsia="微软雅黑" w:cs="微软雅黑"/>
          <w:i w:val="0"/>
          <w:iCs w:val="0"/>
          <w:caps w:val="0"/>
          <w:color w:val="000000"/>
          <w:spacing w:val="0"/>
          <w:sz w:val="28"/>
          <w:szCs w:val="28"/>
          <w:highlight w:val="none"/>
        </w:rPr>
      </w:pPr>
      <w:r>
        <w:rPr>
          <w:rFonts w:hint="eastAsia" w:ascii="方正黑体_GBK" w:hAnsi="方正黑体_GBK" w:eastAsia="方正黑体_GBK" w:cs="方正黑体_GBK"/>
          <w:i w:val="0"/>
          <w:iCs w:val="0"/>
          <w:caps w:val="0"/>
          <w:color w:val="000000"/>
          <w:spacing w:val="0"/>
          <w:sz w:val="32"/>
          <w:szCs w:val="32"/>
          <w:highlight w:val="none"/>
          <w:shd w:val="clear" w:fill="FFFFFF"/>
        </w:rPr>
        <w:t>二、主动公开政府信息情况</w:t>
      </w:r>
      <w:r>
        <w:rPr>
          <w:rFonts w:hint="eastAsia" w:ascii="微软雅黑" w:hAnsi="微软雅黑" w:eastAsia="微软雅黑" w:cs="微软雅黑"/>
          <w:i w:val="0"/>
          <w:iCs w:val="0"/>
          <w:caps w:val="0"/>
          <w:color w:val="000000"/>
          <w:spacing w:val="0"/>
          <w:sz w:val="28"/>
          <w:szCs w:val="28"/>
          <w:highlight w:val="none"/>
          <w:shd w:val="clear" w:fill="FFFFFF"/>
        </w:rPr>
        <w:t> </w:t>
      </w:r>
    </w:p>
    <w:tbl>
      <w:tblPr>
        <w:tblStyle w:val="3"/>
        <w:tblW w:w="8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52"/>
        <w:gridCol w:w="2435"/>
        <w:gridCol w:w="2435"/>
        <w:gridCol w:w="2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877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7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本年制发件数</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本年废止件数</w:t>
            </w:r>
          </w:p>
        </w:tc>
        <w:tc>
          <w:tcPr>
            <w:tcW w:w="214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7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c>
          <w:tcPr>
            <w:tcW w:w="214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2</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2</w:t>
            </w:r>
          </w:p>
        </w:tc>
        <w:tc>
          <w:tcPr>
            <w:tcW w:w="214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877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7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0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行政许可</w:t>
            </w:r>
          </w:p>
        </w:tc>
        <w:tc>
          <w:tcPr>
            <w:tcW w:w="70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77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7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0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行政处罚</w:t>
            </w:r>
          </w:p>
        </w:tc>
        <w:tc>
          <w:tcPr>
            <w:tcW w:w="70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7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行政强制</w:t>
            </w:r>
          </w:p>
        </w:tc>
        <w:tc>
          <w:tcPr>
            <w:tcW w:w="70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77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7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018"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5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行政事业性收费</w:t>
            </w:r>
          </w:p>
        </w:tc>
        <w:tc>
          <w:tcPr>
            <w:tcW w:w="7018"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r>
    </w:tbl>
    <w:p>
      <w:pPr>
        <w:pStyle w:val="2"/>
        <w:keepNext w:val="0"/>
        <w:keepLines w:val="0"/>
        <w:widowControl/>
        <w:suppressLineNumbers w:val="0"/>
        <w:shd w:val="clear" w:fill="FFFFFF"/>
        <w:spacing w:before="0" w:beforeAutospacing="0" w:after="0" w:afterAutospacing="0" w:line="420" w:lineRule="atLeast"/>
        <w:ind w:left="0" w:firstLine="640"/>
        <w:jc w:val="both"/>
        <w:rPr>
          <w:rFonts w:hint="eastAsia" w:ascii="微软雅黑" w:hAnsi="微软雅黑" w:eastAsia="微软雅黑" w:cs="微软雅黑"/>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三、收到和处理政府信息公开申请情况</w:t>
      </w:r>
      <w:r>
        <w:rPr>
          <w:rFonts w:hint="eastAsia" w:ascii="微软雅黑" w:hAnsi="微软雅黑" w:eastAsia="微软雅黑" w:cs="微软雅黑"/>
          <w:i w:val="0"/>
          <w:iCs w:val="0"/>
          <w:caps w:val="0"/>
          <w:color w:val="000000"/>
          <w:spacing w:val="0"/>
          <w:sz w:val="21"/>
          <w:szCs w:val="21"/>
          <w:shd w:val="clear" w:fill="FFFFFF"/>
        </w:rPr>
        <w:t> </w:t>
      </w:r>
    </w:p>
    <w:tbl>
      <w:tblPr>
        <w:tblStyle w:val="3"/>
        <w:tblW w:w="893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4"/>
        <w:gridCol w:w="769"/>
        <w:gridCol w:w="3054"/>
        <w:gridCol w:w="666"/>
        <w:gridCol w:w="668"/>
        <w:gridCol w:w="666"/>
        <w:gridCol w:w="666"/>
        <w:gridCol w:w="666"/>
        <w:gridCol w:w="615"/>
        <w:gridCol w:w="6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357" w:type="dxa"/>
            <w:gridSpan w:val="3"/>
            <w:vMerge w:val="restart"/>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（本列数据的勾稽关系为：第一项加第二项之和，等于第三项加第四项之和）</w:t>
            </w:r>
          </w:p>
        </w:tc>
        <w:tc>
          <w:tcPr>
            <w:tcW w:w="457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357"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19"/>
                <w:szCs w:val="19"/>
              </w:rPr>
            </w:pPr>
          </w:p>
        </w:tc>
        <w:tc>
          <w:tcPr>
            <w:tcW w:w="666"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自然人</w:t>
            </w:r>
          </w:p>
        </w:tc>
        <w:tc>
          <w:tcPr>
            <w:tcW w:w="3281" w:type="dxa"/>
            <w:gridSpan w:val="5"/>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法人或其他组织</w:t>
            </w:r>
          </w:p>
        </w:tc>
        <w:tc>
          <w:tcPr>
            <w:tcW w:w="631"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357"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19"/>
                <w:szCs w:val="19"/>
              </w:rPr>
            </w:pPr>
          </w:p>
        </w:tc>
        <w:tc>
          <w:tcPr>
            <w:tcW w:w="666"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商业</w:t>
            </w:r>
          </w:p>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企业</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科研</w:t>
            </w:r>
          </w:p>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机构</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社会公益组织</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法律服务机构</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其他</w:t>
            </w:r>
          </w:p>
        </w:tc>
        <w:tc>
          <w:tcPr>
            <w:tcW w:w="631"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35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一、本年新收政府信息公开申请数量</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2</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2 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35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二、上年结转政府信息公开申请数量</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restart"/>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三、</w:t>
            </w:r>
          </w:p>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本年度办理结果</w:t>
            </w:r>
          </w:p>
        </w:tc>
        <w:tc>
          <w:tcPr>
            <w:tcW w:w="382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（一）予以公开</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82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（二）部分公开（区分处理的，只计这一情形，不计其他情形）</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leftChars="0" w:right="0" w:rightChars="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leftChars="0" w:right="0" w:rightChars="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（三）不</w:t>
            </w:r>
          </w:p>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予公开</w:t>
            </w: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1.属于国家秘密</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nil"/>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2.其他法律行政法规禁止公开</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3.危及“三安全一稳定”</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4.保护第三方合法权益</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5.属于三类内部事务信息</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6.属于四类过程性信息</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7.属于行政执法案卷</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8.属于行政查询事项</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（四）无法提供</w:t>
            </w: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1.本机关不掌握相关政府信息</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2</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2.没有现成信息需要另行制作</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3.补正后申请内容仍不明确</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（五）不予处理</w:t>
            </w: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1.信访举报投诉类申请</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2.重复申请</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3.要求提供公开出版物</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4.无正当理由大量反复申请</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5.要求行政机关确认或重新出具已获取信息</w:t>
            </w:r>
          </w:p>
        </w:tc>
        <w:tc>
          <w:tcPr>
            <w:tcW w:w="666" w:type="dxa"/>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0</w:t>
            </w:r>
          </w:p>
        </w:tc>
        <w:tc>
          <w:tcPr>
            <w:tcW w:w="631" w:type="dxa"/>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leftChars="0" w:right="0" w:rightChars="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（六）其他处理</w:t>
            </w:r>
          </w:p>
        </w:tc>
        <w:tc>
          <w:tcPr>
            <w:tcW w:w="305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1.申请人无正当理由逾期不补正、行政机关不再处理其政府信息公开申请</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leftChars="0" w:right="0" w:rightChars="0"/>
              <w:jc w:val="center"/>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76" w:hRule="atLeast"/>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2.申请人逾期未按收费通知要求缴纳费用、行政机关不再处理其政府信息公开申请</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w:t>
            </w:r>
          </w:p>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76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05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3.其他</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34"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rPr>
                <w:rFonts w:hint="eastAsia" w:ascii="微软雅黑" w:hAnsi="微软雅黑" w:eastAsia="微软雅黑" w:cs="微软雅黑"/>
                <w:sz w:val="19"/>
                <w:szCs w:val="19"/>
              </w:rPr>
            </w:pPr>
          </w:p>
        </w:tc>
        <w:tc>
          <w:tcPr>
            <w:tcW w:w="382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（七）总计</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2</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35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kern w:val="0"/>
                <w:sz w:val="21"/>
                <w:szCs w:val="21"/>
                <w:lang w:val="en-US" w:eastAsia="zh-CN" w:bidi="ar"/>
              </w:rPr>
              <w:t>四、结转下年度继续办理</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1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0 </w:t>
            </w:r>
          </w:p>
        </w:tc>
      </w:tr>
    </w:tbl>
    <w:p>
      <w:pPr>
        <w:pStyle w:val="2"/>
        <w:widowControl/>
        <w:shd w:val="clear" w:color="auto" w:fill="FFFFFF"/>
        <w:spacing w:beforeAutospacing="0" w:afterAutospacing="0" w:line="560" w:lineRule="exact"/>
        <w:ind w:firstLine="640" w:firstLineChars="200"/>
        <w:jc w:val="both"/>
        <w:rPr>
          <w:rFonts w:ascii="黑体" w:hAnsi="黑体" w:eastAsia="黑体" w:cs="宋体"/>
          <w:b w:val="0"/>
          <w:bCs w:val="0"/>
          <w:color w:val="333333"/>
          <w:sz w:val="32"/>
          <w:szCs w:val="32"/>
          <w:shd w:val="clear" w:color="auto" w:fill="FFFFFF"/>
        </w:rPr>
      </w:pPr>
      <w:r>
        <w:rPr>
          <w:rFonts w:hint="eastAsia" w:ascii="黑体" w:hAnsi="黑体" w:eastAsia="黑体" w:cs="宋体"/>
          <w:b w:val="0"/>
          <w:bCs w:val="0"/>
          <w:color w:val="333333"/>
          <w:sz w:val="32"/>
          <w:szCs w:val="32"/>
          <w:shd w:val="clear" w:color="auto" w:fill="FFFFFF"/>
        </w:rPr>
        <w:t>四、政府信息公开行政复议、行政诉讼情况</w:t>
      </w:r>
    </w:p>
    <w:tbl>
      <w:tblPr>
        <w:tblStyle w:val="3"/>
        <w:tblW w:w="89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92"/>
        <w:gridCol w:w="559"/>
        <w:gridCol w:w="449"/>
        <w:gridCol w:w="682"/>
        <w:gridCol w:w="393"/>
        <w:gridCol w:w="649"/>
        <w:gridCol w:w="649"/>
        <w:gridCol w:w="650"/>
        <w:gridCol w:w="650"/>
        <w:gridCol w:w="650"/>
        <w:gridCol w:w="650"/>
        <w:gridCol w:w="650"/>
        <w:gridCol w:w="650"/>
        <w:gridCol w:w="650"/>
        <w:gridCol w:w="41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7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行政复议</w:t>
            </w:r>
          </w:p>
        </w:tc>
        <w:tc>
          <w:tcPr>
            <w:tcW w:w="6266"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9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结果维持</w:t>
            </w:r>
          </w:p>
        </w:tc>
        <w:tc>
          <w:tcPr>
            <w:tcW w:w="55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4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8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393"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未经复议直接起诉</w:t>
            </w:r>
          </w:p>
        </w:tc>
        <w:tc>
          <w:tcPr>
            <w:tcW w:w="301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9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宋体"/>
                <w:sz w:val="24"/>
              </w:rPr>
            </w:pPr>
          </w:p>
        </w:tc>
        <w:tc>
          <w:tcPr>
            <w:tcW w:w="55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宋体"/>
                <w:sz w:val="24"/>
              </w:rPr>
            </w:pPr>
          </w:p>
        </w:tc>
        <w:tc>
          <w:tcPr>
            <w:tcW w:w="4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宋体"/>
                <w:sz w:val="24"/>
              </w:rPr>
            </w:pPr>
          </w:p>
        </w:tc>
        <w:tc>
          <w:tcPr>
            <w:tcW w:w="68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宋体"/>
                <w:sz w:val="24"/>
              </w:rPr>
            </w:pPr>
          </w:p>
        </w:tc>
        <w:tc>
          <w:tcPr>
            <w:tcW w:w="393"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宋体"/>
                <w:sz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4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59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ascii="黑体" w:hAnsi="宋体" w:eastAsia="黑体" w:cs="黑体"/>
                <w:kern w:val="0"/>
                <w:sz w:val="20"/>
                <w:szCs w:val="20"/>
              </w:rPr>
              <w:t>0</w:t>
            </w:r>
          </w:p>
        </w:tc>
        <w:tc>
          <w:tcPr>
            <w:tcW w:w="5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rPr>
              <w:t>0</w:t>
            </w:r>
          </w:p>
        </w:tc>
        <w:tc>
          <w:tcPr>
            <w:tcW w:w="4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rPr>
              <w:t>0</w:t>
            </w:r>
          </w:p>
        </w:tc>
        <w:tc>
          <w:tcPr>
            <w:tcW w:w="68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rPr>
              <w:t>0</w:t>
            </w:r>
          </w:p>
        </w:tc>
        <w:tc>
          <w:tcPr>
            <w:tcW w:w="39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hint="eastAsia"/>
              </w:rPr>
            </w:pPr>
            <w:r>
              <w:rPr>
                <w:rFonts w:hint="eastAsia"/>
              </w:rPr>
              <w:t>0</w:t>
            </w:r>
          </w:p>
        </w:tc>
        <w:tc>
          <w:tcPr>
            <w:tcW w:w="41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宋体"/>
                <w:sz w:val="24"/>
              </w:rPr>
            </w:pPr>
            <w:r>
              <w:rPr>
                <w:rFonts w:hint="eastAsia" w:ascii="宋体"/>
                <w:sz w:val="24"/>
              </w:rPr>
              <w:t>0</w:t>
            </w:r>
          </w:p>
        </w:tc>
      </w:tr>
    </w:tbl>
    <w:p>
      <w:pPr>
        <w:pStyle w:val="2"/>
        <w:keepNext w:val="0"/>
        <w:keepLines w:val="0"/>
        <w:widowControl/>
        <w:suppressLineNumbers w:val="0"/>
        <w:shd w:val="clear" w:fill="FFFFFF"/>
        <w:spacing w:before="0" w:beforeAutospacing="0" w:after="0" w:afterAutospacing="0" w:line="420" w:lineRule="atLeast"/>
        <w:ind w:firstLine="640" w:firstLineChars="200"/>
        <w:jc w:val="both"/>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五、存在的主要问题及改进情况</w:t>
      </w:r>
      <w:bookmarkStart w:id="0" w:name="_GoBack"/>
      <w:bookmarkEnd w:id="0"/>
    </w:p>
    <w:p>
      <w:pPr>
        <w:keepNext w:val="0"/>
        <w:keepLines w:val="0"/>
        <w:widowControl/>
        <w:suppressLineNumbers w:val="0"/>
        <w:shd w:val="clear" w:fill="FFFFFF"/>
        <w:spacing w:before="0" w:beforeAutospacing="0" w:after="0" w:afterAutospacing="0" w:line="580" w:lineRule="atLeast"/>
        <w:ind w:left="0" w:right="0" w:firstLine="643"/>
        <w:jc w:val="left"/>
        <w:rPr>
          <w:rFonts w:hint="eastAsia" w:ascii="Times New Roman" w:hAnsi="Times New Roman" w:eastAsia="方正黑体_GBK" w:cs="方正黑体_GBK"/>
          <w:i w:val="0"/>
          <w:iCs w:val="0"/>
          <w:caps w:val="0"/>
          <w:color w:val="000000"/>
          <w:spacing w:val="0"/>
          <w:kern w:val="0"/>
          <w:sz w:val="32"/>
          <w:szCs w:val="32"/>
          <w:shd w:val="clear" w:fill="FFFFFF"/>
          <w:lang w:val="en-US" w:eastAsia="zh-CN" w:bidi="ar"/>
        </w:rPr>
      </w:pP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t>2025年，我局政府信息公开工作虽然取得了一些成绩，但对标区委、区政府的工作要求还存在一些差距和问题，一是承办人员对政府信息公开工作的重要性和全局性意识还有待进一步提高，二是与广大群众对政府信息公开的需求还有一定差距。下一步，我局将严格按照国家和省、市、区的要求，继续认真贯彻《政府信息公开条例》，大力推进信息公开工作，接受社会和群众的监督。</w:t>
      </w:r>
    </w:p>
    <w:p>
      <w:pPr>
        <w:pStyle w:val="2"/>
        <w:keepNext w:val="0"/>
        <w:keepLines w:val="0"/>
        <w:widowControl/>
        <w:numPr>
          <w:ilvl w:val="0"/>
          <w:numId w:val="1"/>
        </w:numPr>
        <w:suppressLineNumbers w:val="0"/>
        <w:shd w:val="clear" w:fill="FFFFFF"/>
        <w:spacing w:before="0" w:beforeAutospacing="0" w:after="0" w:afterAutospacing="0" w:line="420" w:lineRule="atLeast"/>
        <w:ind w:firstLine="640" w:firstLineChars="200"/>
        <w:jc w:val="both"/>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其他需要报告的事项</w:t>
      </w:r>
    </w:p>
    <w:p>
      <w:pPr>
        <w:pStyle w:val="2"/>
        <w:keepNext w:val="0"/>
        <w:keepLines w:val="0"/>
        <w:widowControl/>
        <w:numPr>
          <w:ilvl w:val="0"/>
          <w:numId w:val="0"/>
        </w:numPr>
        <w:suppressLineNumbers w:val="0"/>
        <w:shd w:val="clear" w:fill="FFFFFF"/>
        <w:spacing w:before="0" w:beforeAutospacing="0" w:after="0" w:afterAutospacing="0" w:line="420" w:lineRule="atLeast"/>
        <w:ind w:right="0" w:rightChars="0" w:firstLine="640" w:firstLineChars="200"/>
        <w:jc w:val="both"/>
        <w:rPr>
          <w:rFonts w:hint="default" w:ascii="Times New Roman" w:hAnsi="Times New Roman" w:eastAsia="方正仿宋_GBK" w:cs="方正仿宋_GBK"/>
          <w:i w:val="0"/>
          <w:iCs w:val="0"/>
          <w:caps w:val="0"/>
          <w:color w:val="000000"/>
          <w:spacing w:val="0"/>
          <w:kern w:val="0"/>
          <w:sz w:val="32"/>
          <w:szCs w:val="32"/>
          <w:shd w:val="clear" w:fill="FFFFFF"/>
          <w:lang w:val="en-US" w:eastAsia="zh-CN" w:bidi="ar"/>
        </w:rPr>
      </w:pP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
        </w:rPr>
        <w:t>认真贯彻执行国务院办公厅《政府信息公开处理费管理办法》和《关于政府信息公开处理费管理有关事项的通知》。2025年未收取信息处理费。</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5A1B6"/>
    <w:multiLevelType w:val="singleLevel"/>
    <w:tmpl w:val="FCC5A1B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A6658"/>
    <w:rsid w:val="00D6028A"/>
    <w:rsid w:val="02CD76FA"/>
    <w:rsid w:val="04E80C0D"/>
    <w:rsid w:val="083A4BC8"/>
    <w:rsid w:val="0ABB6462"/>
    <w:rsid w:val="0BD769DE"/>
    <w:rsid w:val="0E1771E7"/>
    <w:rsid w:val="0E474485"/>
    <w:rsid w:val="0EBD66B1"/>
    <w:rsid w:val="0F656151"/>
    <w:rsid w:val="1246380B"/>
    <w:rsid w:val="12560A39"/>
    <w:rsid w:val="136D1946"/>
    <w:rsid w:val="145F59F1"/>
    <w:rsid w:val="15CD498E"/>
    <w:rsid w:val="16027418"/>
    <w:rsid w:val="18637A12"/>
    <w:rsid w:val="19CF0801"/>
    <w:rsid w:val="1A0B242F"/>
    <w:rsid w:val="1BC0133F"/>
    <w:rsid w:val="1C3346CA"/>
    <w:rsid w:val="1D2C2897"/>
    <w:rsid w:val="1D8F3730"/>
    <w:rsid w:val="1E3B7739"/>
    <w:rsid w:val="23C73130"/>
    <w:rsid w:val="259F2E44"/>
    <w:rsid w:val="25E80749"/>
    <w:rsid w:val="274F50A2"/>
    <w:rsid w:val="29D10C50"/>
    <w:rsid w:val="2A906D63"/>
    <w:rsid w:val="2B9733FD"/>
    <w:rsid w:val="2BF745C9"/>
    <w:rsid w:val="2DB21E26"/>
    <w:rsid w:val="2EA807E2"/>
    <w:rsid w:val="322A6658"/>
    <w:rsid w:val="32580B97"/>
    <w:rsid w:val="35024F90"/>
    <w:rsid w:val="35C0057F"/>
    <w:rsid w:val="37D75A39"/>
    <w:rsid w:val="385B0EEA"/>
    <w:rsid w:val="3BC33B4A"/>
    <w:rsid w:val="3F1F60D0"/>
    <w:rsid w:val="404B0D74"/>
    <w:rsid w:val="42145A16"/>
    <w:rsid w:val="428F6ABE"/>
    <w:rsid w:val="45146412"/>
    <w:rsid w:val="48E84165"/>
    <w:rsid w:val="49EC0802"/>
    <w:rsid w:val="4BB52BE7"/>
    <w:rsid w:val="4C0D38A5"/>
    <w:rsid w:val="4C957C63"/>
    <w:rsid w:val="4EA3746B"/>
    <w:rsid w:val="512F6710"/>
    <w:rsid w:val="54F34ED7"/>
    <w:rsid w:val="553241F1"/>
    <w:rsid w:val="56C34B5E"/>
    <w:rsid w:val="579022DB"/>
    <w:rsid w:val="604B7957"/>
    <w:rsid w:val="61136F86"/>
    <w:rsid w:val="62CB04FE"/>
    <w:rsid w:val="635C791A"/>
    <w:rsid w:val="64E301DC"/>
    <w:rsid w:val="65E17E88"/>
    <w:rsid w:val="69797D7C"/>
    <w:rsid w:val="69904740"/>
    <w:rsid w:val="6A553145"/>
    <w:rsid w:val="6BAD54DF"/>
    <w:rsid w:val="6EE81B27"/>
    <w:rsid w:val="71DC2AE1"/>
    <w:rsid w:val="72ED26FA"/>
    <w:rsid w:val="750466F2"/>
    <w:rsid w:val="768828B8"/>
    <w:rsid w:val="76F44BEC"/>
    <w:rsid w:val="773811C7"/>
    <w:rsid w:val="779618A4"/>
    <w:rsid w:val="7A876DBC"/>
    <w:rsid w:val="7ACB4644"/>
    <w:rsid w:val="7DC13E40"/>
    <w:rsid w:val="7EB36D85"/>
    <w:rsid w:val="7FD4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2023-01-28T02:12:00Z</dcterms:created>
  <dc:creator>Administrator</dc:creator>
  <cp:lastModifiedBy>user</cp:lastModifiedBy>
  <cp:lastPrinted>2025-01-17T06:24:00Z</cp:lastPrinted>
  <dcterms:modified xsi:type="dcterms:W3CDTF">2026-01-23T02:35:45Z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5132F23C3E9B4938A73446F047518ADB</vt:lpwstr>
  </property>
</Properties>
</file>