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保定市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徐水区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文化广电和旅游局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政府信息公开工作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年度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报告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按照</w:t>
      </w:r>
      <w:r>
        <w:rPr>
          <w:rFonts w:hint="eastAsia"/>
        </w:rPr>
        <w:t>《中华人民共和国政府信息公开条例》《河北省实施〈中华人民共和国政府信息公开条例〉办法》等规定，</w:t>
      </w:r>
      <w:r>
        <w:rPr>
          <w:rFonts w:hint="eastAsia"/>
          <w:lang w:val="en-US" w:eastAsia="zh-CN"/>
        </w:rPr>
        <w:t>发布本年度报告</w:t>
      </w:r>
      <w:r>
        <w:rPr>
          <w:rFonts w:hint="eastAsia"/>
        </w:rPr>
        <w:t>。报告中所列数据统计期限为202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年1月1日至12月31日。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一、总体情况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华文仿宋" w:hAnsi="华文仿宋" w:eastAsia="华文仿宋"/>
          <w:sz w:val="32"/>
          <w:szCs w:val="32"/>
        </w:rPr>
      </w:pPr>
      <w:r>
        <w:rPr>
          <w:rFonts w:hint="eastAsia"/>
          <w:lang w:val="en-US" w:eastAsia="zh-CN"/>
        </w:rPr>
        <w:t>2025年，区文广旅局坚持以习近平新时代中国特色社会主义思想为指导，全面贯彻落实党的二十大、二十届二中、三中、四中全会精神，认真贯彻执行党中央、国务院、省委省政府、市委市政府关于政务公开工作决策部署，</w:t>
      </w:r>
      <w:r>
        <w:rPr>
          <w:rFonts w:hint="eastAsia" w:ascii="华文仿宋" w:hAnsi="华文仿宋" w:eastAsia="华文仿宋"/>
          <w:sz w:val="32"/>
          <w:szCs w:val="32"/>
        </w:rPr>
        <w:t>以区信息公开网络平台为载体，以群众关注期盼为重点，主动公开相关信息，</w:t>
      </w:r>
      <w:r>
        <w:rPr>
          <w:rFonts w:hint="eastAsia" w:ascii="华文仿宋" w:hAnsi="华文仿宋" w:eastAsia="华文仿宋"/>
          <w:sz w:val="32"/>
          <w:szCs w:val="32"/>
          <w:lang w:eastAsia="zh-CN"/>
        </w:rPr>
        <w:t>及时回应社会关切，进一步加强和规范文广旅信息公开工作</w:t>
      </w:r>
      <w:r>
        <w:rPr>
          <w:rFonts w:hint="eastAsia" w:ascii="华文仿宋" w:hAnsi="华文仿宋" w:eastAsia="华文仿宋"/>
          <w:sz w:val="32"/>
          <w:szCs w:val="32"/>
        </w:rPr>
        <w:t>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beforeAutospacing="0" w:afterLines="0" w:afterAutospacing="0"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加强信息主动公开。</w:t>
      </w:r>
      <w:r>
        <w:rPr>
          <w:rFonts w:hint="eastAsia" w:ascii="华文仿宋" w:hAnsi="华文仿宋" w:eastAsia="华文仿宋" w:cs="Times New Roman"/>
          <w:color w:val="auto"/>
          <w:kern w:val="2"/>
          <w:sz w:val="32"/>
          <w:szCs w:val="32"/>
          <w:lang w:val="en-US" w:eastAsia="zh-CN" w:bidi="ar-SA"/>
        </w:rPr>
        <w:t>加强组织领导，健全工作机制，明确工作职责，落实各项部署，深化重点领域信息公开，加强政策解读，做好政府部门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权责清单及配套权力运行流程图和办事指南公开，及时公开财政预决算等信息，提升主动公开效率和质量。2025年主动公开信息16条。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lang w:val="en-US" w:eastAsia="zh-CN" w:bidi="ar-SA"/>
        </w:rPr>
        <w:t>（二）做好依申请公开事项。</w:t>
      </w:r>
      <w:r>
        <w:rPr>
          <w:rFonts w:hint="eastAsia"/>
          <w:lang w:val="en-US" w:eastAsia="zh-CN"/>
        </w:rPr>
        <w:t>严格按照《中华人民共和国政府信息公开条例》《河北省政府信息公开申请办理规范》，规范办理流程，进一步提升政府信息公开申请办理水平，健全完善相关制度，推进答复格式文书标准化，力求答复意见合法适当、有理有据。全年无受理依申请公开事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Times New Roman" w:eastAsia="仿宋_GB2312" w:cs="仿宋_GB2312"/>
          <w:i w:val="0"/>
          <w:iCs w:val="0"/>
          <w:caps w:val="0"/>
          <w:color w:val="333333"/>
          <w:spacing w:val="0"/>
          <w:sz w:val="31"/>
          <w:szCs w:val="31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lang w:val="en-US" w:eastAsia="zh-CN" w:bidi="ar-SA"/>
        </w:rPr>
        <w:t>（三）依法规范政府信息管理。</w:t>
      </w:r>
      <w:r>
        <w:rPr>
          <w:rFonts w:hint="eastAsia"/>
          <w:lang w:val="en-US" w:eastAsia="zh-CN"/>
        </w:rPr>
        <w:t>认真贯彻执行《河北省规范性文件管理办法》，切实保障人民群众的知情权、参与权、表达权和监督权。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333333"/>
          <w:spacing w:val="0"/>
          <w:sz w:val="31"/>
          <w:szCs w:val="31"/>
        </w:rPr>
        <w:t>严格信息公开程序，做好信息安全审核，对拟公开的各类信息内容，必须经股室负责人、分管领导审核同意后，方可对外公开，确保所发布信息内容的准确性、保密性。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Times New Roman" w:eastAsia="仿宋_GB2312" w:cs="仿宋_GB2312"/>
          <w:i w:val="0"/>
          <w:iCs w:val="0"/>
          <w:caps w:val="0"/>
          <w:color w:val="333333"/>
          <w:spacing w:val="0"/>
          <w:sz w:val="31"/>
          <w:szCs w:val="31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lang w:val="en-US" w:eastAsia="zh-CN" w:bidi="ar-SA"/>
        </w:rPr>
        <w:t>（四）推进政府信息公开平台建设。</w:t>
      </w:r>
      <w:r>
        <w:rPr>
          <w:rFonts w:hint="eastAsia"/>
          <w:lang w:val="en-US" w:eastAsia="zh-CN"/>
        </w:rPr>
        <w:t>充分发挥政府网站信息公开第一平台作用，丰富公开内容，主动公开各类政府信息，发布相关政策解读；强化政务新媒体常态化监管，</w:t>
      </w:r>
      <w:r>
        <w:rPr>
          <w:rFonts w:ascii="仿宋_GB2312" w:hAnsi="宋体" w:eastAsia="仿宋_GB2312" w:cs="仿宋_GB2312"/>
          <w:i w:val="0"/>
          <w:iCs w:val="0"/>
          <w:caps w:val="0"/>
          <w:color w:val="333333"/>
          <w:spacing w:val="0"/>
          <w:sz w:val="31"/>
          <w:szCs w:val="31"/>
        </w:rPr>
        <w:t>严格执行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1"/>
          <w:szCs w:val="31"/>
        </w:rPr>
        <w:t>“三审三核”制度，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333333"/>
          <w:spacing w:val="0"/>
          <w:sz w:val="31"/>
          <w:szCs w:val="31"/>
        </w:rPr>
        <w:t>推送、编辑我</w:t>
      </w:r>
      <w:r>
        <w:rPr>
          <w:rFonts w:hint="eastAsia" w:hAnsi="Times New Roman" w:cs="仿宋_GB2312"/>
          <w:i w:val="0"/>
          <w:iCs w:val="0"/>
          <w:caps w:val="0"/>
          <w:color w:val="333333"/>
          <w:spacing w:val="0"/>
          <w:sz w:val="31"/>
          <w:szCs w:val="31"/>
          <w:lang w:eastAsia="zh-CN"/>
        </w:rPr>
        <w:t>区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333333"/>
          <w:spacing w:val="0"/>
          <w:sz w:val="31"/>
          <w:szCs w:val="31"/>
        </w:rPr>
        <w:t>文化、文物、旅游、人文风俗等素材信息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1"/>
          <w:szCs w:val="31"/>
        </w:rPr>
        <w:t>，大大提升了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333333"/>
          <w:spacing w:val="0"/>
          <w:sz w:val="31"/>
          <w:szCs w:val="31"/>
        </w:rPr>
        <w:t>文旅工作宣传力度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1"/>
          <w:szCs w:val="31"/>
        </w:rPr>
        <w:t>。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31"/>
          <w:szCs w:val="31"/>
        </w:rPr>
        <w:t>202</w:t>
      </w:r>
      <w:r>
        <w:rPr>
          <w:rFonts w:hint="eastAsia" w:ascii="Times New Roman" w:eastAsia="宋体" w:cs="Times New Roman"/>
          <w:i w:val="0"/>
          <w:iCs w:val="0"/>
          <w:caps w:val="0"/>
          <w:color w:val="333333"/>
          <w:spacing w:val="0"/>
          <w:sz w:val="31"/>
          <w:szCs w:val="31"/>
          <w:lang w:val="en-US" w:eastAsia="zh-CN"/>
        </w:rPr>
        <w:t>5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333333"/>
          <w:spacing w:val="0"/>
          <w:sz w:val="31"/>
          <w:szCs w:val="31"/>
        </w:rPr>
        <w:t>年我局在政务新媒体平台发布信息共计</w:t>
      </w:r>
      <w:r>
        <w:rPr>
          <w:rFonts w:hint="eastAsia" w:ascii="Times New Roman" w:eastAsia="宋体" w:cs="Times New Roman"/>
          <w:i w:val="0"/>
          <w:iCs w:val="0"/>
          <w:caps w:val="0"/>
          <w:color w:val="333333"/>
          <w:spacing w:val="0"/>
          <w:sz w:val="31"/>
          <w:szCs w:val="31"/>
          <w:lang w:val="en-US" w:eastAsia="zh-CN"/>
        </w:rPr>
        <w:t>753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333333"/>
          <w:spacing w:val="0"/>
          <w:sz w:val="31"/>
          <w:szCs w:val="31"/>
        </w:rPr>
        <w:t>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lang w:val="en-US" w:eastAsia="zh-CN" w:bidi="ar-SA"/>
        </w:rPr>
        <w:t>（五）强化监督公开内容保障。</w:t>
      </w:r>
      <w:r>
        <w:rPr>
          <w:rFonts w:hint="eastAsia"/>
          <w:lang w:val="en-US" w:eastAsia="zh-CN"/>
        </w:rPr>
        <w:t>局主要负责同志高度重视政务公开工作，</w:t>
      </w:r>
      <w:r>
        <w:rPr>
          <w:rFonts w:ascii="仿宋_GB2312" w:hAnsi="Times New Roman" w:eastAsia="仿宋_GB2312" w:cs="仿宋_GB2312"/>
          <w:i w:val="0"/>
          <w:iCs w:val="0"/>
          <w:caps w:val="0"/>
          <w:color w:val="333333"/>
          <w:spacing w:val="0"/>
          <w:sz w:val="31"/>
          <w:szCs w:val="31"/>
        </w:rPr>
        <w:t>调整充实了以党组书记、局长任组长，领导班子其他成员任副组长，各股室负责人为成员的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333333"/>
          <w:spacing w:val="0"/>
          <w:sz w:val="31"/>
          <w:szCs w:val="31"/>
        </w:rPr>
        <w:t>文</w:t>
      </w:r>
      <w:r>
        <w:rPr>
          <w:rFonts w:hint="eastAsia" w:hAnsi="Times New Roman" w:cs="仿宋_GB2312"/>
          <w:i w:val="0"/>
          <w:iCs w:val="0"/>
          <w:caps w:val="0"/>
          <w:color w:val="333333"/>
          <w:spacing w:val="0"/>
          <w:sz w:val="31"/>
          <w:szCs w:val="31"/>
          <w:lang w:eastAsia="zh-CN"/>
        </w:rPr>
        <w:t>广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333333"/>
          <w:spacing w:val="0"/>
          <w:sz w:val="31"/>
          <w:szCs w:val="31"/>
        </w:rPr>
        <w:t>旅局信息公开领导小组，形成了主要领导亲自抓，分管领导具体抓，各股室全面落实的工作机制。</w:t>
      </w:r>
      <w:r>
        <w:rPr>
          <w:rFonts w:hint="eastAsia"/>
          <w:lang w:val="en-US" w:eastAsia="zh-CN"/>
        </w:rPr>
        <w:t>严格落实政务公开制度，细化实化政务公开责任分工。对政策解读进行专项督查，对微信公众号等政务新媒体账号进行系统监测，全方位提升我局政府信息公开水平。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二、主动公开政府信息情况</w:t>
      </w:r>
    </w:p>
    <w:tbl>
      <w:tblPr>
        <w:tblStyle w:val="5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35"/>
        <w:gridCol w:w="2035"/>
        <w:gridCol w:w="2035"/>
        <w:gridCol w:w="203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81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第二十条第（一）项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20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20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制发件数</w:t>
            </w:r>
          </w:p>
        </w:tc>
        <w:tc>
          <w:tcPr>
            <w:tcW w:w="20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本年废止件数</w:t>
            </w:r>
          </w:p>
        </w:tc>
        <w:tc>
          <w:tcPr>
            <w:tcW w:w="20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现行有效件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  <w:jc w:val="center"/>
        </w:trPr>
        <w:tc>
          <w:tcPr>
            <w:tcW w:w="20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规章</w:t>
            </w:r>
          </w:p>
        </w:tc>
        <w:tc>
          <w:tcPr>
            <w:tcW w:w="20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0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0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  <w:jc w:val="center"/>
        </w:trPr>
        <w:tc>
          <w:tcPr>
            <w:tcW w:w="203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行政规范性文件</w:t>
            </w:r>
          </w:p>
        </w:tc>
        <w:tc>
          <w:tcPr>
            <w:tcW w:w="203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03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03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140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第二十条第（五）项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  <w:jc w:val="center"/>
        </w:trPr>
        <w:tc>
          <w:tcPr>
            <w:tcW w:w="20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61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03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行政许可</w:t>
            </w:r>
          </w:p>
        </w:tc>
        <w:tc>
          <w:tcPr>
            <w:tcW w:w="610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8140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第二十条第（六）项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  <w:jc w:val="center"/>
        </w:trPr>
        <w:tc>
          <w:tcPr>
            <w:tcW w:w="20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6105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  <w:jc w:val="center"/>
        </w:trPr>
        <w:tc>
          <w:tcPr>
            <w:tcW w:w="20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行政处罚</w:t>
            </w:r>
          </w:p>
        </w:tc>
        <w:tc>
          <w:tcPr>
            <w:tcW w:w="61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eastAsia="仿宋_GB2312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  <w:bookmarkStart w:id="0" w:name="_GoBack"/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0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行政强制</w:t>
            </w:r>
          </w:p>
        </w:tc>
        <w:tc>
          <w:tcPr>
            <w:tcW w:w="61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81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第二十条第（八）项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  <w:jc w:val="center"/>
        </w:trPr>
        <w:tc>
          <w:tcPr>
            <w:tcW w:w="20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6105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本年收费金额（单位：万元）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exact"/>
          <w:jc w:val="center"/>
        </w:trPr>
        <w:tc>
          <w:tcPr>
            <w:tcW w:w="20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行政事业性收费</w:t>
            </w:r>
          </w:p>
        </w:tc>
        <w:tc>
          <w:tcPr>
            <w:tcW w:w="61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eastAsia="仿宋_GB231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</w:tbl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三、收到和处理政府信息公开申请情况</w:t>
      </w:r>
    </w:p>
    <w:tbl>
      <w:tblPr>
        <w:tblStyle w:val="5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943"/>
        <w:gridCol w:w="3220"/>
        <w:gridCol w:w="688"/>
        <w:gridCol w:w="688"/>
        <w:gridCol w:w="688"/>
        <w:gridCol w:w="688"/>
        <w:gridCol w:w="688"/>
        <w:gridCol w:w="688"/>
        <w:gridCol w:w="689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left"/>
              <w:textAlignment w:val="auto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4817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8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法人或其他组织</w:t>
            </w:r>
          </w:p>
        </w:tc>
        <w:tc>
          <w:tcPr>
            <w:tcW w:w="689" w:type="dxa"/>
            <w:vMerge w:val="restart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88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商业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企业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科研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社会公益组织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法律服务机构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</w:tc>
        <w:tc>
          <w:tcPr>
            <w:tcW w:w="689" w:type="dxa"/>
            <w:vMerge w:val="continue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textAlignment w:val="auto"/>
              <w:rPr>
                <w:rFonts w:hint="default" w:eastAsia="仿宋_GB231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textAlignment w:val="auto"/>
              <w:rPr>
                <w:rFonts w:hint="eastAsia" w:eastAsia="仿宋_GB231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restart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三、本年度办理结果</w:t>
            </w: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（一）予以公开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eastAsia="仿宋_GB231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eastAsia="仿宋_GB231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（二）部分公开</w:t>
            </w: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（区分处理的，只计这一情形，不计其他情形）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（三）不予公开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1.属于国家秘密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2.其他法律行政法规禁止公开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3.危及“三安全一稳定”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4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4" w:space="0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4.保护第三方合法权益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5.属于三类内部事务信息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6.属于四类过程性信息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7.属于行政执法案卷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4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4" w:space="0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8.属于行政查询事项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（四）无法提供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1.本机关不掌握相关政府信息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2.没有现成信息需要另行制作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3.补正后申请内容仍不明确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（五）不予处理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1.信访举报投诉类申请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3.要求提供公开出版物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4.无正当理由大量反复申请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both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single" w:color="auto" w:sz="4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（六）其他处理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both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both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3.其他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（七）总计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eastAsia="仿宋_GB231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eastAsia="仿宋_GB231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四、结转下年度继续办理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</w:tbl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  <w:lang w:val="en-US" w:eastAsia="zh-CN"/>
        </w:rPr>
        <w:t>四、</w:t>
      </w:r>
      <w:r>
        <w:rPr>
          <w:rFonts w:hint="eastAsia" w:ascii="黑体" w:hAnsi="黑体" w:eastAsia="黑体" w:cs="黑体"/>
        </w:rPr>
        <w:t>政府信息公开行政复议、行政诉讼情况</w:t>
      </w:r>
    </w:p>
    <w:tbl>
      <w:tblPr>
        <w:tblStyle w:val="5"/>
        <w:tblpPr w:leftFromText="180" w:rightFromText="180" w:vertAnchor="text" w:horzAnchor="page" w:tblpX="1190" w:tblpY="538"/>
        <w:tblOverlap w:val="never"/>
        <w:tblW w:w="9748" w:type="dxa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 w:firstLine="0"/>
              <w:jc w:val="center"/>
              <w:textAlignment w:val="auto"/>
              <w:rPr>
                <w:rFonts w:hAnsi="Times New Roman" w:cs="Times New Roma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行政复议</w:t>
            </w:r>
          </w:p>
        </w:tc>
        <w:tc>
          <w:tcPr>
            <w:tcW w:w="6503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 w:firstLine="0"/>
              <w:jc w:val="center"/>
              <w:textAlignment w:val="auto"/>
              <w:rPr>
                <w:rFonts w:hAnsi="Times New Roman" w:cs="Times New Roma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 w:firstLine="0"/>
              <w:jc w:val="center"/>
              <w:textAlignment w:val="auto"/>
              <w:rPr>
                <w:rFonts w:hAnsi="Times New Roman" w:cs="Times New Roma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 w:firstLine="0"/>
              <w:jc w:val="center"/>
              <w:textAlignment w:val="auto"/>
              <w:rPr>
                <w:rFonts w:hAnsi="Times New Roman" w:cs="Times New Roma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 w:firstLine="0"/>
              <w:jc w:val="center"/>
              <w:textAlignment w:val="auto"/>
              <w:rPr>
                <w:rFonts w:hAnsi="Times New Roman" w:cs="Times New Roma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 w:firstLine="0"/>
              <w:jc w:val="center"/>
              <w:textAlignment w:val="auto"/>
              <w:rPr>
                <w:rFonts w:hAnsi="Times New Roman" w:cs="Times New Roma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 w:firstLine="0"/>
              <w:jc w:val="center"/>
              <w:textAlignment w:val="auto"/>
              <w:rPr>
                <w:rFonts w:hAnsi="Times New Roman" w:cs="Times New Roma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324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 w:firstLine="0"/>
              <w:jc w:val="center"/>
              <w:textAlignment w:val="auto"/>
              <w:rPr>
                <w:rFonts w:hAnsi="Times New Roman" w:cs="Times New Roma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未经复议直接起诉</w:t>
            </w:r>
          </w:p>
        </w:tc>
        <w:tc>
          <w:tcPr>
            <w:tcW w:w="325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 w:firstLine="0"/>
              <w:jc w:val="center"/>
              <w:textAlignment w:val="auto"/>
              <w:rPr>
                <w:rFonts w:hAnsi="Times New Roman" w:cs="Times New Roma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textAlignment w:val="auto"/>
              <w:rPr>
                <w:rFonts w:hint="eastAsia" w:ascii="宋体" w:hAnsi="Times New Roman" w:cs="Times New Roman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textAlignment w:val="auto"/>
              <w:rPr>
                <w:rFonts w:hint="eastAsia" w:ascii="宋体" w:hAnsi="Times New Roman" w:cs="Times New Roman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textAlignment w:val="auto"/>
              <w:rPr>
                <w:rFonts w:hint="eastAsia" w:ascii="宋体" w:hAnsi="Times New Roman" w:cs="Times New Roman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textAlignment w:val="auto"/>
              <w:rPr>
                <w:rFonts w:hint="eastAsia" w:ascii="宋体" w:hAnsi="Times New Roman" w:cs="Times New Roman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textAlignment w:val="auto"/>
              <w:rPr>
                <w:rFonts w:hint="eastAsia" w:ascii="宋体" w:hAnsi="Times New Roman" w:cs="Times New Roman"/>
                <w:sz w:val="24"/>
                <w:szCs w:val="24"/>
              </w:rPr>
            </w:pPr>
          </w:p>
        </w:tc>
        <w:tc>
          <w:tcPr>
            <w:tcW w:w="649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 w:firstLine="0"/>
              <w:jc w:val="center"/>
              <w:textAlignment w:val="auto"/>
              <w:rPr>
                <w:rFonts w:hAnsi="Times New Roman" w:cs="Times New Roma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649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 w:firstLine="0"/>
              <w:jc w:val="center"/>
              <w:textAlignment w:val="auto"/>
              <w:rPr>
                <w:rFonts w:hAnsi="Times New Roman" w:cs="Times New Roma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 w:firstLine="0"/>
              <w:jc w:val="center"/>
              <w:textAlignment w:val="auto"/>
              <w:rPr>
                <w:rFonts w:hAnsi="Times New Roman" w:cs="Times New Roma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 w:firstLine="0"/>
              <w:jc w:val="center"/>
              <w:textAlignment w:val="auto"/>
              <w:rPr>
                <w:rFonts w:hAnsi="Times New Roman" w:cs="Times New Roma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 w:firstLine="0"/>
              <w:jc w:val="center"/>
              <w:textAlignment w:val="auto"/>
              <w:rPr>
                <w:rFonts w:hAnsi="Times New Roman" w:cs="Times New Roma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 w:firstLine="0"/>
              <w:jc w:val="center"/>
              <w:textAlignment w:val="auto"/>
              <w:rPr>
                <w:rFonts w:hAnsi="Times New Roman" w:cs="Times New Roma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 w:firstLine="0"/>
              <w:jc w:val="center"/>
              <w:textAlignment w:val="auto"/>
              <w:rPr>
                <w:rFonts w:hAnsi="Times New Roman" w:cs="Times New Roma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 w:firstLine="0"/>
              <w:jc w:val="center"/>
              <w:textAlignment w:val="auto"/>
              <w:rPr>
                <w:rFonts w:hAnsi="Times New Roman" w:cs="Times New Roma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 w:firstLine="0"/>
              <w:jc w:val="center"/>
              <w:textAlignment w:val="auto"/>
              <w:rPr>
                <w:rFonts w:hAnsi="Times New Roman" w:cs="Times New Roma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 w:firstLine="0"/>
              <w:jc w:val="center"/>
              <w:textAlignment w:val="auto"/>
              <w:rPr>
                <w:rFonts w:hAnsi="Times New Roman" w:cs="Times New Roma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</w:trPr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/>
              <w:jc w:val="center"/>
              <w:textAlignment w:val="auto"/>
              <w:rPr>
                <w:rFonts w:hAnsi="Times New Roman" w:cs="Times New Roma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/>
              <w:jc w:val="center"/>
              <w:textAlignment w:val="auto"/>
              <w:rPr>
                <w:rFonts w:hAnsi="Times New Roman" w:cs="Times New Roma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/>
              <w:jc w:val="center"/>
              <w:textAlignment w:val="auto"/>
              <w:rPr>
                <w:rFonts w:hAnsi="Times New Roman" w:cs="Times New Roma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/>
              <w:jc w:val="center"/>
              <w:textAlignment w:val="auto"/>
              <w:rPr>
                <w:rFonts w:hAnsi="Times New Roman" w:cs="Times New Roma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/>
              <w:jc w:val="center"/>
              <w:textAlignment w:val="auto"/>
              <w:rPr>
                <w:rFonts w:hAnsi="Times New Roman" w:cs="Times New Roma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/>
              <w:jc w:val="center"/>
              <w:textAlignment w:val="auto"/>
              <w:rPr>
                <w:rFonts w:hAnsi="Times New Roman" w:cs="Times New Roma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/>
              <w:jc w:val="center"/>
              <w:textAlignment w:val="auto"/>
              <w:rPr>
                <w:rFonts w:hAnsi="Times New Roman" w:cs="Times New Roma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/>
              <w:jc w:val="center"/>
              <w:textAlignment w:val="auto"/>
              <w:rPr>
                <w:rFonts w:hAnsi="Times New Roman" w:cs="Times New Roma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/>
              <w:jc w:val="center"/>
              <w:textAlignment w:val="auto"/>
              <w:rPr>
                <w:rFonts w:hAnsi="Times New Roman" w:cs="Times New Roma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</w:tbl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五、</w:t>
      </w:r>
      <w:r>
        <w:rPr>
          <w:rFonts w:hint="eastAsia" w:ascii="黑体" w:hAnsi="黑体" w:eastAsia="黑体" w:cs="黑体"/>
          <w:lang w:eastAsia="zh-CN"/>
        </w:rPr>
        <w:t>存在的主要问题及改进情况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2025年我局政府信息公开工作取得了一定成效，但与人民群众期待相比，仍有一定的差距：公开的广度和深度有待拓展，解读方式需进一步丰富。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2026年，我局将进一步加大政务公开工作力度，聚焦问题、精准发力，不断提升我局政府信息公开工作质量和水平。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lang w:eastAsia="zh-CN"/>
        </w:rPr>
      </w:pPr>
      <w:r>
        <w:rPr>
          <w:rFonts w:hint="eastAsia" w:ascii="黑体" w:hAnsi="黑体" w:eastAsia="黑体" w:cs="黑体"/>
          <w:lang w:val="en-US" w:eastAsia="zh-CN"/>
        </w:rPr>
        <w:t>六、</w:t>
      </w:r>
      <w:r>
        <w:rPr>
          <w:rFonts w:hint="eastAsia" w:ascii="黑体" w:hAnsi="黑体" w:eastAsia="黑体" w:cs="黑体"/>
          <w:lang w:eastAsia="zh-CN"/>
        </w:rPr>
        <w:t>其他需要报告的事项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hAnsi="Times New Roman" w:cs="Times New Roman"/>
          <w:lang w:val="en-US" w:eastAsia="zh-CN"/>
        </w:rPr>
      </w:pPr>
      <w:r>
        <w:rPr>
          <w:rFonts w:hint="eastAsia" w:hAnsi="Times New Roman" w:cs="Times New Roman"/>
          <w:lang w:val="en-US" w:eastAsia="zh-CN"/>
        </w:rPr>
        <w:t>认真贯彻执行国务院办公厅《政府信息公开信息处理费管理办法》和《关于政府信息公开处理费管理有关事项的通知》。202</w:t>
      </w:r>
      <w:r>
        <w:rPr>
          <w:rFonts w:hint="eastAsia" w:cs="Times New Roman"/>
          <w:lang w:val="en-US" w:eastAsia="zh-CN"/>
        </w:rPr>
        <w:t>5</w:t>
      </w:r>
      <w:r>
        <w:rPr>
          <w:rFonts w:hint="eastAsia" w:hAnsi="Times New Roman" w:cs="Times New Roman"/>
          <w:lang w:val="en-US" w:eastAsia="zh-CN"/>
        </w:rPr>
        <w:t>年我局未收取信息处理费。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hAnsi="Times New Roman" w:cs="Times New Roman"/>
          <w:lang w:val="en-US" w:eastAsia="zh-CN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lang w:eastAsia="zh-CN"/>
        </w:rPr>
      </w:pPr>
      <w:r>
        <w:rPr>
          <w:rFonts w:hint="eastAsia"/>
          <w:lang w:val="en-US" w:eastAsia="zh-CN"/>
        </w:rPr>
        <w:t xml:space="preserve">                      </w:t>
      </w:r>
      <w:r>
        <w:rPr>
          <w:rFonts w:hint="eastAsia"/>
          <w:lang w:eastAsia="zh-CN"/>
        </w:rPr>
        <w:t>保定市徐水区文化广电和旅游局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/>
          <w:lang w:val="en-US" w:eastAsia="zh-CN"/>
        </w:rPr>
      </w:pPr>
      <w:r>
        <w:rPr>
          <w:rFonts w:hint="eastAsia"/>
          <w:lang w:eastAsia="zh-CN"/>
        </w:rPr>
        <w:t>202</w:t>
      </w:r>
      <w:r>
        <w:rPr>
          <w:rFonts w:hint="eastAsia"/>
          <w:lang w:val="en-US" w:eastAsia="zh-CN"/>
        </w:rPr>
        <w:t>6</w:t>
      </w:r>
      <w:r>
        <w:rPr>
          <w:rFonts w:hint="eastAsia"/>
          <w:lang w:eastAsia="zh-CN"/>
        </w:rPr>
        <w:t>年1月</w:t>
      </w:r>
      <w:r>
        <w:rPr>
          <w:rFonts w:hint="eastAsia"/>
          <w:lang w:val="en-US" w:eastAsia="zh-CN"/>
        </w:rPr>
        <w:t>15</w:t>
      </w:r>
      <w:r>
        <w:rPr>
          <w:rFonts w:hint="eastAsia"/>
          <w:lang w:eastAsia="zh-CN"/>
        </w:rPr>
        <w:t>日</w:t>
      </w:r>
      <w:r>
        <w:rPr>
          <w:rFonts w:hint="eastAsia"/>
          <w:lang w:val="en-US" w:eastAsia="zh-CN"/>
        </w:rPr>
        <w:t xml:space="preserve">        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BE5A341"/>
    <w:multiLevelType w:val="singleLevel"/>
    <w:tmpl w:val="CBE5A341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F63396"/>
    <w:rsid w:val="08C05ED4"/>
    <w:rsid w:val="36B4393A"/>
    <w:rsid w:val="3E0E49AB"/>
    <w:rsid w:val="4AF63396"/>
    <w:rsid w:val="576442D1"/>
    <w:rsid w:val="581305AC"/>
    <w:rsid w:val="6ACC4A13"/>
    <w:rsid w:val="799D3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Lines="0" w:beforeAutospacing="1" w:afterLines="0" w:afterAutospacing="1"/>
      <w:jc w:val="left"/>
    </w:pPr>
    <w:rPr>
      <w:rFonts w:ascii="宋体" w:hAnsi="宋体" w:eastAsia="宋体" w:cs="宋体"/>
      <w:color w:val="000000"/>
      <w:kern w:val="0"/>
      <w:sz w:val="24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333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2025-01-14T02:00:00Z</dcterms:created>
  <dc:creator>Administrator</dc:creator>
  <cp:lastModifiedBy>Administrator</cp:lastModifiedBy>
  <dcterms:modified xsi:type="dcterms:W3CDTF">2026-01-16T01:37:31Z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  <property fmtid="{D5CDD505-2E9C-101B-9397-08002B2CF9AE}" pid="3" name="ICV">
    <vt:lpwstr>E462B347AAF449318E7EAD3EF0E77AEC_11</vt:lpwstr>
  </property>
  <property fmtid="{D5CDD505-2E9C-101B-9397-08002B2CF9AE}" pid="4" name="KSOTemplateDocerSaveRecord">
    <vt:lpwstr>eyJoZGlkIjoiMDEyZDhhMzI5MzE3ZWQ2MGI3ZTNiNDNhMmYxMDVlZTkifQ==</vt:lpwstr>
  </property>
</Properties>
</file>