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</w:pPr>
            <w:bookmarkStart w:id="0" w:name="OLE_LINK3"/>
            <w:bookmarkStart w:id="1" w:name="OLE_LINK4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保定市徐水区人力资源和社会保障局202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年政府信息公开工作</w:t>
            </w:r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年度报告</w:t>
            </w:r>
          </w:p>
          <w:bookmarkEnd w:id="1"/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30" w:lineRule="atLeast"/>
              <w:jc w:val="center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bookmarkStart w:id="2" w:name="OLE_LINK5"/>
            <w:r>
              <w:rPr>
                <w:rFonts w:hint="eastAsia"/>
              </w:rPr>
              <w:t>根据《中华人民共和国政府信息公开条例》《河北省实施〈中华人民共和国政府信息公开条例〉办法》及保定市徐水区政府关于政务公开工作的统一部署，现将我局202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年1月1日至12月31日政府信息公开工作情况报告如下：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一、总体情况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，我局以习近平新时代中国特色社会主义思想为指导，紧扣全区“优化营商环境、保障民生权益”核心任务，将政府信息公开作为提升人社服务效能的重要抓手，严格遵循“公开为常态、不公开为例外”原则，围绕就业创业、社会保障、劳动关系等核心职能，持续完善公开机制、丰富公开内容、优化公开渠道，切实保障群众与企业的知情权、参与权和监督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sz w:val="21"/>
                <w:szCs w:val="21"/>
              </w:rPr>
            </w:pPr>
            <w:bookmarkStart w:id="3" w:name="OLE_LINK1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二、主动公开政府信息情况</w:t>
            </w:r>
          </w:p>
          <w:tbl>
            <w:tblPr>
              <w:tblStyle w:val="3"/>
              <w:tblW w:w="97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35"/>
              <w:gridCol w:w="2435"/>
              <w:gridCol w:w="2435"/>
              <w:gridCol w:w="24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第二十条第（一）项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本年制发件数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本年废止件数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现行有效件数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规章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行政规范性文件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第二十条第（五）项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9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行政许可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第二十条第（六）项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行政处罚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行政强制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第二十条第（八）项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本年收费金额（单位：万元）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行政事业性收费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三、收到和处理政府信息公开申请情况</w:t>
            </w:r>
          </w:p>
          <w:tbl>
            <w:tblPr>
              <w:tblStyle w:val="3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9"/>
              <w:gridCol w:w="943"/>
              <w:gridCol w:w="3219"/>
              <w:gridCol w:w="688"/>
              <w:gridCol w:w="688"/>
              <w:gridCol w:w="688"/>
              <w:gridCol w:w="688"/>
              <w:gridCol w:w="688"/>
              <w:gridCol w:w="688"/>
              <w:gridCol w:w="689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17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申请人情况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4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商业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企业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科研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689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bookmarkStart w:id="4" w:name="OLE_LINK2" w:colFirst="1" w:colLast="7"/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210"/>
                    <w:jc w:val="both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bookmarkEnd w:id="4"/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restart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9" w:hRule="atLeast"/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四、政府信息公开行政复议、行政诉讼情况</w:t>
            </w:r>
          </w:p>
          <w:tbl>
            <w:tblPr>
              <w:tblStyle w:val="3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0"/>
              <w:gridCol w:w="650"/>
              <w:gridCol w:w="650"/>
              <w:gridCol w:w="650"/>
              <w:gridCol w:w="650"/>
              <w:gridCol w:w="649"/>
              <w:gridCol w:w="649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0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行政复议</w:t>
                  </w:r>
                </w:p>
              </w:tc>
              <w:tc>
                <w:tcPr>
                  <w:tcW w:w="6498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行政诉讼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结果维持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3248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未经复议直接起诉</w:t>
                  </w:r>
                </w:p>
              </w:tc>
              <w:tc>
                <w:tcPr>
                  <w:tcW w:w="325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复议后起诉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2" w:hRule="atLeast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21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bookmarkEnd w:id="3"/>
          </w:tbl>
          <w:p>
            <w:pPr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五、监督保障情况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责任落实：成立局政务公开工作领导小组，明确办公室为牵头部门，各业务</w:t>
            </w:r>
            <w:r>
              <w:rPr>
                <w:rFonts w:hint="eastAsia"/>
                <w:lang w:val="en-US" w:eastAsia="zh-CN"/>
              </w:rPr>
              <w:t>股</w:t>
            </w:r>
            <w:bookmarkStart w:id="5" w:name="_GoBack"/>
            <w:bookmarkEnd w:id="5"/>
            <w:r>
              <w:rPr>
                <w:rFonts w:hint="eastAsia"/>
              </w:rPr>
              <w:t>室指定专人负责信息公开，将公开任务纳入</w:t>
            </w:r>
            <w:r>
              <w:rPr>
                <w:rFonts w:hint="eastAsia"/>
                <w:lang w:val="en-US" w:eastAsia="zh-CN"/>
              </w:rPr>
              <w:t>股</w:t>
            </w:r>
            <w:r>
              <w:rPr>
                <w:rFonts w:hint="eastAsia"/>
              </w:rPr>
              <w:t>室年度考核，确保责任到人。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能力提升：组织全局政务公开工作人员参加政府信息公开培训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次，覆盖人员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人次，重点学习申请办理规范、保密审查要点，提升工作人员业务能力。</w:t>
            </w:r>
          </w:p>
          <w:p>
            <w:pPr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六、存在的主要问题及改进情况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（一）存在问题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信息公开主动性有待加强：部分民生政策（如新业态从业者社保参保指南）公开存在滞后，未能第一时间匹配群众需求。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公开内容质量需提升：政策解读多以文字形式为主，缺乏漫画、短视频等通俗易懂的形式，群众理解难度较大。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（二）改进措施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强化主动公开意识：建立“政策出台-公开同步”机制，要求各</w:t>
            </w:r>
            <w:r>
              <w:rPr>
                <w:rFonts w:hint="eastAsia"/>
                <w:lang w:val="en-US" w:eastAsia="zh-CN"/>
              </w:rPr>
              <w:t>股</w:t>
            </w:r>
            <w:r>
              <w:rPr>
                <w:rFonts w:hint="eastAsia"/>
              </w:rPr>
              <w:t>室在人社政策印发后3个工作日内完成公开，重点跟踪新业态保障、灵活就业社保等热点领域信息。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丰富解读形式：202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年计划制作社保缴费、就业补贴等主题的短视频解读</w:t>
            </w:r>
            <w:r>
              <w:rPr>
                <w:rFonts w:hint="eastAsia"/>
                <w:lang w:val="en-US" w:eastAsia="zh-CN"/>
              </w:rPr>
              <w:t>5条</w:t>
            </w:r>
            <w:r>
              <w:rPr>
                <w:rFonts w:hint="eastAsia"/>
              </w:rPr>
              <w:t>，通过政务新媒体推送，降低群众理解门槛。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优化平台功能：进一步完善政府网站人社专栏“互动咨询”模块，及时回复群众信息查询类提问，实现“公开+服务”融合。</w:t>
            </w:r>
          </w:p>
          <w:p>
            <w:pPr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七、其他需要报告的事项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年，我局严格贯彻执行国务院办公厅《政府信息公开信息处理费管理办法》及河北省相关通知要求，全年未向申请人收取任何政府信息公开信息处理费。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6B19"/>
    <w:rsid w:val="133F4478"/>
    <w:rsid w:val="333077D1"/>
    <w:rsid w:val="5F0A5CF1"/>
    <w:rsid w:val="6F840CA7"/>
    <w:rsid w:val="7AC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2025-02-12T07:43:00Z</dcterms:created>
  <dc:creator>Administrator</dc:creator>
  <cp:lastModifiedBy>151****2948</cp:lastModifiedBy>
  <dcterms:modified xsi:type="dcterms:W3CDTF">2026-01-19T03:25:41Z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eyJoZGlkIjoiOTk5YmUxNTgzM2YwZmFjYTJmZjM3MzExMTM2NTgzMTAiLCJ1c2VySWQiOiIyODYzNTcwNDcifQ==</vt:lpwstr>
  </property>
  <property fmtid="{D5CDD505-2E9C-101B-9397-08002B2CF9AE}" pid="4" name="ICV">
    <vt:lpwstr>44B0EE88CCF248DFB960C54983243EA3_12</vt:lpwstr>
  </property>
</Properties>
</file>