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33EBC">
      <w:pPr>
        <w:spacing w:line="360" w:lineRule="auto"/>
        <w:jc w:val="center"/>
        <w:rPr>
          <w:rFonts w:ascii="宋体" w:hAnsi="宋体" w:eastAsia="宋体"/>
          <w:b/>
          <w:sz w:val="44"/>
          <w:szCs w:val="44"/>
        </w:rPr>
      </w:pPr>
      <w:r>
        <w:rPr>
          <w:rFonts w:hint="eastAsia" w:ascii="宋体" w:hAnsi="宋体" w:eastAsia="宋体"/>
          <w:b/>
          <w:sz w:val="44"/>
          <w:szCs w:val="44"/>
        </w:rPr>
        <w:t>保定市徐水区交通运输局</w:t>
      </w:r>
    </w:p>
    <w:p w14:paraId="60527543">
      <w:pPr>
        <w:spacing w:line="360" w:lineRule="auto"/>
        <w:jc w:val="center"/>
        <w:rPr>
          <w:rFonts w:ascii="宋体" w:hAnsi="宋体" w:eastAsia="宋体"/>
          <w:b/>
          <w:sz w:val="44"/>
          <w:szCs w:val="44"/>
        </w:rPr>
      </w:pPr>
      <w:r>
        <w:rPr>
          <w:rFonts w:ascii="宋体" w:hAnsi="宋体" w:eastAsia="宋体"/>
          <w:b/>
          <w:sz w:val="44"/>
          <w:szCs w:val="44"/>
        </w:rPr>
        <w:t>2022年单位预算公开说明</w:t>
      </w:r>
    </w:p>
    <w:p w14:paraId="086EBCDA">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602139E5">
      <w:pPr>
        <w:spacing w:line="500" w:lineRule="exact"/>
        <w:ind w:firstLine="560"/>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按照《中华人民共和国预算法》、《地方预决算公开操作规程》等文件规定，现将我单位预算信息公开如下：</w:t>
      </w:r>
    </w:p>
    <w:p w14:paraId="4C102F1E">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:单位职责及机构设置情况</w:t>
      </w:r>
    </w:p>
    <w:p w14:paraId="251019FA">
      <w:pPr>
        <w:spacing w:line="360" w:lineRule="auto"/>
        <w:ind w:firstLine="640" w:firstLineChars="200"/>
        <w:rPr>
          <w:rFonts w:ascii="仿宋" w:hAnsi="仿宋" w:eastAsia="仿宋"/>
          <w:b/>
          <w:sz w:val="32"/>
          <w:szCs w:val="32"/>
        </w:rPr>
      </w:pPr>
      <w:r>
        <w:rPr>
          <w:rFonts w:hint="eastAsia" w:ascii="仿宋" w:hAnsi="仿宋" w:eastAsia="仿宋"/>
          <w:b/>
          <w:sz w:val="32"/>
          <w:szCs w:val="32"/>
        </w:rPr>
        <w:t>一、单位职责</w:t>
      </w:r>
    </w:p>
    <w:p w14:paraId="23916297">
      <w:pPr>
        <w:spacing w:line="500" w:lineRule="exact"/>
        <w:ind w:firstLine="560"/>
      </w:pPr>
      <w:r>
        <w:rPr>
          <w:rFonts w:ascii="Times New Roman" w:hAnsi="Times New Roman" w:eastAsia="方正仿宋_GBK" w:cs="Times New Roman"/>
          <w:color w:val="000000"/>
          <w:sz w:val="28"/>
        </w:rPr>
        <w:t>根据《保定市徐水区交通运输局职能配置、内设机构和人员编制规定》，保定市徐水区交通运输局的主要职责是：</w:t>
      </w:r>
    </w:p>
    <w:p w14:paraId="33E0B42C">
      <w:pPr>
        <w:pStyle w:val="10"/>
      </w:pPr>
      <w:r>
        <w:t>根据《保定市徐水区交通运输局职能配置、内设机构和人员编制规定》， 保定市徐水区交通运输局的主要职责是：</w:t>
      </w:r>
    </w:p>
    <w:p w14:paraId="53F5C8F5">
      <w:pPr>
        <w:pStyle w:val="10"/>
      </w:pPr>
      <w:r>
        <w:t>根据保定市徐水县人民政府办公室《关于印发</w:t>
      </w:r>
      <w:r>
        <w:rPr>
          <w:rFonts w:hint="eastAsia"/>
        </w:rPr>
        <w:t>〈</w:t>
      </w:r>
      <w:r>
        <w:t>徐水县交通运输局主要职责、内设机构和人员编制规定</w:t>
      </w:r>
      <w:r>
        <w:rPr>
          <w:rFonts w:hint="eastAsia"/>
        </w:rPr>
        <w:t>〉</w:t>
      </w:r>
      <w:r>
        <w:t>的通知》（徐政办[2010]71号），我单位职责如下：</w:t>
      </w:r>
    </w:p>
    <w:p w14:paraId="668FB37D">
      <w:pPr>
        <w:pStyle w:val="10"/>
      </w:pPr>
      <w:r>
        <w:t>（一）根据区总体部署，拟定全区公路、水路交通发展规划、中长期规划和年度计划。</w:t>
      </w:r>
      <w:bookmarkStart w:id="1" w:name="_GoBack"/>
      <w:bookmarkEnd w:id="1"/>
    </w:p>
    <w:p w14:paraId="07F6E95F">
      <w:pPr>
        <w:pStyle w:val="10"/>
      </w:pPr>
      <w:r>
        <w:t>（二）负责全区公路、水路的运输行业管理和运输组织管理；负责全区营业性客货运输停车站（场）的行业管理；负责全区出租汽车管理。</w:t>
      </w:r>
    </w:p>
    <w:p w14:paraId="1CB4203A">
      <w:pPr>
        <w:pStyle w:val="10"/>
      </w:pPr>
      <w:r>
        <w:t>（三）会同有关单位培育和管理交通运输市场和交通基础设施建设，引导交通运输业优化结构，协调发展。</w:t>
      </w:r>
    </w:p>
    <w:p w14:paraId="0190FA4A">
      <w:pPr>
        <w:pStyle w:val="10"/>
      </w:pPr>
      <w:r>
        <w:t>（四）组织县乡公路及其设施的建设、养护、管理和规费稽征；负责全区道路运输市场、汽车维修市场、车辆技术检测、汽车驾驶学校和驾驶员工作的行业管理；指导和管理城乡客、货运输的衔接协调工作。</w:t>
      </w:r>
    </w:p>
    <w:p w14:paraId="78310F34">
      <w:pPr>
        <w:pStyle w:val="10"/>
      </w:pPr>
      <w:r>
        <w:t>（五）负责全区车辆规费稽征；负责水上港航监督、船舶检验维修、救助打捞、通信导航、船舶代理、航道和港航设施建设使用岸线的行业管理。</w:t>
      </w:r>
    </w:p>
    <w:p w14:paraId="63098CA7">
      <w:pPr>
        <w:pStyle w:val="10"/>
      </w:pPr>
      <w:r>
        <w:t>（六）指导全区交通行业体制改革和企业管理；负责局属单位国有资产管理；组织全区交通系统内部审计工作。</w:t>
      </w:r>
    </w:p>
    <w:p w14:paraId="2E4E905E">
      <w:pPr>
        <w:pStyle w:val="10"/>
      </w:pPr>
      <w:r>
        <w:t>（七）制定交通科技政策、技术标准和规范；组织科技开发，推动行业技术进步；负责交通工程质量监督；按照有关规定组织交通工业产品的认证和质量监督。指导全区交通行业人才开发、预测、教育、培训、交流和使用工作。</w:t>
      </w:r>
    </w:p>
    <w:p w14:paraId="0913E599">
      <w:pPr>
        <w:pStyle w:val="10"/>
      </w:pPr>
      <w:r>
        <w:t>（八）负责局机关并指导局属单位人事、劳动、机构编制管理，人力资源开发工作；负责直属单位领导班子建设；受有关单位委托，负责全区机关、企事业单位汽车专业和与交通相关的专业工程工人技术等级培训、考核工作；指导全区交通行业的精神文明建设和职工队伍思想建设。交通系统内的宣传工作。</w:t>
      </w:r>
    </w:p>
    <w:p w14:paraId="7FCDCAEA">
      <w:pPr>
        <w:pStyle w:val="10"/>
      </w:pPr>
      <w:r>
        <w:t>（九）指导全区交通行业涉外工作，指导利用外资。</w:t>
      </w:r>
    </w:p>
    <w:p w14:paraId="221D8277">
      <w:pPr>
        <w:pStyle w:val="10"/>
      </w:pPr>
      <w:r>
        <w:rPr>
          <w:rFonts w:hint="eastAsia"/>
        </w:rPr>
        <w:t>（十）承办区政府交办的其他事项。</w:t>
      </w:r>
    </w:p>
    <w:p w14:paraId="438D8F32">
      <w:pPr>
        <w:spacing w:line="360" w:lineRule="auto"/>
        <w:ind w:firstLine="640"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9"/>
        <w:gridCol w:w="3119"/>
        <w:gridCol w:w="1562"/>
        <w:gridCol w:w="1418"/>
        <w:gridCol w:w="3260"/>
      </w:tblGrid>
      <w:tr w14:paraId="0D6E3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tcBorders>
            <w:shd w:val="clear" w:color="auto" w:fill="auto"/>
            <w:vAlign w:val="center"/>
          </w:tcPr>
          <w:p w14:paraId="6A4D9B4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3119" w:type="dxa"/>
            <w:tcBorders>
              <w:bottom w:val="single" w:color="000000" w:sz="6" w:space="0"/>
            </w:tcBorders>
            <w:vAlign w:val="center"/>
          </w:tcPr>
          <w:p w14:paraId="3BF387F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562" w:type="dxa"/>
            <w:tcBorders>
              <w:bottom w:val="single" w:color="000000" w:sz="6" w:space="0"/>
            </w:tcBorders>
            <w:vAlign w:val="center"/>
          </w:tcPr>
          <w:p w14:paraId="58E61D2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1710C54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32252A7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2A1D8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tcBorders>
            <w:shd w:val="clear" w:color="auto" w:fill="auto"/>
            <w:vAlign w:val="center"/>
          </w:tcPr>
          <w:p w14:paraId="199592D1">
            <w:pPr>
              <w:jc w:val="center"/>
              <w:rPr>
                <w:rFonts w:ascii="仿宋" w:hAnsi="仿宋" w:eastAsia="仿宋"/>
                <w:bCs/>
                <w:sz w:val="24"/>
                <w:szCs w:val="24"/>
              </w:rPr>
            </w:pPr>
            <w:r>
              <w:rPr>
                <w:rFonts w:hint="eastAsia" w:ascii="仿宋" w:hAnsi="仿宋" w:eastAsia="仿宋"/>
                <w:bCs/>
                <w:sz w:val="24"/>
                <w:szCs w:val="24"/>
              </w:rPr>
              <w:t>1</w:t>
            </w:r>
          </w:p>
        </w:tc>
        <w:tc>
          <w:tcPr>
            <w:tcW w:w="3119" w:type="dxa"/>
            <w:tcBorders>
              <w:bottom w:val="single" w:color="auto" w:sz="4" w:space="0"/>
            </w:tcBorders>
            <w:vAlign w:val="center"/>
          </w:tcPr>
          <w:p w14:paraId="139540C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保定市徐水区交通运输局</w:t>
            </w:r>
          </w:p>
        </w:tc>
        <w:tc>
          <w:tcPr>
            <w:tcW w:w="1562" w:type="dxa"/>
            <w:vAlign w:val="center"/>
          </w:tcPr>
          <w:p w14:paraId="5EFD1C1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行政</w:t>
            </w:r>
          </w:p>
        </w:tc>
        <w:tc>
          <w:tcPr>
            <w:tcW w:w="1418" w:type="dxa"/>
            <w:vAlign w:val="center"/>
          </w:tcPr>
          <w:p w14:paraId="5EC18A94">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正科级</w:t>
            </w:r>
          </w:p>
        </w:tc>
        <w:tc>
          <w:tcPr>
            <w:tcW w:w="3260" w:type="dxa"/>
            <w:vAlign w:val="center"/>
          </w:tcPr>
          <w:p w14:paraId="229C129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3AA0E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tcBorders>
            <w:shd w:val="clear" w:color="auto" w:fill="auto"/>
            <w:vAlign w:val="center"/>
          </w:tcPr>
          <w:p w14:paraId="5056D859">
            <w:pPr>
              <w:jc w:val="center"/>
              <w:rPr>
                <w:rFonts w:ascii="仿宋" w:hAnsi="仿宋" w:eastAsia="仿宋"/>
                <w:bCs/>
                <w:sz w:val="24"/>
                <w:szCs w:val="24"/>
              </w:rPr>
            </w:pPr>
            <w:r>
              <w:rPr>
                <w:rFonts w:hint="eastAsia" w:ascii="仿宋" w:hAnsi="仿宋" w:eastAsia="仿宋"/>
                <w:bCs/>
                <w:sz w:val="24"/>
                <w:szCs w:val="24"/>
              </w:rPr>
              <w:t>2</w:t>
            </w:r>
          </w:p>
        </w:tc>
        <w:tc>
          <w:tcPr>
            <w:tcW w:w="3119" w:type="dxa"/>
            <w:tcBorders>
              <w:top w:val="single" w:color="auto" w:sz="4" w:space="0"/>
              <w:bottom w:val="single" w:color="auto" w:sz="4" w:space="0"/>
            </w:tcBorders>
            <w:vAlign w:val="center"/>
          </w:tcPr>
          <w:p w14:paraId="41D31C5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保定市徐水区交通运输局道路运输管理站</w:t>
            </w:r>
          </w:p>
        </w:tc>
        <w:tc>
          <w:tcPr>
            <w:tcW w:w="1562" w:type="dxa"/>
            <w:vAlign w:val="center"/>
          </w:tcPr>
          <w:p w14:paraId="196F131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18" w:type="dxa"/>
            <w:vAlign w:val="center"/>
          </w:tcPr>
          <w:p w14:paraId="531F7A6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3260" w:type="dxa"/>
            <w:vAlign w:val="center"/>
          </w:tcPr>
          <w:p w14:paraId="6DEFBEEF">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44996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tcBorders>
            <w:shd w:val="clear" w:color="auto" w:fill="auto"/>
            <w:vAlign w:val="center"/>
          </w:tcPr>
          <w:p w14:paraId="55084CDA">
            <w:pPr>
              <w:jc w:val="center"/>
              <w:rPr>
                <w:rFonts w:ascii="仿宋" w:hAnsi="仿宋" w:eastAsia="仿宋"/>
                <w:bCs/>
                <w:sz w:val="24"/>
                <w:szCs w:val="24"/>
              </w:rPr>
            </w:pPr>
            <w:r>
              <w:rPr>
                <w:rFonts w:hint="eastAsia" w:ascii="仿宋" w:hAnsi="仿宋" w:eastAsia="仿宋"/>
                <w:bCs/>
                <w:sz w:val="24"/>
                <w:szCs w:val="24"/>
              </w:rPr>
              <w:t>3</w:t>
            </w:r>
          </w:p>
        </w:tc>
        <w:tc>
          <w:tcPr>
            <w:tcW w:w="3119" w:type="dxa"/>
            <w:tcBorders>
              <w:top w:val="single" w:color="auto" w:sz="4" w:space="0"/>
              <w:bottom w:val="single" w:color="auto" w:sz="4" w:space="0"/>
            </w:tcBorders>
            <w:vAlign w:val="center"/>
          </w:tcPr>
          <w:p w14:paraId="2027ED99">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保定市徐水区道桥管理中心</w:t>
            </w:r>
          </w:p>
        </w:tc>
        <w:tc>
          <w:tcPr>
            <w:tcW w:w="1562" w:type="dxa"/>
            <w:vAlign w:val="center"/>
          </w:tcPr>
          <w:p w14:paraId="38766A90">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18" w:type="dxa"/>
            <w:vAlign w:val="center"/>
          </w:tcPr>
          <w:p w14:paraId="1C4714B0">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3260" w:type="dxa"/>
            <w:vAlign w:val="center"/>
          </w:tcPr>
          <w:p w14:paraId="6A1A77D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bl>
    <w:p w14:paraId="3A081432">
      <w:pPr>
        <w:spacing w:line="360" w:lineRule="auto"/>
        <w:rPr>
          <w:rFonts w:ascii="仿宋" w:hAnsi="仿宋" w:eastAsia="仿宋"/>
          <w:b/>
          <w:sz w:val="32"/>
          <w:szCs w:val="32"/>
        </w:rPr>
      </w:pPr>
    </w:p>
    <w:p w14:paraId="7FEA66CB">
      <w:pPr>
        <w:jc w:val="center"/>
        <w:outlineLvl w:val="0"/>
        <w:rPr>
          <w:rFonts w:ascii="方正小标宋_GBK" w:eastAsia="方正小标宋_GBK"/>
          <w:sz w:val="44"/>
        </w:rPr>
      </w:pPr>
      <w:r>
        <w:rPr>
          <w:rFonts w:hint="eastAsia" w:ascii="方正小标宋_GBK" w:eastAsia="方正小标宋_GBK"/>
          <w:sz w:val="44"/>
        </w:rPr>
        <w:t>第二部分：单位预算安排的总体情况</w:t>
      </w:r>
      <w:r>
        <w:rPr>
          <w:rFonts w:ascii="方正小标宋_GBK" w:eastAsia="方正小标宋_GBK"/>
          <w:sz w:val="44"/>
        </w:rPr>
        <w:t xml:space="preserve"> </w:t>
      </w:r>
    </w:p>
    <w:p w14:paraId="7BEA55FE">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按照预算管理有关规定，目前我区单位预算的编制实行综合预算制度，即全部收入和支出都反映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预算中。我单位及所属事业单位的收支包含在单位预算中。</w:t>
      </w:r>
    </w:p>
    <w:p w14:paraId="2D0CCE9C">
      <w:pPr>
        <w:spacing w:line="360" w:lineRule="auto"/>
        <w:ind w:firstLine="640" w:firstLineChars="200"/>
        <w:rPr>
          <w:rFonts w:ascii="仿宋" w:hAnsi="仿宋" w:eastAsia="仿宋"/>
          <w:b/>
          <w:sz w:val="32"/>
          <w:szCs w:val="32"/>
        </w:rPr>
      </w:pPr>
      <w:r>
        <w:rPr>
          <w:rFonts w:hint="eastAsia" w:ascii="仿宋" w:hAnsi="仿宋" w:eastAsia="仿宋"/>
          <w:b/>
          <w:sz w:val="32"/>
          <w:szCs w:val="32"/>
        </w:rPr>
        <w:t>一、收入说明</w:t>
      </w:r>
    </w:p>
    <w:p w14:paraId="404B0612">
      <w:pPr>
        <w:spacing w:line="360" w:lineRule="auto"/>
        <w:ind w:firstLine="640" w:firstLineChars="200"/>
        <w:rPr>
          <w:rFonts w:ascii="仿宋" w:hAnsi="仿宋" w:eastAsia="仿宋"/>
          <w:sz w:val="32"/>
          <w:szCs w:val="32"/>
        </w:rPr>
      </w:pPr>
      <w:r>
        <w:rPr>
          <w:rFonts w:ascii="仿宋" w:hAnsi="仿宋" w:eastAsia="仿宋"/>
          <w:sz w:val="32"/>
          <w:szCs w:val="32"/>
        </w:rPr>
        <w:t>2022年预算收入为</w:t>
      </w:r>
      <w:r>
        <w:rPr>
          <w:rFonts w:hint="eastAsia" w:ascii="仿宋" w:hAnsi="仿宋" w:eastAsia="仿宋"/>
          <w:sz w:val="32"/>
          <w:szCs w:val="32"/>
        </w:rPr>
        <w:t>2233.60</w:t>
      </w:r>
      <w:r>
        <w:rPr>
          <w:rFonts w:ascii="仿宋" w:hAnsi="仿宋" w:eastAsia="仿宋"/>
          <w:sz w:val="32"/>
          <w:szCs w:val="32"/>
        </w:rPr>
        <w:t>万元,其中：一般公共预算收入</w:t>
      </w:r>
      <w:r>
        <w:rPr>
          <w:rFonts w:hint="eastAsia" w:ascii="仿宋" w:hAnsi="仿宋" w:eastAsia="仿宋"/>
          <w:sz w:val="32"/>
          <w:szCs w:val="32"/>
        </w:rPr>
        <w:t>2233.60</w:t>
      </w:r>
      <w:r>
        <w:rPr>
          <w:rFonts w:ascii="仿宋" w:hAnsi="仿宋" w:eastAsia="仿宋"/>
          <w:sz w:val="32"/>
          <w:szCs w:val="32"/>
        </w:rPr>
        <w:t>万元，基金预算收入0万元，财政专户收入0万元，其他来源收入</w:t>
      </w:r>
      <w:r>
        <w:rPr>
          <w:rFonts w:hint="eastAsia" w:ascii="仿宋" w:hAnsi="仿宋" w:eastAsia="仿宋"/>
          <w:sz w:val="32"/>
          <w:szCs w:val="32"/>
        </w:rPr>
        <w:t>0</w:t>
      </w:r>
      <w:r>
        <w:rPr>
          <w:rFonts w:ascii="仿宋" w:hAnsi="仿宋" w:eastAsia="仿宋"/>
          <w:sz w:val="32"/>
          <w:szCs w:val="32"/>
        </w:rPr>
        <w:t>万元</w:t>
      </w:r>
      <w:r>
        <w:rPr>
          <w:rFonts w:hint="eastAsia" w:ascii="仿宋" w:hAnsi="仿宋" w:eastAsia="仿宋"/>
          <w:sz w:val="32"/>
          <w:szCs w:val="32"/>
        </w:rPr>
        <w:t>，上年结转</w:t>
      </w:r>
      <w:r>
        <w:rPr>
          <w:rFonts w:ascii="仿宋" w:hAnsi="仿宋" w:eastAsia="仿宋"/>
          <w:sz w:val="32"/>
          <w:szCs w:val="32"/>
        </w:rPr>
        <w:t>结余</w:t>
      </w:r>
      <w:r>
        <w:rPr>
          <w:rFonts w:hint="eastAsia" w:ascii="仿宋" w:hAnsi="仿宋" w:eastAsia="仿宋"/>
          <w:sz w:val="32"/>
          <w:szCs w:val="32"/>
        </w:rPr>
        <w:t>0万元</w:t>
      </w:r>
      <w:r>
        <w:rPr>
          <w:rFonts w:ascii="仿宋" w:hAnsi="仿宋" w:eastAsia="仿宋"/>
          <w:sz w:val="32"/>
          <w:szCs w:val="32"/>
        </w:rPr>
        <w:t>。</w:t>
      </w:r>
    </w:p>
    <w:p w14:paraId="49CDD463">
      <w:pPr>
        <w:spacing w:line="360" w:lineRule="auto"/>
        <w:ind w:firstLine="640" w:firstLineChars="200"/>
        <w:rPr>
          <w:rFonts w:ascii="仿宋" w:hAnsi="仿宋" w:eastAsia="仿宋"/>
          <w:b/>
          <w:sz w:val="32"/>
          <w:szCs w:val="32"/>
        </w:rPr>
      </w:pPr>
      <w:r>
        <w:rPr>
          <w:rFonts w:hint="eastAsia" w:ascii="仿宋" w:hAnsi="仿宋" w:eastAsia="仿宋"/>
          <w:b/>
          <w:sz w:val="32"/>
          <w:szCs w:val="32"/>
        </w:rPr>
        <w:t>二、支出说明</w:t>
      </w:r>
    </w:p>
    <w:p w14:paraId="1D4C0230">
      <w:pPr>
        <w:spacing w:line="360" w:lineRule="auto"/>
        <w:ind w:firstLine="640" w:firstLineChars="200"/>
        <w:rPr>
          <w:rFonts w:ascii="仿宋" w:hAnsi="仿宋" w:eastAsia="仿宋"/>
          <w:sz w:val="32"/>
          <w:szCs w:val="32"/>
        </w:rPr>
      </w:pPr>
      <w:r>
        <w:rPr>
          <w:rFonts w:ascii="仿宋" w:hAnsi="仿宋" w:eastAsia="仿宋"/>
          <w:sz w:val="32"/>
          <w:szCs w:val="32"/>
        </w:rPr>
        <w:t>2022年单位支出预算：</w:t>
      </w:r>
      <w:r>
        <w:rPr>
          <w:rFonts w:hint="eastAsia" w:ascii="仿宋" w:hAnsi="仿宋" w:eastAsia="仿宋"/>
          <w:sz w:val="32"/>
          <w:szCs w:val="32"/>
        </w:rPr>
        <w:t>2233.60</w:t>
      </w:r>
      <w:r>
        <w:rPr>
          <w:rFonts w:ascii="仿宋" w:hAnsi="仿宋" w:eastAsia="仿宋"/>
          <w:sz w:val="32"/>
          <w:szCs w:val="32"/>
        </w:rPr>
        <w:t>万元</w:t>
      </w:r>
    </w:p>
    <w:p w14:paraId="740E0E37">
      <w:pPr>
        <w:spacing w:line="360" w:lineRule="auto"/>
        <w:ind w:firstLine="640" w:firstLineChars="200"/>
        <w:rPr>
          <w:rFonts w:ascii="仿宋" w:hAnsi="仿宋" w:eastAsia="仿宋"/>
          <w:sz w:val="32"/>
          <w:szCs w:val="32"/>
        </w:rPr>
      </w:pPr>
      <w:r>
        <w:rPr>
          <w:rFonts w:hint="eastAsia" w:ascii="仿宋" w:hAnsi="仿宋" w:eastAsia="仿宋"/>
          <w:sz w:val="32"/>
          <w:szCs w:val="32"/>
        </w:rPr>
        <w:t>基本支2233.60万元</w:t>
      </w:r>
    </w:p>
    <w:p w14:paraId="42A824F6">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2158.97</w:t>
      </w:r>
      <w:r>
        <w:rPr>
          <w:rFonts w:ascii="仿宋" w:hAnsi="仿宋" w:eastAsia="仿宋"/>
          <w:sz w:val="32"/>
          <w:szCs w:val="32"/>
        </w:rPr>
        <w:t>万元</w:t>
      </w:r>
    </w:p>
    <w:p w14:paraId="28B97518">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74.63</w:t>
      </w:r>
      <w:r>
        <w:rPr>
          <w:rFonts w:ascii="仿宋" w:hAnsi="仿宋" w:eastAsia="仿宋"/>
          <w:sz w:val="32"/>
          <w:szCs w:val="32"/>
        </w:rPr>
        <w:t>万元</w:t>
      </w:r>
    </w:p>
    <w:p w14:paraId="45FFF347">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项目支出0</w:t>
      </w:r>
      <w:r>
        <w:rPr>
          <w:rFonts w:ascii="仿宋" w:hAnsi="仿宋" w:eastAsia="仿宋"/>
          <w:sz w:val="32"/>
          <w:szCs w:val="32"/>
        </w:rPr>
        <w:t>万元</w:t>
      </w:r>
    </w:p>
    <w:p w14:paraId="3333EC60">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0</w:t>
      </w:r>
      <w:r>
        <w:rPr>
          <w:rFonts w:ascii="仿宋" w:hAnsi="仿宋" w:eastAsia="仿宋"/>
          <w:sz w:val="32"/>
          <w:szCs w:val="32"/>
        </w:rPr>
        <w:t>万元</w:t>
      </w:r>
    </w:p>
    <w:p w14:paraId="255C605F">
      <w:pPr>
        <w:spacing w:line="360" w:lineRule="auto"/>
        <w:ind w:firstLine="640" w:firstLineChars="200"/>
        <w:rPr>
          <w:rFonts w:ascii="仿宋" w:hAnsi="仿宋" w:eastAsia="仿宋"/>
          <w:b/>
          <w:sz w:val="32"/>
          <w:szCs w:val="32"/>
        </w:rPr>
      </w:pPr>
      <w:r>
        <w:rPr>
          <w:rFonts w:hint="eastAsia" w:ascii="仿宋" w:hAnsi="仿宋" w:eastAsia="仿宋"/>
          <w:b/>
          <w:sz w:val="32"/>
          <w:szCs w:val="32"/>
        </w:rPr>
        <w:t>三、比上年增减情况</w:t>
      </w:r>
    </w:p>
    <w:p w14:paraId="41A8809C">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本年度预算收支安排2233.60万元，较上年增加405.11</w:t>
      </w:r>
      <w:r>
        <w:rPr>
          <w:rFonts w:ascii="仿宋" w:hAnsi="仿宋" w:eastAsia="仿宋"/>
          <w:sz w:val="32"/>
          <w:szCs w:val="32"/>
        </w:rPr>
        <w:t>万元。其中:基本支出增加</w:t>
      </w:r>
      <w:r>
        <w:rPr>
          <w:rFonts w:hint="eastAsia" w:ascii="仿宋" w:hAnsi="仿宋" w:eastAsia="仿宋"/>
          <w:sz w:val="32"/>
          <w:szCs w:val="32"/>
        </w:rPr>
        <w:t>405.11</w:t>
      </w:r>
      <w:r>
        <w:rPr>
          <w:rFonts w:ascii="仿宋" w:hAnsi="仿宋" w:eastAsia="仿宋"/>
          <w:sz w:val="32"/>
          <w:szCs w:val="32"/>
        </w:rPr>
        <w:t>万元，主要原因是</w:t>
      </w:r>
      <w:r>
        <w:rPr>
          <w:rFonts w:hint="eastAsia" w:ascii="仿宋" w:hAnsi="仿宋" w:eastAsia="仿宋"/>
          <w:sz w:val="32"/>
          <w:szCs w:val="32"/>
        </w:rPr>
        <w:t>人员工资</w:t>
      </w:r>
      <w:r>
        <w:rPr>
          <w:rFonts w:ascii="仿宋" w:hAnsi="仿宋" w:eastAsia="仿宋"/>
          <w:sz w:val="32"/>
          <w:szCs w:val="32"/>
        </w:rPr>
        <w:t>上调。</w:t>
      </w:r>
    </w:p>
    <w:p w14:paraId="67E2F5AF">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0A12AEEF">
      <w:pPr>
        <w:spacing w:line="360" w:lineRule="auto"/>
        <w:ind w:firstLine="640" w:firstLineChars="200"/>
        <w:rPr>
          <w:rFonts w:ascii="仿宋" w:hAnsi="仿宋" w:eastAsia="仿宋"/>
          <w:sz w:val="32"/>
          <w:szCs w:val="32"/>
        </w:rPr>
      </w:pPr>
      <w:r>
        <w:rPr>
          <w:rFonts w:ascii="仿宋" w:hAnsi="仿宋" w:eastAsia="仿宋"/>
          <w:sz w:val="32"/>
          <w:szCs w:val="32"/>
        </w:rPr>
        <w:t>2022年我单位</w:t>
      </w:r>
      <w:r>
        <w:rPr>
          <w:rFonts w:hint="eastAsia" w:ascii="仿宋" w:hAnsi="仿宋" w:eastAsia="仿宋"/>
          <w:sz w:val="32"/>
          <w:szCs w:val="32"/>
        </w:rPr>
        <w:t>是</w:t>
      </w:r>
      <w:r>
        <w:rPr>
          <w:rFonts w:ascii="仿宋" w:hAnsi="仿宋" w:eastAsia="仿宋"/>
          <w:sz w:val="32"/>
          <w:szCs w:val="32"/>
        </w:rPr>
        <w:t>事业单位无机关运行经费</w:t>
      </w:r>
      <w:r>
        <w:rPr>
          <w:rFonts w:hint="eastAsia" w:ascii="仿宋" w:hAnsi="仿宋" w:eastAsia="仿宋"/>
          <w:sz w:val="32"/>
          <w:szCs w:val="32"/>
        </w:rPr>
        <w:t>。我单位</w:t>
      </w:r>
      <w:r>
        <w:rPr>
          <w:rFonts w:ascii="仿宋" w:hAnsi="仿宋" w:eastAsia="仿宋"/>
          <w:sz w:val="32"/>
          <w:szCs w:val="32"/>
        </w:rPr>
        <w:t>日常公用经费安排</w:t>
      </w:r>
      <w:r>
        <w:rPr>
          <w:rFonts w:hint="eastAsia" w:ascii="仿宋" w:hAnsi="仿宋" w:eastAsia="仿宋"/>
          <w:sz w:val="32"/>
          <w:szCs w:val="32"/>
        </w:rPr>
        <w:t>74.63万元</w:t>
      </w:r>
      <w:r>
        <w:rPr>
          <w:rFonts w:ascii="仿宋" w:hAnsi="仿宋" w:eastAsia="仿宋"/>
          <w:sz w:val="32"/>
          <w:szCs w:val="32"/>
        </w:rPr>
        <w:t>，其中办公费</w:t>
      </w:r>
      <w:r>
        <w:rPr>
          <w:rFonts w:hint="eastAsia" w:ascii="仿宋" w:hAnsi="仿宋" w:eastAsia="仿宋"/>
          <w:sz w:val="32"/>
          <w:szCs w:val="32"/>
        </w:rPr>
        <w:t>43.09</w:t>
      </w:r>
      <w:r>
        <w:rPr>
          <w:rFonts w:ascii="仿宋" w:hAnsi="仿宋" w:eastAsia="仿宋"/>
          <w:sz w:val="32"/>
          <w:szCs w:val="32"/>
        </w:rPr>
        <w:t>万元，</w:t>
      </w:r>
      <w:r>
        <w:rPr>
          <w:rFonts w:hint="eastAsia" w:ascii="仿宋" w:hAnsi="仿宋" w:eastAsia="仿宋"/>
          <w:sz w:val="32"/>
          <w:szCs w:val="32"/>
        </w:rPr>
        <w:t>计提</w:t>
      </w:r>
      <w:r>
        <w:rPr>
          <w:rFonts w:ascii="仿宋" w:hAnsi="仿宋" w:eastAsia="仿宋"/>
          <w:sz w:val="32"/>
          <w:szCs w:val="32"/>
        </w:rPr>
        <w:t>工会经费、福利费</w:t>
      </w:r>
      <w:r>
        <w:rPr>
          <w:rFonts w:hint="eastAsia" w:ascii="仿宋" w:hAnsi="仿宋" w:eastAsia="仿宋"/>
          <w:sz w:val="32"/>
          <w:szCs w:val="32"/>
        </w:rPr>
        <w:t>、</w:t>
      </w:r>
      <w:r>
        <w:rPr>
          <w:rFonts w:ascii="仿宋" w:hAnsi="仿宋" w:eastAsia="仿宋"/>
          <w:sz w:val="32"/>
          <w:szCs w:val="32"/>
        </w:rPr>
        <w:t>党员活动经费</w:t>
      </w:r>
      <w:r>
        <w:rPr>
          <w:rFonts w:hint="eastAsia" w:ascii="仿宋" w:hAnsi="仿宋" w:eastAsia="仿宋"/>
          <w:sz w:val="32"/>
          <w:szCs w:val="32"/>
        </w:rPr>
        <w:t>28.70</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其他商品服务支出</w:t>
      </w:r>
      <w:r>
        <w:rPr>
          <w:rFonts w:hint="eastAsia" w:ascii="仿宋" w:hAnsi="仿宋" w:eastAsia="仿宋"/>
          <w:sz w:val="32"/>
          <w:szCs w:val="32"/>
        </w:rPr>
        <w:t>2.84万元</w:t>
      </w:r>
      <w:r>
        <w:rPr>
          <w:rFonts w:ascii="仿宋" w:hAnsi="仿宋" w:eastAsia="仿宋"/>
          <w:sz w:val="32"/>
          <w:szCs w:val="32"/>
        </w:rPr>
        <w:t>。</w:t>
      </w:r>
    </w:p>
    <w:p w14:paraId="79BCE2EF">
      <w:pPr>
        <w:spacing w:line="360" w:lineRule="auto"/>
        <w:ind w:firstLine="640" w:firstLineChars="200"/>
        <w:rPr>
          <w:rFonts w:ascii="仿宋" w:hAnsi="仿宋" w:eastAsia="仿宋"/>
          <w:sz w:val="32"/>
          <w:szCs w:val="32"/>
        </w:rPr>
      </w:pPr>
    </w:p>
    <w:p w14:paraId="6DB17083">
      <w:pPr>
        <w:spacing w:line="360" w:lineRule="auto"/>
        <w:ind w:firstLine="640" w:firstLineChars="200"/>
        <w:rPr>
          <w:rFonts w:ascii="仿宋" w:hAnsi="仿宋" w:eastAsia="仿宋"/>
          <w:sz w:val="32"/>
          <w:szCs w:val="32"/>
        </w:rPr>
      </w:pPr>
    </w:p>
    <w:p w14:paraId="4A150760">
      <w:pPr>
        <w:spacing w:line="360" w:lineRule="auto"/>
        <w:ind w:firstLine="640" w:firstLineChars="200"/>
        <w:rPr>
          <w:rFonts w:ascii="仿宋" w:hAnsi="仿宋" w:eastAsia="仿宋"/>
          <w:sz w:val="32"/>
          <w:szCs w:val="32"/>
        </w:rPr>
      </w:pPr>
    </w:p>
    <w:p w14:paraId="1AF4403D">
      <w:pPr>
        <w:spacing w:line="360" w:lineRule="auto"/>
        <w:ind w:firstLine="640" w:firstLineChars="200"/>
        <w:rPr>
          <w:rFonts w:ascii="仿宋" w:hAnsi="仿宋" w:eastAsia="仿宋"/>
          <w:sz w:val="32"/>
          <w:szCs w:val="32"/>
        </w:rPr>
      </w:pPr>
    </w:p>
    <w:p w14:paraId="006651A4">
      <w:pPr>
        <w:spacing w:line="360" w:lineRule="auto"/>
        <w:ind w:firstLine="880" w:firstLineChars="200"/>
        <w:rPr>
          <w:rFonts w:ascii="方正小标宋_GBK" w:eastAsia="方正小标宋_GBK"/>
          <w:sz w:val="44"/>
        </w:rPr>
      </w:pPr>
    </w:p>
    <w:p w14:paraId="38F12F1D">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14174"/>
      </w:tblGrid>
      <w:tr w14:paraId="117345F3">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4277BCAC">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49752595">
                  <w:pPr>
                    <w:spacing w:line="360" w:lineRule="auto"/>
                    <w:rPr>
                      <w:rFonts w:ascii="黑体" w:hAnsi="黑体" w:eastAsia="黑体" w:cs="宋体"/>
                      <w:kern w:val="0"/>
                      <w:sz w:val="32"/>
                      <w:szCs w:val="32"/>
                    </w:rPr>
                  </w:pPr>
                </w:p>
              </w:tc>
            </w:tr>
            <w:tr w14:paraId="72A79B84">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2A28CC76">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1010DF12">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02E78752">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40518F28">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1CA0A19A">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2C9BEF5E">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6A9BE251">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6ACBE68B">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02288B79">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379C5BAC">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73695F12">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622B0A62">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0ABBFAE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3227EECF">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0B248EC5">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211B4DE3">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21A158D7">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7176FC1E">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328DE15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40912835">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00F522BA">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1F62A3B3">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40C393D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56054399">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46A7BFD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4D895A11">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5A947D1E">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62BDDDCB">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7B4B011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00FC67D">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370DE11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10DE32D0">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16CB28FA">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410C31D0">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0ED3BDF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B22B4F1">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6B7A5E2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1D7B25BA">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075A7DBA">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1EBFD549">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188EAFC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bl>
          <w:p w14:paraId="168DAB7B">
            <w:pPr>
              <w:widowControl/>
              <w:spacing w:line="520" w:lineRule="exact"/>
              <w:ind w:right="480"/>
              <w:rPr>
                <w:rFonts w:hint="eastAsia" w:ascii="仿宋" w:hAnsi="仿宋" w:eastAsia="仿宋" w:cs="宋体"/>
                <w:kern w:val="0"/>
                <w:sz w:val="24"/>
                <w:szCs w:val="24"/>
              </w:rPr>
            </w:pPr>
          </w:p>
        </w:tc>
      </w:tr>
    </w:tbl>
    <w:p w14:paraId="1D0CC599">
      <w:pPr>
        <w:spacing w:line="360" w:lineRule="auto"/>
        <w:ind w:firstLine="480" w:firstLineChars="200"/>
        <w:rPr>
          <w:rFonts w:ascii="黑体" w:hAnsi="黑体" w:eastAsia="黑体" w:cs="Times New Roman"/>
          <w:sz w:val="32"/>
          <w:szCs w:val="32"/>
        </w:rPr>
      </w:pPr>
      <w:r>
        <w:rPr>
          <w:rFonts w:hint="eastAsia" w:ascii="宋体" w:hAnsi="宋体" w:cs="宋体"/>
          <w:kern w:val="0"/>
          <w:sz w:val="24"/>
          <w:szCs w:val="24"/>
        </w:rPr>
        <w:t>注</w:t>
      </w:r>
      <w:r>
        <w:rPr>
          <w:rFonts w:ascii="宋体" w:hAnsi="宋体" w:cs="宋体"/>
          <w:kern w:val="0"/>
          <w:sz w:val="24"/>
          <w:szCs w:val="24"/>
        </w:rPr>
        <w:t>：我单位无“</w:t>
      </w:r>
      <w:r>
        <w:rPr>
          <w:rFonts w:hint="eastAsia" w:ascii="宋体" w:hAnsi="宋体" w:cs="宋体"/>
          <w:kern w:val="0"/>
          <w:sz w:val="24"/>
          <w:szCs w:val="24"/>
        </w:rPr>
        <w:t>三公</w:t>
      </w:r>
      <w:r>
        <w:rPr>
          <w:rFonts w:ascii="宋体" w:hAnsi="宋体" w:cs="宋体"/>
          <w:kern w:val="0"/>
          <w:sz w:val="24"/>
          <w:szCs w:val="24"/>
        </w:rPr>
        <w:t>”</w:t>
      </w:r>
      <w:r>
        <w:rPr>
          <w:rFonts w:hint="eastAsia" w:ascii="宋体" w:hAnsi="宋体" w:cs="宋体"/>
          <w:kern w:val="0"/>
          <w:sz w:val="24"/>
          <w:szCs w:val="24"/>
        </w:rPr>
        <w:t>经费</w:t>
      </w:r>
      <w:r>
        <w:rPr>
          <w:rFonts w:ascii="宋体" w:hAnsi="宋体" w:cs="宋体"/>
          <w:kern w:val="0"/>
          <w:sz w:val="24"/>
          <w:szCs w:val="24"/>
        </w:rPr>
        <w:t>预算情况。</w:t>
      </w:r>
    </w:p>
    <w:p w14:paraId="196DB443">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43546602">
      <w:pPr>
        <w:spacing w:line="360" w:lineRule="auto"/>
        <w:jc w:val="center"/>
        <w:rPr>
          <w:rFonts w:ascii="黑体" w:hAnsi="黑体" w:eastAsia="黑体" w:cs="Times New Roman"/>
          <w:sz w:val="32"/>
          <w:szCs w:val="32"/>
        </w:rPr>
      </w:pPr>
    </w:p>
    <w:p w14:paraId="752E99B3">
      <w:pPr>
        <w:jc w:val="center"/>
        <w:outlineLvl w:val="0"/>
        <w:rPr>
          <w:rFonts w:ascii="方正小标宋_GBK" w:eastAsia="方正小标宋_GBK"/>
          <w:sz w:val="44"/>
        </w:rPr>
      </w:pPr>
      <w:r>
        <w:rPr>
          <w:rFonts w:hint="eastAsia" w:ascii="方正小标宋_GBK" w:eastAsia="方正小标宋_GBK"/>
          <w:sz w:val="44"/>
        </w:rPr>
        <w:t>单位整体</w:t>
      </w:r>
      <w:r>
        <w:rPr>
          <w:rFonts w:ascii="方正小标宋_GBK" w:eastAsia="方正小标宋_GBK"/>
          <w:sz w:val="44"/>
        </w:rPr>
        <w:t>绩效目标</w:t>
      </w:r>
    </w:p>
    <w:p w14:paraId="23A2FDAC">
      <w:pPr>
        <w:spacing w:line="360" w:lineRule="auto"/>
        <w:ind w:firstLine="640" w:firstLineChars="200"/>
        <w:rPr>
          <w:rFonts w:ascii="仿宋" w:hAnsi="仿宋" w:eastAsia="仿宋"/>
          <w:sz w:val="32"/>
          <w:szCs w:val="32"/>
        </w:rPr>
      </w:pPr>
      <w:r>
        <w:rPr>
          <w:rFonts w:hint="eastAsia" w:ascii="仿宋" w:hAnsi="仿宋" w:eastAsia="仿宋"/>
          <w:sz w:val="32"/>
          <w:szCs w:val="32"/>
        </w:rPr>
        <w:t>一、总体绩效目标</w:t>
      </w:r>
    </w:p>
    <w:p w14:paraId="69B6231F">
      <w:pPr>
        <w:spacing w:line="360" w:lineRule="auto"/>
        <w:ind w:firstLine="640" w:firstLineChars="200"/>
        <w:rPr>
          <w:rFonts w:ascii="仿宋" w:hAnsi="仿宋" w:eastAsia="仿宋"/>
          <w:sz w:val="32"/>
          <w:szCs w:val="32"/>
        </w:rPr>
      </w:pPr>
      <w:r>
        <w:rPr>
          <w:rFonts w:ascii="仿宋" w:hAnsi="仿宋" w:eastAsia="仿宋"/>
          <w:sz w:val="32"/>
          <w:szCs w:val="32"/>
        </w:rPr>
        <w:t>按照区委、区政府对交通事业发展的统一部署，结合我区交通行业自身发展规律，制定总体目标：强力推进交通项目建设，加快农村公路改造升级步伐，构建我区一骨架、两中心、大外环，一融入、两支点、三对接的高效便捷交通路网大格局；探索公路养护新机制，保证公路完好率在90%以上，使农村公路建管养工作继续保持在全市乃至全省前列；着力提升交通运输行业管理和服务水平，深化运输市场结构调整，努力形成优势互补的综合交通运输体系；切实加强对客运、货运、维修、驾校、培训五大市场的监管，努力提高行业管理服务能力、企业市场竞争能力和交通运输保障能力；继续深入做好做实安全生产工作，使工作形成常态化，消除各类运输安全隐患；在党建工作上切实加强组织建设，树立廉政勤政新形象，加大落实力度，增强制度的执行力。</w:t>
      </w:r>
    </w:p>
    <w:p w14:paraId="56F69E54">
      <w:pPr>
        <w:spacing w:line="360" w:lineRule="auto"/>
        <w:ind w:firstLine="640" w:firstLineChars="200"/>
        <w:rPr>
          <w:rFonts w:ascii="仿宋" w:hAnsi="仿宋" w:eastAsia="仿宋"/>
          <w:sz w:val="32"/>
          <w:szCs w:val="32"/>
        </w:rPr>
      </w:pPr>
      <w:r>
        <w:rPr>
          <w:rFonts w:ascii="仿宋" w:hAnsi="仿宋" w:eastAsia="仿宋"/>
          <w:sz w:val="32"/>
          <w:szCs w:val="32"/>
        </w:rPr>
        <w:t>二、分项绩效目标</w:t>
      </w:r>
    </w:p>
    <w:p w14:paraId="1AEAAB19">
      <w:pPr>
        <w:spacing w:line="360" w:lineRule="auto"/>
        <w:ind w:firstLine="640" w:firstLineChars="200"/>
        <w:rPr>
          <w:rFonts w:ascii="仿宋" w:hAnsi="仿宋" w:eastAsia="仿宋"/>
          <w:sz w:val="32"/>
          <w:szCs w:val="32"/>
        </w:rPr>
      </w:pPr>
      <w:r>
        <w:rPr>
          <w:rFonts w:hint="eastAsia" w:ascii="仿宋" w:hAnsi="仿宋" w:eastAsia="仿宋"/>
          <w:sz w:val="32"/>
          <w:szCs w:val="32"/>
        </w:rPr>
        <w:t>1.保障道路安全畅通</w:t>
      </w:r>
    </w:p>
    <w:p w14:paraId="1D79879E">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通过实施对农村公路恢复性施工及预防性养护、危桥改造、安保工程及沿线服务设施等专项养护工程，基本完成全区道路安全隐患治理，使农村公路保障有力、安全畅通，保持良好的服务水平，支持乡村振兴。</w:t>
      </w:r>
    </w:p>
    <w:p w14:paraId="1944F7EB">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绩效指标：农村公路日常养护500公里，工程质量合格率达到100%；处置危桥不低于5座，处置安防灾害隐患路段长度不低于10公里；项目实施后对区域交通状况改善明显。</w:t>
      </w:r>
    </w:p>
    <w:p w14:paraId="3295A28E">
      <w:pPr>
        <w:spacing w:line="360" w:lineRule="auto"/>
        <w:ind w:firstLine="640" w:firstLineChars="200"/>
        <w:rPr>
          <w:rFonts w:ascii="仿宋" w:hAnsi="仿宋" w:eastAsia="仿宋"/>
          <w:sz w:val="32"/>
          <w:szCs w:val="32"/>
        </w:rPr>
      </w:pPr>
      <w:r>
        <w:rPr>
          <w:rFonts w:hint="eastAsia" w:ascii="仿宋" w:hAnsi="仿宋" w:eastAsia="仿宋"/>
          <w:sz w:val="32"/>
          <w:szCs w:val="32"/>
        </w:rPr>
        <w:t>2.优先发展城市公交</w:t>
      </w:r>
    </w:p>
    <w:p w14:paraId="50B4F016">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绩效目标：指导全区城市公交行业的管理工作，保障行业安全稳定，完成城市客运行业数据报送；城市客运行业信息报送；进一步落实我区优先发展公共交通战略。</w:t>
      </w:r>
    </w:p>
    <w:p w14:paraId="54666921">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绩效指标：对我区110辆新能源公交电动车进行财政补贴，资金按进度及时拨付，工作完成率为100%。</w:t>
      </w:r>
    </w:p>
    <w:p w14:paraId="69641464">
      <w:pPr>
        <w:spacing w:line="360" w:lineRule="auto"/>
        <w:ind w:firstLine="640" w:firstLineChars="200"/>
        <w:rPr>
          <w:rFonts w:ascii="仿宋" w:hAnsi="仿宋" w:eastAsia="仿宋"/>
          <w:sz w:val="32"/>
          <w:szCs w:val="32"/>
        </w:rPr>
      </w:pPr>
      <w:r>
        <w:rPr>
          <w:rFonts w:hint="eastAsia" w:ascii="仿宋" w:hAnsi="仿宋" w:eastAsia="仿宋"/>
          <w:sz w:val="32"/>
          <w:szCs w:val="32"/>
        </w:rPr>
        <w:t>3.提高事务处理能力</w:t>
      </w:r>
    </w:p>
    <w:p w14:paraId="2A491AE3">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绩效目标：加强后勤保障、维持机关正常运转，提高事务性管理工作水平。</w:t>
      </w:r>
    </w:p>
    <w:p w14:paraId="11B646C9">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绩效指标：及时完成保安保洁、车辆租赁费用的资金支付，工作完成率为100%，服务对象满意率达90%以上。</w:t>
      </w:r>
    </w:p>
    <w:p w14:paraId="4E08C03B">
      <w:pPr>
        <w:spacing w:line="360" w:lineRule="auto"/>
        <w:ind w:firstLine="640" w:firstLineChars="200"/>
        <w:rPr>
          <w:rFonts w:ascii="仿宋" w:hAnsi="仿宋" w:eastAsia="仿宋"/>
          <w:sz w:val="32"/>
          <w:szCs w:val="32"/>
        </w:rPr>
      </w:pPr>
      <w:r>
        <w:rPr>
          <w:rFonts w:ascii="仿宋" w:hAnsi="仿宋" w:eastAsia="仿宋"/>
          <w:sz w:val="32"/>
          <w:szCs w:val="32"/>
        </w:rPr>
        <w:t>三、工作保障措施</w:t>
      </w:r>
    </w:p>
    <w:p w14:paraId="7277C01C">
      <w:pPr>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完善制度建设</w:t>
      </w:r>
    </w:p>
    <w:p w14:paraId="42BCB95C">
      <w:pPr>
        <w:spacing w:line="360" w:lineRule="auto"/>
        <w:ind w:firstLine="640" w:firstLineChars="200"/>
        <w:rPr>
          <w:rFonts w:ascii="仿宋" w:hAnsi="仿宋" w:eastAsia="仿宋"/>
          <w:sz w:val="32"/>
          <w:szCs w:val="32"/>
        </w:rPr>
      </w:pPr>
      <w:r>
        <w:rPr>
          <w:rFonts w:hint="eastAsia" w:ascii="仿宋" w:hAnsi="仿宋" w:eastAsia="仿宋"/>
          <w:sz w:val="32"/>
          <w:szCs w:val="32"/>
        </w:rPr>
        <w:t>在局党组的坚强领导下，制定我单位预算绩效管理有关制度办法、完善财务管理规定，建立健全绩效评价领导机构和工作机构，将事前绩效评估和绩效自评制度化，科学确定全年预算绩效目标，客观评价年度完成情况，落实有关要求。</w:t>
      </w:r>
    </w:p>
    <w:p w14:paraId="70949F25">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加强支出和绩效管理</w:t>
      </w:r>
    </w:p>
    <w:p w14:paraId="7DF60DD2">
      <w:pPr>
        <w:spacing w:line="360" w:lineRule="auto"/>
        <w:ind w:firstLine="640" w:firstLineChars="200"/>
        <w:rPr>
          <w:rFonts w:ascii="仿宋" w:hAnsi="仿宋" w:eastAsia="仿宋"/>
          <w:sz w:val="32"/>
          <w:szCs w:val="32"/>
        </w:rPr>
      </w:pPr>
      <w:r>
        <w:rPr>
          <w:rFonts w:hint="eastAsia" w:ascii="仿宋" w:hAnsi="仿宋" w:eastAsia="仿宋"/>
          <w:sz w:val="32"/>
          <w:szCs w:val="32"/>
        </w:rPr>
        <w:t>优化支出结构、编细编实预算，及早履行政府采购手续、尽快启动项目、及时支付资金、确保支出进度达标，提高财政资金使用效益。按要求开展上年度单位预算绩效自评和重点评价工作，对评价中发现的问题及时整改。</w:t>
      </w:r>
    </w:p>
    <w:p w14:paraId="72D6CC27">
      <w:pPr>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规范财政资金、财务资产管理</w:t>
      </w:r>
    </w:p>
    <w:p w14:paraId="73BD1677">
      <w:pPr>
        <w:spacing w:line="360" w:lineRule="auto"/>
        <w:ind w:firstLine="640" w:firstLineChars="200"/>
        <w:rPr>
          <w:rFonts w:ascii="仿宋" w:hAnsi="仿宋" w:eastAsia="仿宋"/>
          <w:sz w:val="32"/>
          <w:szCs w:val="32"/>
        </w:rPr>
      </w:pPr>
      <w:r>
        <w:rPr>
          <w:rFonts w:hint="eastAsia" w:ascii="仿宋" w:hAnsi="仿宋" w:eastAsia="仿宋"/>
          <w:sz w:val="32"/>
          <w:szCs w:val="32"/>
        </w:rPr>
        <w:t>规范财政资金使用效益，加强预算资金事前、事中、事后的全方位监管，注重资金支出绩效，最大限额的发挥财政资金效益。在完善财务管理制度的基础上，严格审批程序。搞好资产清查，加强固定资产登记、使用和报废处置管理，做到支出合理，物尽其用。</w:t>
      </w:r>
    </w:p>
    <w:p w14:paraId="7A6B0751">
      <w:pPr>
        <w:spacing w:line="360" w:lineRule="auto"/>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强化宣传引导</w:t>
      </w:r>
    </w:p>
    <w:p w14:paraId="7F6A20D2">
      <w:pPr>
        <w:outlineLvl w:val="0"/>
        <w:rPr>
          <w:rFonts w:ascii="仿宋" w:hAnsi="仿宋" w:eastAsia="仿宋"/>
          <w:sz w:val="32"/>
          <w:szCs w:val="32"/>
        </w:rPr>
      </w:pPr>
      <w:r>
        <w:rPr>
          <w:rFonts w:hint="eastAsia" w:ascii="仿宋" w:hAnsi="仿宋" w:eastAsia="仿宋"/>
          <w:sz w:val="32"/>
          <w:szCs w:val="32"/>
        </w:rPr>
        <w:t>组织开展多轮次、多角度的业务培训，使干部职工牢固树立绩效理念，熟悉管理流程，掌握工作方法，提升管理能力。积极探索工作经验，及时总结预算绩效管理成效，营造良好的舆论氛围。积极采取购买服务等方式，利用专业机构开展工作，提升预算绩效管理科学水平。</w:t>
      </w:r>
    </w:p>
    <w:p w14:paraId="4486416C">
      <w:pPr>
        <w:outlineLvl w:val="0"/>
        <w:rPr>
          <w:rFonts w:hint="eastAsia" w:ascii="方正小标宋_GBK" w:eastAsia="方正小标宋_GBK"/>
          <w:sz w:val="44"/>
        </w:rPr>
      </w:pPr>
    </w:p>
    <w:p w14:paraId="43355232">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2B19B9E5">
      <w:pPr>
        <w:jc w:val="center"/>
        <w:outlineLvl w:val="0"/>
        <w:rPr>
          <w:rFonts w:ascii="方正书宋_GBK" w:eastAsia="方正书宋_GBK"/>
        </w:rPr>
      </w:pPr>
    </w:p>
    <w:p w14:paraId="1E3C0E57">
      <w:pPr>
        <w:outlineLvl w:val="0"/>
        <w:rPr>
          <w:rFonts w:ascii="方正书宋_GBK" w:eastAsia="方正书宋_GBK"/>
        </w:rPr>
      </w:pPr>
      <w:r>
        <w:rPr>
          <w:rFonts w:hint="eastAsia" w:ascii="仿宋" w:hAnsi="仿宋" w:eastAsia="仿宋"/>
          <w:sz w:val="32"/>
          <w:szCs w:val="32"/>
        </w:rPr>
        <w:t>我单位无</w:t>
      </w:r>
      <w:r>
        <w:rPr>
          <w:rFonts w:ascii="仿宋" w:hAnsi="仿宋" w:eastAsia="仿宋"/>
          <w:sz w:val="32"/>
          <w:szCs w:val="32"/>
        </w:rPr>
        <w:t>项目</w:t>
      </w:r>
      <w:r>
        <w:rPr>
          <w:rFonts w:hint="eastAsia" w:ascii="仿宋" w:hAnsi="仿宋" w:eastAsia="仿宋"/>
          <w:sz w:val="32"/>
          <w:szCs w:val="32"/>
        </w:rPr>
        <w:t>收入</w:t>
      </w:r>
      <w:r>
        <w:rPr>
          <w:rFonts w:ascii="仿宋" w:hAnsi="仿宋" w:eastAsia="仿宋"/>
          <w:sz w:val="32"/>
          <w:szCs w:val="32"/>
        </w:rPr>
        <w:t>支出</w:t>
      </w:r>
      <w:r>
        <w:rPr>
          <w:rFonts w:hint="eastAsia" w:ascii="仿宋" w:hAnsi="仿宋" w:eastAsia="仿宋"/>
          <w:sz w:val="32"/>
          <w:szCs w:val="32"/>
        </w:rPr>
        <w:t>预算</w:t>
      </w:r>
      <w:r>
        <w:rPr>
          <w:rFonts w:ascii="仿宋" w:hAnsi="仿宋" w:eastAsia="仿宋"/>
          <w:sz w:val="32"/>
          <w:szCs w:val="32"/>
        </w:rPr>
        <w:t>情况</w:t>
      </w:r>
      <w:r>
        <w:rPr>
          <w:rFonts w:ascii="方正书宋_GBK" w:eastAsia="方正书宋_GBK"/>
        </w:rPr>
        <w:t>。</w:t>
      </w:r>
    </w:p>
    <w:p w14:paraId="67503758">
      <w:pPr>
        <w:outlineLvl w:val="0"/>
        <w:rPr>
          <w:rFonts w:ascii="方正书宋_GBK" w:eastAsia="方正书宋_GBK"/>
        </w:rPr>
      </w:pPr>
    </w:p>
    <w:p w14:paraId="38436210">
      <w:pPr>
        <w:outlineLvl w:val="0"/>
        <w:rPr>
          <w:rFonts w:ascii="方正书宋_GBK" w:eastAsia="方正书宋_GBK"/>
        </w:rPr>
      </w:pPr>
    </w:p>
    <w:p w14:paraId="2AF10E76">
      <w:pPr>
        <w:outlineLvl w:val="0"/>
        <w:rPr>
          <w:rFonts w:ascii="方正书宋_GBK" w:eastAsia="方正书宋_GBK"/>
        </w:rPr>
      </w:pPr>
    </w:p>
    <w:p w14:paraId="7CD5BD8C">
      <w:pPr>
        <w:outlineLvl w:val="0"/>
        <w:rPr>
          <w:rFonts w:ascii="方正书宋_GBK" w:eastAsia="方正书宋_GBK"/>
        </w:rPr>
      </w:pPr>
    </w:p>
    <w:p w14:paraId="327DA409">
      <w:pPr>
        <w:outlineLvl w:val="0"/>
        <w:rPr>
          <w:rFonts w:ascii="方正书宋_GBK" w:eastAsia="方正书宋_GBK"/>
        </w:rPr>
      </w:pPr>
    </w:p>
    <w:p w14:paraId="7D220FED">
      <w:pPr>
        <w:outlineLvl w:val="0"/>
        <w:rPr>
          <w:rFonts w:ascii="方正书宋_GBK" w:eastAsia="方正书宋_GBK"/>
        </w:rPr>
      </w:pPr>
    </w:p>
    <w:p w14:paraId="7BC10CB3">
      <w:pPr>
        <w:outlineLvl w:val="0"/>
        <w:rPr>
          <w:rFonts w:ascii="方正书宋_GBK" w:eastAsia="方正书宋_GBK"/>
        </w:rPr>
      </w:pPr>
    </w:p>
    <w:p w14:paraId="0F1BF29F">
      <w:pPr>
        <w:outlineLvl w:val="0"/>
        <w:rPr>
          <w:rFonts w:hint="eastAsia" w:ascii="仿宋" w:hAnsi="仿宋" w:eastAsia="仿宋"/>
          <w:sz w:val="32"/>
          <w:szCs w:val="32"/>
        </w:rPr>
      </w:pPr>
    </w:p>
    <w:p w14:paraId="64705C75">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27D2F0F0">
      <w:pPr>
        <w:spacing w:line="360" w:lineRule="auto"/>
        <w:ind w:firstLine="640" w:firstLineChars="200"/>
        <w:rPr>
          <w:rFonts w:ascii="仿宋" w:hAnsi="仿宋" w:eastAsia="仿宋"/>
          <w:sz w:val="32"/>
          <w:szCs w:val="32"/>
        </w:rPr>
      </w:pPr>
      <w:r>
        <w:rPr>
          <w:rFonts w:ascii="仿宋" w:hAnsi="仿宋" w:eastAsia="仿宋"/>
          <w:sz w:val="32"/>
          <w:szCs w:val="32"/>
        </w:rPr>
        <w:t>2022年，我单位无政府采购预算，空表列示。</w:t>
      </w:r>
    </w:p>
    <w:p w14:paraId="761F56E9">
      <w:pPr>
        <w:ind w:firstLine="640" w:firstLineChars="200"/>
        <w:jc w:val="center"/>
        <w:outlineLvl w:val="0"/>
        <w:rPr>
          <w:rFonts w:ascii="Times New Roman" w:hAnsi="宋体" w:eastAsia="宋体"/>
          <w:sz w:val="32"/>
        </w:rPr>
      </w:pPr>
      <w:r>
        <w:rPr>
          <w:rFonts w:ascii="方正小标宋_GBK" w:eastAsia="方正小标宋_GBK"/>
          <w:sz w:val="32"/>
        </w:rPr>
        <w:t>单位政府采购预算</w:t>
      </w:r>
      <w:r>
        <w:rPr>
          <w:rFonts w:ascii="方正小标宋_GBK" w:eastAsia="方正小标宋_GBK"/>
          <w:sz w:val="32"/>
        </w:rPr>
        <w:fldChar w:fldCharType="begin"/>
      </w:r>
      <w:r>
        <w:rPr>
          <w:rFonts w:ascii="方正小标宋_GBK" w:eastAsia="方正小标宋_GBK"/>
          <w:sz w:val="32"/>
        </w:rPr>
        <w:instrText xml:space="preserve"> TC </w:instrText>
      </w:r>
      <w:bookmarkStart w:id="0" w:name="_Toc32236199"/>
      <w:r>
        <w:rPr>
          <w:rFonts w:ascii="方正小标宋_GBK" w:eastAsia="方正小标宋_GBK"/>
          <w:sz w:val="32"/>
        </w:rPr>
        <w:instrText xml:space="preserve">部门政府采购预算</w:instrText>
      </w:r>
      <w:bookmarkEnd w:id="0"/>
      <w:r>
        <w:rPr>
          <w:rFonts w:ascii="方正小标宋_GBK" w:eastAsia="方正小标宋_GBK"/>
          <w:sz w:val="32"/>
        </w:rPr>
        <w:instrText xml:space="preserve"> \f A \l 1 </w:instrText>
      </w:r>
      <w:r>
        <w:rPr>
          <w:rFonts w:ascii="方正小标宋_GBK" w:eastAsia="方正小标宋_GBK"/>
          <w:sz w:val="32"/>
        </w:rPr>
        <w:fldChar w:fldCharType="end"/>
      </w: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7FAED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03B1C233">
            <w:pPr>
              <w:spacing w:line="300" w:lineRule="exact"/>
              <w:jc w:val="left"/>
              <w:rPr>
                <w:rFonts w:ascii="方正小标宋_GBK" w:eastAsia="方正小标宋_GBK"/>
                <w:sz w:val="24"/>
              </w:rPr>
            </w:pPr>
            <w:r>
              <w:rPr>
                <w:rFonts w:ascii="方正小标宋_GBK" w:eastAsia="方正小标宋_GBK"/>
                <w:sz w:val="24"/>
              </w:rPr>
              <w:t>348保定市徐水区交通运输局</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0BE935A8">
            <w:pPr>
              <w:spacing w:line="300" w:lineRule="exact"/>
              <w:jc w:val="right"/>
              <w:rPr>
                <w:rFonts w:ascii="方正书宋_GBK" w:eastAsia="方正书宋_GBK"/>
                <w:sz w:val="24"/>
              </w:rPr>
            </w:pPr>
            <w:r>
              <w:rPr>
                <w:rFonts w:ascii="方正书宋_GBK" w:eastAsia="方正书宋_GBK"/>
                <w:sz w:val="24"/>
              </w:rPr>
              <w:t>单位：万元</w:t>
            </w:r>
          </w:p>
        </w:tc>
      </w:tr>
      <w:tr w14:paraId="7EB2D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056E0693">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14:paraId="1083AC3B">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14:paraId="54917EBC">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14:paraId="0F86AD51">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14:paraId="592BF0F1">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14:paraId="4144FB7B">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14:paraId="54F450E6">
            <w:pPr>
              <w:spacing w:line="300" w:lineRule="exact"/>
              <w:jc w:val="center"/>
              <w:rPr>
                <w:rFonts w:ascii="方正书宋_GBK" w:eastAsia="方正书宋_GBK"/>
                <w:b/>
              </w:rPr>
            </w:pPr>
            <w:r>
              <w:rPr>
                <w:rFonts w:ascii="方正书宋_GBK" w:eastAsia="方正书宋_GBK"/>
                <w:b/>
              </w:rPr>
              <w:t>政府采购金额（当年单位预算安排资金）</w:t>
            </w:r>
          </w:p>
        </w:tc>
      </w:tr>
      <w:tr w14:paraId="5638D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1EDCA567">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14:paraId="07DE765F">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14:paraId="228325FD">
            <w:pPr>
              <w:spacing w:line="300" w:lineRule="exact"/>
              <w:jc w:val="left"/>
              <w:outlineLvl w:val="0"/>
              <w:rPr>
                <w:rFonts w:ascii="Times New Roman" w:eastAsia="方正仿宋_GBK"/>
                <w:sz w:val="28"/>
              </w:rPr>
            </w:pPr>
          </w:p>
        </w:tc>
        <w:tc>
          <w:tcPr>
            <w:tcW w:w="1531" w:type="dxa"/>
            <w:vMerge w:val="continue"/>
            <w:shd w:val="clear" w:color="auto" w:fill="auto"/>
            <w:vAlign w:val="center"/>
          </w:tcPr>
          <w:p w14:paraId="039A286B">
            <w:pPr>
              <w:spacing w:line="300" w:lineRule="exact"/>
              <w:jc w:val="left"/>
              <w:outlineLvl w:val="0"/>
              <w:rPr>
                <w:rFonts w:ascii="Times New Roman" w:eastAsia="方正仿宋_GBK"/>
                <w:sz w:val="28"/>
              </w:rPr>
            </w:pPr>
          </w:p>
        </w:tc>
        <w:tc>
          <w:tcPr>
            <w:tcW w:w="709" w:type="dxa"/>
            <w:vMerge w:val="continue"/>
            <w:shd w:val="clear" w:color="auto" w:fill="auto"/>
            <w:vAlign w:val="center"/>
          </w:tcPr>
          <w:p w14:paraId="3AA66401">
            <w:pPr>
              <w:spacing w:line="300" w:lineRule="exact"/>
              <w:jc w:val="left"/>
              <w:outlineLvl w:val="0"/>
              <w:rPr>
                <w:rFonts w:ascii="Times New Roman" w:eastAsia="方正仿宋_GBK"/>
                <w:sz w:val="28"/>
              </w:rPr>
            </w:pPr>
          </w:p>
        </w:tc>
        <w:tc>
          <w:tcPr>
            <w:tcW w:w="907" w:type="dxa"/>
            <w:vMerge w:val="continue"/>
            <w:shd w:val="clear" w:color="auto" w:fill="auto"/>
            <w:vAlign w:val="center"/>
          </w:tcPr>
          <w:p w14:paraId="7D43BF8B">
            <w:pPr>
              <w:spacing w:line="300" w:lineRule="exact"/>
              <w:jc w:val="left"/>
              <w:outlineLvl w:val="0"/>
              <w:rPr>
                <w:rFonts w:ascii="Times New Roman" w:eastAsia="方正仿宋_GBK"/>
                <w:sz w:val="28"/>
              </w:rPr>
            </w:pPr>
          </w:p>
        </w:tc>
        <w:tc>
          <w:tcPr>
            <w:tcW w:w="907" w:type="dxa"/>
            <w:vMerge w:val="continue"/>
            <w:shd w:val="clear" w:color="auto" w:fill="auto"/>
            <w:vAlign w:val="center"/>
          </w:tcPr>
          <w:p w14:paraId="2D6B3A64">
            <w:pPr>
              <w:spacing w:line="300" w:lineRule="exact"/>
              <w:jc w:val="left"/>
              <w:outlineLvl w:val="0"/>
              <w:rPr>
                <w:rFonts w:ascii="Times New Roman" w:eastAsia="方正仿宋_GBK"/>
                <w:sz w:val="28"/>
              </w:rPr>
            </w:pPr>
          </w:p>
        </w:tc>
        <w:tc>
          <w:tcPr>
            <w:tcW w:w="1134" w:type="dxa"/>
            <w:shd w:val="clear" w:color="auto" w:fill="auto"/>
            <w:vAlign w:val="center"/>
          </w:tcPr>
          <w:p w14:paraId="55ED7C6C">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14:paraId="306240E9">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14:paraId="122B1488">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14:paraId="1DB01E2C">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14:paraId="22A0B1E2">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14:paraId="1C490789">
            <w:pPr>
              <w:spacing w:line="300" w:lineRule="exact"/>
              <w:jc w:val="center"/>
              <w:rPr>
                <w:rFonts w:ascii="方正书宋_GBK" w:eastAsia="方正书宋_GBK"/>
                <w:b/>
              </w:rPr>
            </w:pPr>
            <w:r>
              <w:rPr>
                <w:rFonts w:ascii="方正书宋_GBK" w:eastAsia="方正书宋_GBK"/>
                <w:b/>
              </w:rPr>
              <w:t>其他来源收入</w:t>
            </w:r>
          </w:p>
        </w:tc>
      </w:tr>
      <w:tr w14:paraId="57CBE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4DB54025">
            <w:pPr>
              <w:spacing w:line="300" w:lineRule="exact"/>
              <w:jc w:val="center"/>
              <w:rPr>
                <w:rFonts w:ascii="方正书宋_GBK" w:eastAsia="方正书宋_GBK"/>
                <w:b/>
              </w:rPr>
            </w:pPr>
            <w:r>
              <w:rPr>
                <w:rFonts w:ascii="方正书宋_GBK" w:eastAsia="方正书宋_GBK"/>
                <w:b/>
              </w:rPr>
              <w:t>合　计</w:t>
            </w:r>
          </w:p>
        </w:tc>
        <w:tc>
          <w:tcPr>
            <w:tcW w:w="1134" w:type="dxa"/>
            <w:shd w:val="clear" w:color="auto" w:fill="auto"/>
            <w:vAlign w:val="center"/>
          </w:tcPr>
          <w:p w14:paraId="71B8942C">
            <w:pPr>
              <w:spacing w:line="300" w:lineRule="exact"/>
              <w:jc w:val="right"/>
              <w:rPr>
                <w:rFonts w:ascii="方正书宋_GBK" w:eastAsia="方正书宋_GBK"/>
                <w:b/>
              </w:rPr>
            </w:pPr>
          </w:p>
        </w:tc>
        <w:tc>
          <w:tcPr>
            <w:tcW w:w="1531" w:type="dxa"/>
            <w:shd w:val="clear" w:color="auto" w:fill="auto"/>
            <w:vAlign w:val="center"/>
          </w:tcPr>
          <w:p w14:paraId="1D4C2811">
            <w:pPr>
              <w:spacing w:line="300" w:lineRule="exact"/>
              <w:jc w:val="left"/>
              <w:rPr>
                <w:rFonts w:ascii="方正书宋_GBK" w:eastAsia="方正书宋_GBK"/>
                <w:b/>
              </w:rPr>
            </w:pPr>
          </w:p>
        </w:tc>
        <w:tc>
          <w:tcPr>
            <w:tcW w:w="1531" w:type="dxa"/>
            <w:shd w:val="clear" w:color="auto" w:fill="auto"/>
            <w:vAlign w:val="center"/>
          </w:tcPr>
          <w:p w14:paraId="6AB3FDF7">
            <w:pPr>
              <w:spacing w:line="300" w:lineRule="exact"/>
              <w:jc w:val="left"/>
              <w:rPr>
                <w:rFonts w:ascii="方正书宋_GBK" w:eastAsia="方正书宋_GBK"/>
                <w:b/>
              </w:rPr>
            </w:pPr>
          </w:p>
        </w:tc>
        <w:tc>
          <w:tcPr>
            <w:tcW w:w="709" w:type="dxa"/>
            <w:shd w:val="clear" w:color="auto" w:fill="auto"/>
            <w:vAlign w:val="center"/>
          </w:tcPr>
          <w:p w14:paraId="3E10ED7C">
            <w:pPr>
              <w:spacing w:line="300" w:lineRule="exact"/>
              <w:jc w:val="center"/>
              <w:rPr>
                <w:rFonts w:ascii="方正书宋_GBK" w:eastAsia="方正书宋_GBK"/>
                <w:b/>
              </w:rPr>
            </w:pPr>
          </w:p>
        </w:tc>
        <w:tc>
          <w:tcPr>
            <w:tcW w:w="907" w:type="dxa"/>
            <w:shd w:val="clear" w:color="auto" w:fill="auto"/>
            <w:vAlign w:val="center"/>
          </w:tcPr>
          <w:p w14:paraId="5F35A620">
            <w:pPr>
              <w:spacing w:line="300" w:lineRule="exact"/>
              <w:jc w:val="right"/>
              <w:rPr>
                <w:rFonts w:ascii="方正书宋_GBK" w:eastAsia="方正书宋_GBK"/>
                <w:b/>
              </w:rPr>
            </w:pPr>
          </w:p>
        </w:tc>
        <w:tc>
          <w:tcPr>
            <w:tcW w:w="907" w:type="dxa"/>
            <w:shd w:val="clear" w:color="auto" w:fill="auto"/>
            <w:vAlign w:val="center"/>
          </w:tcPr>
          <w:p w14:paraId="62FEC349">
            <w:pPr>
              <w:spacing w:line="300" w:lineRule="exact"/>
              <w:jc w:val="right"/>
              <w:rPr>
                <w:rFonts w:ascii="方正书宋_GBK" w:eastAsia="方正书宋_GBK"/>
                <w:b/>
              </w:rPr>
            </w:pPr>
          </w:p>
        </w:tc>
        <w:tc>
          <w:tcPr>
            <w:tcW w:w="1134" w:type="dxa"/>
            <w:shd w:val="clear" w:color="auto" w:fill="auto"/>
            <w:vAlign w:val="center"/>
          </w:tcPr>
          <w:p w14:paraId="4653A5A1">
            <w:pPr>
              <w:spacing w:line="300" w:lineRule="exact"/>
              <w:jc w:val="right"/>
              <w:rPr>
                <w:rFonts w:ascii="方正书宋_GBK" w:eastAsia="方正书宋_GBK"/>
                <w:b/>
              </w:rPr>
            </w:pPr>
          </w:p>
        </w:tc>
        <w:tc>
          <w:tcPr>
            <w:tcW w:w="1134" w:type="dxa"/>
            <w:shd w:val="clear" w:color="auto" w:fill="auto"/>
            <w:vAlign w:val="center"/>
          </w:tcPr>
          <w:p w14:paraId="3E91CE09">
            <w:pPr>
              <w:spacing w:line="300" w:lineRule="exact"/>
              <w:jc w:val="right"/>
              <w:rPr>
                <w:rFonts w:ascii="方正书宋_GBK" w:eastAsia="方正书宋_GBK"/>
                <w:b/>
              </w:rPr>
            </w:pPr>
          </w:p>
        </w:tc>
        <w:tc>
          <w:tcPr>
            <w:tcW w:w="1134" w:type="dxa"/>
            <w:shd w:val="clear" w:color="auto" w:fill="auto"/>
            <w:vAlign w:val="center"/>
          </w:tcPr>
          <w:p w14:paraId="382BC9B0">
            <w:pPr>
              <w:spacing w:line="300" w:lineRule="exact"/>
              <w:jc w:val="right"/>
              <w:rPr>
                <w:rFonts w:ascii="方正书宋_GBK" w:eastAsia="方正书宋_GBK"/>
                <w:b/>
              </w:rPr>
            </w:pPr>
          </w:p>
        </w:tc>
        <w:tc>
          <w:tcPr>
            <w:tcW w:w="1134" w:type="dxa"/>
            <w:shd w:val="clear" w:color="auto" w:fill="auto"/>
            <w:vAlign w:val="center"/>
          </w:tcPr>
          <w:p w14:paraId="6B81F5EC">
            <w:pPr>
              <w:spacing w:line="300" w:lineRule="exact"/>
              <w:jc w:val="right"/>
              <w:rPr>
                <w:rFonts w:ascii="方正书宋_GBK" w:eastAsia="方正书宋_GBK"/>
                <w:b/>
              </w:rPr>
            </w:pPr>
          </w:p>
        </w:tc>
        <w:tc>
          <w:tcPr>
            <w:tcW w:w="1134" w:type="dxa"/>
            <w:shd w:val="clear" w:color="auto" w:fill="auto"/>
            <w:vAlign w:val="center"/>
          </w:tcPr>
          <w:p w14:paraId="15A21E9A">
            <w:pPr>
              <w:spacing w:line="300" w:lineRule="exact"/>
              <w:jc w:val="right"/>
              <w:rPr>
                <w:rFonts w:ascii="方正书宋_GBK" w:eastAsia="方正书宋_GBK"/>
                <w:b/>
              </w:rPr>
            </w:pPr>
          </w:p>
        </w:tc>
        <w:tc>
          <w:tcPr>
            <w:tcW w:w="1134" w:type="dxa"/>
            <w:shd w:val="clear" w:color="auto" w:fill="auto"/>
            <w:vAlign w:val="center"/>
          </w:tcPr>
          <w:p w14:paraId="5F0CCF5D">
            <w:pPr>
              <w:spacing w:line="300" w:lineRule="exact"/>
              <w:jc w:val="right"/>
              <w:rPr>
                <w:rFonts w:ascii="方正书宋_GBK" w:eastAsia="方正书宋_GBK"/>
                <w:b/>
              </w:rPr>
            </w:pPr>
          </w:p>
        </w:tc>
      </w:tr>
      <w:tr w14:paraId="575AA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2A300BC2">
            <w:pPr>
              <w:spacing w:line="300" w:lineRule="exact"/>
              <w:jc w:val="center"/>
              <w:rPr>
                <w:rFonts w:ascii="方正书宋_GBK" w:eastAsia="方正书宋_GBK"/>
                <w:b/>
              </w:rPr>
            </w:pPr>
            <w:r>
              <w:rPr>
                <w:rFonts w:ascii="方正书宋_GBK" w:eastAsia="方正书宋_GBK"/>
                <w:b/>
              </w:rPr>
              <w:t>交通局（行政）小计</w:t>
            </w:r>
          </w:p>
        </w:tc>
        <w:tc>
          <w:tcPr>
            <w:tcW w:w="1134" w:type="dxa"/>
            <w:shd w:val="clear" w:color="auto" w:fill="auto"/>
            <w:vAlign w:val="center"/>
          </w:tcPr>
          <w:p w14:paraId="56E1B547">
            <w:pPr>
              <w:spacing w:line="300" w:lineRule="exact"/>
              <w:jc w:val="right"/>
              <w:rPr>
                <w:rFonts w:ascii="方正书宋_GBK" w:eastAsia="方正书宋_GBK"/>
                <w:b/>
              </w:rPr>
            </w:pPr>
          </w:p>
        </w:tc>
        <w:tc>
          <w:tcPr>
            <w:tcW w:w="1531" w:type="dxa"/>
            <w:shd w:val="clear" w:color="auto" w:fill="auto"/>
            <w:vAlign w:val="center"/>
          </w:tcPr>
          <w:p w14:paraId="4DC17058">
            <w:pPr>
              <w:spacing w:line="300" w:lineRule="exact"/>
              <w:jc w:val="left"/>
              <w:rPr>
                <w:rFonts w:ascii="方正书宋_GBK" w:eastAsia="方正书宋_GBK"/>
                <w:b/>
              </w:rPr>
            </w:pPr>
          </w:p>
        </w:tc>
        <w:tc>
          <w:tcPr>
            <w:tcW w:w="1531" w:type="dxa"/>
            <w:shd w:val="clear" w:color="auto" w:fill="auto"/>
            <w:vAlign w:val="center"/>
          </w:tcPr>
          <w:p w14:paraId="33437424">
            <w:pPr>
              <w:spacing w:line="300" w:lineRule="exact"/>
              <w:jc w:val="left"/>
              <w:rPr>
                <w:rFonts w:ascii="方正书宋_GBK" w:eastAsia="方正书宋_GBK"/>
                <w:b/>
              </w:rPr>
            </w:pPr>
          </w:p>
        </w:tc>
        <w:tc>
          <w:tcPr>
            <w:tcW w:w="709" w:type="dxa"/>
            <w:shd w:val="clear" w:color="auto" w:fill="auto"/>
            <w:vAlign w:val="center"/>
          </w:tcPr>
          <w:p w14:paraId="62082A4E">
            <w:pPr>
              <w:spacing w:line="300" w:lineRule="exact"/>
              <w:jc w:val="center"/>
              <w:rPr>
                <w:rFonts w:ascii="方正书宋_GBK" w:eastAsia="方正书宋_GBK"/>
                <w:b/>
              </w:rPr>
            </w:pPr>
          </w:p>
        </w:tc>
        <w:tc>
          <w:tcPr>
            <w:tcW w:w="907" w:type="dxa"/>
            <w:shd w:val="clear" w:color="auto" w:fill="auto"/>
            <w:vAlign w:val="center"/>
          </w:tcPr>
          <w:p w14:paraId="4ACD78A8">
            <w:pPr>
              <w:spacing w:line="300" w:lineRule="exact"/>
              <w:jc w:val="right"/>
              <w:rPr>
                <w:rFonts w:ascii="方正书宋_GBK" w:eastAsia="方正书宋_GBK"/>
                <w:b/>
              </w:rPr>
            </w:pPr>
          </w:p>
        </w:tc>
        <w:tc>
          <w:tcPr>
            <w:tcW w:w="907" w:type="dxa"/>
            <w:shd w:val="clear" w:color="auto" w:fill="auto"/>
            <w:vAlign w:val="center"/>
          </w:tcPr>
          <w:p w14:paraId="34F92A68">
            <w:pPr>
              <w:spacing w:line="300" w:lineRule="exact"/>
              <w:jc w:val="right"/>
              <w:rPr>
                <w:rFonts w:ascii="方正书宋_GBK" w:eastAsia="方正书宋_GBK"/>
                <w:b/>
              </w:rPr>
            </w:pPr>
          </w:p>
        </w:tc>
        <w:tc>
          <w:tcPr>
            <w:tcW w:w="1134" w:type="dxa"/>
            <w:shd w:val="clear" w:color="auto" w:fill="auto"/>
            <w:vAlign w:val="center"/>
          </w:tcPr>
          <w:p w14:paraId="11FDA70F">
            <w:pPr>
              <w:spacing w:line="300" w:lineRule="exact"/>
              <w:jc w:val="right"/>
              <w:rPr>
                <w:rFonts w:ascii="方正书宋_GBK" w:eastAsia="方正书宋_GBK"/>
                <w:b/>
              </w:rPr>
            </w:pPr>
          </w:p>
        </w:tc>
        <w:tc>
          <w:tcPr>
            <w:tcW w:w="1134" w:type="dxa"/>
            <w:shd w:val="clear" w:color="auto" w:fill="auto"/>
            <w:vAlign w:val="center"/>
          </w:tcPr>
          <w:p w14:paraId="7969CA68">
            <w:pPr>
              <w:spacing w:line="300" w:lineRule="exact"/>
              <w:jc w:val="right"/>
              <w:rPr>
                <w:rFonts w:ascii="方正书宋_GBK" w:eastAsia="方正书宋_GBK"/>
                <w:b/>
              </w:rPr>
            </w:pPr>
          </w:p>
        </w:tc>
        <w:tc>
          <w:tcPr>
            <w:tcW w:w="1134" w:type="dxa"/>
            <w:shd w:val="clear" w:color="auto" w:fill="auto"/>
            <w:vAlign w:val="center"/>
          </w:tcPr>
          <w:p w14:paraId="65075E16">
            <w:pPr>
              <w:spacing w:line="300" w:lineRule="exact"/>
              <w:jc w:val="right"/>
              <w:rPr>
                <w:rFonts w:ascii="方正书宋_GBK" w:eastAsia="方正书宋_GBK"/>
                <w:b/>
              </w:rPr>
            </w:pPr>
          </w:p>
        </w:tc>
        <w:tc>
          <w:tcPr>
            <w:tcW w:w="1134" w:type="dxa"/>
            <w:shd w:val="clear" w:color="auto" w:fill="auto"/>
            <w:vAlign w:val="center"/>
          </w:tcPr>
          <w:p w14:paraId="74C8D578">
            <w:pPr>
              <w:spacing w:line="300" w:lineRule="exact"/>
              <w:jc w:val="right"/>
              <w:rPr>
                <w:rFonts w:ascii="方正书宋_GBK" w:eastAsia="方正书宋_GBK"/>
                <w:b/>
              </w:rPr>
            </w:pPr>
          </w:p>
        </w:tc>
        <w:tc>
          <w:tcPr>
            <w:tcW w:w="1134" w:type="dxa"/>
            <w:shd w:val="clear" w:color="auto" w:fill="auto"/>
            <w:vAlign w:val="center"/>
          </w:tcPr>
          <w:p w14:paraId="0F4D0911">
            <w:pPr>
              <w:spacing w:line="300" w:lineRule="exact"/>
              <w:jc w:val="right"/>
              <w:rPr>
                <w:rFonts w:ascii="方正书宋_GBK" w:eastAsia="方正书宋_GBK"/>
                <w:b/>
              </w:rPr>
            </w:pPr>
          </w:p>
        </w:tc>
        <w:tc>
          <w:tcPr>
            <w:tcW w:w="1134" w:type="dxa"/>
            <w:shd w:val="clear" w:color="auto" w:fill="auto"/>
            <w:vAlign w:val="center"/>
          </w:tcPr>
          <w:p w14:paraId="71B452B4">
            <w:pPr>
              <w:spacing w:line="300" w:lineRule="exact"/>
              <w:jc w:val="right"/>
              <w:rPr>
                <w:rFonts w:ascii="方正书宋_GBK" w:eastAsia="方正书宋_GBK"/>
                <w:b/>
              </w:rPr>
            </w:pPr>
          </w:p>
        </w:tc>
      </w:tr>
      <w:tr w14:paraId="30B70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52A0F4E4">
            <w:pPr>
              <w:spacing w:line="300" w:lineRule="exact"/>
              <w:jc w:val="center"/>
              <w:rPr>
                <w:rFonts w:ascii="方正书宋_GBK" w:eastAsia="方正书宋_GBK"/>
                <w:b/>
              </w:rPr>
            </w:pPr>
            <w:r>
              <w:rPr>
                <w:rFonts w:ascii="方正书宋_GBK" w:eastAsia="方正书宋_GBK"/>
                <w:b/>
              </w:rPr>
              <w:t>交通局（事业）小计</w:t>
            </w:r>
          </w:p>
        </w:tc>
        <w:tc>
          <w:tcPr>
            <w:tcW w:w="1134" w:type="dxa"/>
            <w:shd w:val="clear" w:color="auto" w:fill="auto"/>
            <w:vAlign w:val="center"/>
          </w:tcPr>
          <w:p w14:paraId="68D99536">
            <w:pPr>
              <w:spacing w:line="300" w:lineRule="exact"/>
              <w:jc w:val="right"/>
              <w:rPr>
                <w:rFonts w:ascii="方正书宋_GBK" w:eastAsia="方正书宋_GBK"/>
                <w:b/>
              </w:rPr>
            </w:pPr>
          </w:p>
        </w:tc>
        <w:tc>
          <w:tcPr>
            <w:tcW w:w="1531" w:type="dxa"/>
            <w:shd w:val="clear" w:color="auto" w:fill="auto"/>
            <w:vAlign w:val="center"/>
          </w:tcPr>
          <w:p w14:paraId="71A6D917">
            <w:pPr>
              <w:spacing w:line="300" w:lineRule="exact"/>
              <w:jc w:val="left"/>
              <w:rPr>
                <w:rFonts w:ascii="方正书宋_GBK" w:eastAsia="方正书宋_GBK"/>
                <w:b/>
              </w:rPr>
            </w:pPr>
          </w:p>
        </w:tc>
        <w:tc>
          <w:tcPr>
            <w:tcW w:w="1531" w:type="dxa"/>
            <w:shd w:val="clear" w:color="auto" w:fill="auto"/>
            <w:vAlign w:val="center"/>
          </w:tcPr>
          <w:p w14:paraId="4D32737F">
            <w:pPr>
              <w:spacing w:line="300" w:lineRule="exact"/>
              <w:jc w:val="left"/>
              <w:rPr>
                <w:rFonts w:ascii="方正书宋_GBK" w:eastAsia="方正书宋_GBK"/>
                <w:b/>
              </w:rPr>
            </w:pPr>
          </w:p>
        </w:tc>
        <w:tc>
          <w:tcPr>
            <w:tcW w:w="709" w:type="dxa"/>
            <w:shd w:val="clear" w:color="auto" w:fill="auto"/>
            <w:vAlign w:val="center"/>
          </w:tcPr>
          <w:p w14:paraId="3DAEEDB1">
            <w:pPr>
              <w:spacing w:line="300" w:lineRule="exact"/>
              <w:jc w:val="center"/>
              <w:rPr>
                <w:rFonts w:ascii="方正书宋_GBK" w:eastAsia="方正书宋_GBK"/>
                <w:b/>
              </w:rPr>
            </w:pPr>
          </w:p>
        </w:tc>
        <w:tc>
          <w:tcPr>
            <w:tcW w:w="907" w:type="dxa"/>
            <w:shd w:val="clear" w:color="auto" w:fill="auto"/>
            <w:vAlign w:val="center"/>
          </w:tcPr>
          <w:p w14:paraId="2BE28E38">
            <w:pPr>
              <w:spacing w:line="300" w:lineRule="exact"/>
              <w:jc w:val="right"/>
              <w:rPr>
                <w:rFonts w:ascii="方正书宋_GBK" w:eastAsia="方正书宋_GBK"/>
                <w:b/>
              </w:rPr>
            </w:pPr>
          </w:p>
        </w:tc>
        <w:tc>
          <w:tcPr>
            <w:tcW w:w="907" w:type="dxa"/>
            <w:shd w:val="clear" w:color="auto" w:fill="auto"/>
            <w:vAlign w:val="center"/>
          </w:tcPr>
          <w:p w14:paraId="49E27BAD">
            <w:pPr>
              <w:spacing w:line="300" w:lineRule="exact"/>
              <w:jc w:val="right"/>
              <w:rPr>
                <w:rFonts w:ascii="方正书宋_GBK" w:eastAsia="方正书宋_GBK"/>
                <w:b/>
              </w:rPr>
            </w:pPr>
          </w:p>
        </w:tc>
        <w:tc>
          <w:tcPr>
            <w:tcW w:w="1134" w:type="dxa"/>
            <w:shd w:val="clear" w:color="auto" w:fill="auto"/>
            <w:vAlign w:val="center"/>
          </w:tcPr>
          <w:p w14:paraId="0472722F">
            <w:pPr>
              <w:spacing w:line="300" w:lineRule="exact"/>
              <w:jc w:val="right"/>
              <w:rPr>
                <w:rFonts w:ascii="方正书宋_GBK" w:eastAsia="方正书宋_GBK"/>
                <w:b/>
              </w:rPr>
            </w:pPr>
          </w:p>
        </w:tc>
        <w:tc>
          <w:tcPr>
            <w:tcW w:w="1134" w:type="dxa"/>
            <w:shd w:val="clear" w:color="auto" w:fill="auto"/>
            <w:vAlign w:val="center"/>
          </w:tcPr>
          <w:p w14:paraId="13A5F6FD">
            <w:pPr>
              <w:spacing w:line="300" w:lineRule="exact"/>
              <w:jc w:val="right"/>
              <w:rPr>
                <w:rFonts w:ascii="方正书宋_GBK" w:eastAsia="方正书宋_GBK"/>
                <w:b/>
              </w:rPr>
            </w:pPr>
          </w:p>
        </w:tc>
        <w:tc>
          <w:tcPr>
            <w:tcW w:w="1134" w:type="dxa"/>
            <w:shd w:val="clear" w:color="auto" w:fill="auto"/>
            <w:vAlign w:val="center"/>
          </w:tcPr>
          <w:p w14:paraId="2F4D1576">
            <w:pPr>
              <w:spacing w:line="300" w:lineRule="exact"/>
              <w:jc w:val="right"/>
              <w:rPr>
                <w:rFonts w:ascii="方正书宋_GBK" w:eastAsia="方正书宋_GBK"/>
                <w:b/>
              </w:rPr>
            </w:pPr>
          </w:p>
        </w:tc>
        <w:tc>
          <w:tcPr>
            <w:tcW w:w="1134" w:type="dxa"/>
            <w:shd w:val="clear" w:color="auto" w:fill="auto"/>
            <w:vAlign w:val="center"/>
          </w:tcPr>
          <w:p w14:paraId="25336901">
            <w:pPr>
              <w:spacing w:line="300" w:lineRule="exact"/>
              <w:jc w:val="right"/>
              <w:rPr>
                <w:rFonts w:ascii="方正书宋_GBK" w:eastAsia="方正书宋_GBK"/>
                <w:b/>
              </w:rPr>
            </w:pPr>
          </w:p>
        </w:tc>
        <w:tc>
          <w:tcPr>
            <w:tcW w:w="1134" w:type="dxa"/>
            <w:shd w:val="clear" w:color="auto" w:fill="auto"/>
            <w:vAlign w:val="center"/>
          </w:tcPr>
          <w:p w14:paraId="16869A7A">
            <w:pPr>
              <w:spacing w:line="300" w:lineRule="exact"/>
              <w:jc w:val="right"/>
              <w:rPr>
                <w:rFonts w:ascii="方正书宋_GBK" w:eastAsia="方正书宋_GBK"/>
                <w:b/>
              </w:rPr>
            </w:pPr>
          </w:p>
        </w:tc>
        <w:tc>
          <w:tcPr>
            <w:tcW w:w="1134" w:type="dxa"/>
            <w:shd w:val="clear" w:color="auto" w:fill="auto"/>
            <w:vAlign w:val="center"/>
          </w:tcPr>
          <w:p w14:paraId="1C7D4C23">
            <w:pPr>
              <w:spacing w:line="300" w:lineRule="exact"/>
              <w:jc w:val="right"/>
              <w:rPr>
                <w:rFonts w:ascii="方正书宋_GBK" w:eastAsia="方正书宋_GBK"/>
                <w:b/>
              </w:rPr>
            </w:pPr>
          </w:p>
        </w:tc>
      </w:tr>
    </w:tbl>
    <w:p w14:paraId="5513D7C1">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14:paraId="16637E45">
      <w:pPr>
        <w:spacing w:line="360" w:lineRule="auto"/>
        <w:rPr>
          <w:rFonts w:ascii="仿宋" w:hAnsi="仿宋" w:eastAsia="仿宋"/>
          <w:sz w:val="32"/>
          <w:szCs w:val="32"/>
        </w:rPr>
      </w:pPr>
    </w:p>
    <w:p w14:paraId="4DFE6ECA">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5DEDF55D">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上年末我单位固定资产总金额为1</w:t>
      </w:r>
      <w:r>
        <w:rPr>
          <w:rFonts w:ascii="仿宋" w:hAnsi="仿宋" w:eastAsia="仿宋"/>
          <w:sz w:val="32"/>
          <w:szCs w:val="32"/>
        </w:rPr>
        <w:t>978.75</w:t>
      </w:r>
      <w:r>
        <w:rPr>
          <w:rFonts w:hint="eastAsia" w:ascii="仿宋" w:hAnsi="仿宋" w:eastAsia="仿宋"/>
          <w:sz w:val="32"/>
          <w:szCs w:val="32"/>
        </w:rPr>
        <w:t>万元（详见下表）。</w:t>
      </w:r>
    </w:p>
    <w:p w14:paraId="2FB44CBC">
      <w:pPr>
        <w:spacing w:line="360" w:lineRule="auto"/>
        <w:ind w:firstLine="640" w:firstLineChars="200"/>
        <w:rPr>
          <w:rFonts w:ascii="仿宋" w:hAnsi="仿宋" w:eastAsia="仿宋"/>
          <w:sz w:val="32"/>
          <w:szCs w:val="32"/>
        </w:rPr>
      </w:pPr>
      <w:r>
        <w:rPr>
          <w:rFonts w:hint="eastAsia" w:ascii="仿宋" w:hAnsi="仿宋" w:eastAsia="仿宋"/>
          <w:sz w:val="32"/>
          <w:szCs w:val="32"/>
        </w:rPr>
        <w:t>我单位本年度无国有资产购置计划，拟购置金额为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176"/>
        <w:gridCol w:w="4261"/>
      </w:tblGrid>
      <w:tr w14:paraId="0599E0A8">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65978662">
            <w:pPr>
              <w:widowControl/>
              <w:jc w:val="center"/>
              <w:rPr>
                <w:rFonts w:ascii="宋体" w:hAnsi="宋体" w:cs="宋体"/>
                <w:kern w:val="0"/>
                <w:sz w:val="28"/>
                <w:szCs w:val="28"/>
              </w:rPr>
            </w:pPr>
            <w:r>
              <w:rPr>
                <w:rFonts w:hint="eastAsia" w:ascii="宋体" w:hAnsi="宋体"/>
                <w:sz w:val="32"/>
                <w:szCs w:val="32"/>
              </w:rPr>
              <w:t>固定资产占用情况表</w:t>
            </w:r>
          </w:p>
        </w:tc>
      </w:tr>
      <w:tr w14:paraId="56BE1E6F">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0B332C3A">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14:paraId="01B70AA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F5A7251">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11C593AE">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3F124C34">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3B893A2D">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9363F6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4C5CADA8">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0E4AB0A6">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1978.75</w:t>
            </w:r>
          </w:p>
        </w:tc>
      </w:tr>
      <w:tr w14:paraId="27D66C8C">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653C041">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3BAC05A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14878</w:t>
            </w:r>
            <w:r>
              <w:rPr>
                <w:rFonts w:ascii="仿宋_GB2312" w:hAnsi="仿宋" w:eastAsia="仿宋_GB2312" w:cs="宋体"/>
                <w:kern w:val="0"/>
                <w:sz w:val="24"/>
                <w:szCs w:val="24"/>
              </w:rPr>
              <w:t>.00</w:t>
            </w:r>
          </w:p>
        </w:tc>
        <w:tc>
          <w:tcPr>
            <w:tcW w:w="4261" w:type="dxa"/>
            <w:tcBorders>
              <w:top w:val="nil"/>
              <w:left w:val="nil"/>
              <w:bottom w:val="single" w:color="auto" w:sz="4" w:space="0"/>
              <w:right w:val="single" w:color="auto" w:sz="4" w:space="0"/>
            </w:tcBorders>
            <w:shd w:val="clear" w:color="auto" w:fill="auto"/>
            <w:noWrap/>
            <w:vAlign w:val="center"/>
          </w:tcPr>
          <w:p w14:paraId="262DA28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1295.88</w:t>
            </w:r>
          </w:p>
        </w:tc>
      </w:tr>
      <w:tr w14:paraId="4980968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20167">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7D7A6A5">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14878</w:t>
            </w:r>
            <w:r>
              <w:rPr>
                <w:rFonts w:ascii="仿宋_GB2312" w:hAnsi="仿宋" w:eastAsia="仿宋_GB2312" w:cs="宋体"/>
                <w:kern w:val="0"/>
                <w:sz w:val="24"/>
                <w:szCs w:val="24"/>
              </w:rPr>
              <w:t>.00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48CBFB0D">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1295.88</w:t>
            </w:r>
          </w:p>
        </w:tc>
      </w:tr>
      <w:tr w14:paraId="42B686E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DB45D3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05C407C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w:t>
            </w:r>
          </w:p>
        </w:tc>
        <w:tc>
          <w:tcPr>
            <w:tcW w:w="4261" w:type="dxa"/>
            <w:tcBorders>
              <w:top w:val="nil"/>
              <w:left w:val="nil"/>
              <w:bottom w:val="single" w:color="auto" w:sz="4" w:space="0"/>
              <w:right w:val="single" w:color="auto" w:sz="4" w:space="0"/>
            </w:tcBorders>
            <w:shd w:val="clear" w:color="auto" w:fill="auto"/>
            <w:noWrap/>
            <w:vAlign w:val="center"/>
          </w:tcPr>
          <w:p w14:paraId="3020CE45">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138.40</w:t>
            </w:r>
          </w:p>
        </w:tc>
      </w:tr>
      <w:tr w14:paraId="36D48DBA">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585185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20AC59A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14:paraId="0C56E00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649D4BCC">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A7836">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28F7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90576">
            <w:pPr>
              <w:widowControl/>
              <w:jc w:val="center"/>
              <w:rPr>
                <w:rFonts w:ascii="仿宋_GB2312" w:hAnsi="仿宋" w:eastAsia="仿宋_GB2312" w:cs="宋体"/>
                <w:kern w:val="0"/>
                <w:sz w:val="24"/>
                <w:szCs w:val="24"/>
              </w:rPr>
            </w:pPr>
          </w:p>
        </w:tc>
      </w:tr>
      <w:tr w14:paraId="253A18E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46C76">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128C08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3762CB3">
            <w:pPr>
              <w:widowControl/>
              <w:jc w:val="center"/>
              <w:rPr>
                <w:rFonts w:ascii="仿宋_GB2312" w:hAnsi="仿宋" w:eastAsia="仿宋_GB2312" w:cs="宋体"/>
                <w:kern w:val="0"/>
                <w:sz w:val="24"/>
                <w:szCs w:val="24"/>
              </w:rPr>
            </w:pPr>
          </w:p>
        </w:tc>
      </w:tr>
      <w:tr w14:paraId="51260162">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8E1A0">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4A6B216">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A1ABC2A">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544.47</w:t>
            </w:r>
          </w:p>
        </w:tc>
      </w:tr>
    </w:tbl>
    <w:p w14:paraId="4F979D5E">
      <w:pPr>
        <w:spacing w:line="360" w:lineRule="auto"/>
        <w:rPr>
          <w:rFonts w:ascii="黑体" w:hAnsi="黑体" w:eastAsia="黑体" w:cs="Times New Roman"/>
          <w:sz w:val="32"/>
          <w:szCs w:val="32"/>
        </w:rPr>
      </w:pPr>
    </w:p>
    <w:p w14:paraId="4C5BEA49">
      <w:pPr>
        <w:jc w:val="center"/>
        <w:outlineLvl w:val="0"/>
        <w:rPr>
          <w:rFonts w:ascii="方正小标宋_GBK" w:eastAsia="方正小标宋_GBK"/>
          <w:sz w:val="44"/>
        </w:rPr>
      </w:pPr>
    </w:p>
    <w:p w14:paraId="7B0DE015">
      <w:pPr>
        <w:jc w:val="center"/>
        <w:outlineLvl w:val="0"/>
        <w:rPr>
          <w:rFonts w:ascii="方正小标宋_GBK" w:eastAsia="方正小标宋_GBK"/>
          <w:sz w:val="44"/>
        </w:rPr>
      </w:pPr>
    </w:p>
    <w:p w14:paraId="71DC2CB0">
      <w:pPr>
        <w:jc w:val="center"/>
        <w:outlineLvl w:val="0"/>
        <w:rPr>
          <w:rFonts w:ascii="方正小标宋_GBK" w:eastAsia="方正小标宋_GBK"/>
          <w:sz w:val="44"/>
        </w:rPr>
      </w:pPr>
    </w:p>
    <w:p w14:paraId="651A3086">
      <w:pPr>
        <w:jc w:val="center"/>
        <w:outlineLvl w:val="0"/>
        <w:rPr>
          <w:rFonts w:ascii="方正小标宋_GBK" w:eastAsia="方正小标宋_GBK"/>
          <w:sz w:val="44"/>
        </w:rPr>
      </w:pPr>
    </w:p>
    <w:p w14:paraId="7C2D9429">
      <w:pPr>
        <w:jc w:val="center"/>
        <w:outlineLvl w:val="0"/>
        <w:rPr>
          <w:rFonts w:ascii="方正小标宋_GBK" w:eastAsia="方正小标宋_GBK"/>
          <w:sz w:val="44"/>
        </w:rPr>
      </w:pPr>
    </w:p>
    <w:p w14:paraId="616B4D30">
      <w:pPr>
        <w:jc w:val="center"/>
        <w:outlineLvl w:val="0"/>
        <w:rPr>
          <w:rFonts w:ascii="方正小标宋_GBK" w:eastAsia="方正小标宋_GBK"/>
          <w:sz w:val="44"/>
        </w:rPr>
      </w:pPr>
    </w:p>
    <w:p w14:paraId="1B35FA46">
      <w:pPr>
        <w:jc w:val="center"/>
        <w:outlineLvl w:val="0"/>
        <w:rPr>
          <w:rFonts w:ascii="方正小标宋_GBK" w:eastAsia="方正小标宋_GBK"/>
          <w:sz w:val="44"/>
        </w:rPr>
      </w:pPr>
      <w:r>
        <w:rPr>
          <w:rFonts w:hint="eastAsia" w:ascii="方正小标宋_GBK" w:eastAsia="方正小标宋_GBK"/>
          <w:sz w:val="44"/>
        </w:rPr>
        <w:t>第八部分：名词解释</w:t>
      </w:r>
    </w:p>
    <w:p w14:paraId="302E3679">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10387ED4">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763DDE0E">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3D94A69B">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3BB382C8">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单位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D69A40C">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716AC06">
      <w:pPr>
        <w:spacing w:line="360" w:lineRule="auto"/>
        <w:jc w:val="center"/>
        <w:rPr>
          <w:rFonts w:ascii="黑体" w:hAnsi="黑体" w:eastAsia="黑体" w:cs="Times New Roman"/>
          <w:sz w:val="32"/>
          <w:szCs w:val="32"/>
        </w:rPr>
      </w:pPr>
    </w:p>
    <w:p w14:paraId="3E848336">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2C95A3AB">
      <w:pPr>
        <w:spacing w:line="360" w:lineRule="auto"/>
        <w:ind w:firstLine="640" w:firstLineChars="200"/>
        <w:rPr>
          <w:rFonts w:ascii="仿宋" w:hAnsi="仿宋" w:eastAsia="仿宋"/>
          <w:sz w:val="32"/>
          <w:szCs w:val="32"/>
        </w:rPr>
      </w:pPr>
      <w:r>
        <w:rPr>
          <w:rFonts w:hint="eastAsia" w:ascii="仿宋" w:hAnsi="仿宋" w:eastAsia="仿宋"/>
          <w:sz w:val="32"/>
          <w:szCs w:val="32"/>
        </w:rPr>
        <w:t>我单位无其他需说明的事项。</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1701218"/>
      <w:docPartObj>
        <w:docPartGallery w:val="autotext"/>
      </w:docPartObj>
    </w:sdtPr>
    <w:sdtContent>
      <w:p w14:paraId="00097A0B">
        <w:pPr>
          <w:pStyle w:val="3"/>
          <w:jc w:val="center"/>
        </w:pPr>
        <w:r>
          <w:fldChar w:fldCharType="begin"/>
        </w:r>
        <w:r>
          <w:instrText xml:space="preserve">PAGE   \* MERGEFORMAT</w:instrText>
        </w:r>
        <w:r>
          <w:fldChar w:fldCharType="separate"/>
        </w:r>
        <w:r>
          <w:rPr>
            <w:lang w:val="zh-CN"/>
          </w:rPr>
          <w:t>2</w:t>
        </w:r>
        <w:r>
          <w:fldChar w:fldCharType="end"/>
        </w:r>
      </w:p>
    </w:sdtContent>
  </w:sdt>
  <w:p w14:paraId="475CC6B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223DFF7F">
        <w:pPr>
          <w:pStyle w:val="3"/>
          <w:jc w:val="center"/>
        </w:pPr>
        <w:r>
          <w:fldChar w:fldCharType="begin"/>
        </w:r>
        <w:r>
          <w:instrText xml:space="preserve">PAGE   \* MERGEFORMAT</w:instrText>
        </w:r>
        <w:r>
          <w:fldChar w:fldCharType="separate"/>
        </w:r>
        <w:r>
          <w:rPr>
            <w:lang w:val="zh-CN"/>
          </w:rPr>
          <w:t>12</w:t>
        </w:r>
        <w:r>
          <w:fldChar w:fldCharType="end"/>
        </w:r>
      </w:p>
    </w:sdtContent>
  </w:sdt>
  <w:p w14:paraId="1E88BE3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yY2RlOTcxMjNiNzkyMWJlZTk2OTBmYzQ3OWVlNDgifQ=="/>
  </w:docVars>
  <w:rsids>
    <w:rsidRoot w:val="00055F1F"/>
    <w:rsid w:val="00000B7A"/>
    <w:rsid w:val="00013B8A"/>
    <w:rsid w:val="00044FBC"/>
    <w:rsid w:val="00055F1F"/>
    <w:rsid w:val="000577EF"/>
    <w:rsid w:val="00057F18"/>
    <w:rsid w:val="000673C5"/>
    <w:rsid w:val="000A445D"/>
    <w:rsid w:val="000C178B"/>
    <w:rsid w:val="00131DEC"/>
    <w:rsid w:val="00136AB3"/>
    <w:rsid w:val="001462BD"/>
    <w:rsid w:val="00152380"/>
    <w:rsid w:val="001638BE"/>
    <w:rsid w:val="00164810"/>
    <w:rsid w:val="00172C7A"/>
    <w:rsid w:val="00181777"/>
    <w:rsid w:val="001A5F15"/>
    <w:rsid w:val="001B16C9"/>
    <w:rsid w:val="001B4688"/>
    <w:rsid w:val="001B6235"/>
    <w:rsid w:val="001F4875"/>
    <w:rsid w:val="0020407E"/>
    <w:rsid w:val="00212335"/>
    <w:rsid w:val="00223518"/>
    <w:rsid w:val="00234CAB"/>
    <w:rsid w:val="002918C6"/>
    <w:rsid w:val="00291EF3"/>
    <w:rsid w:val="00296524"/>
    <w:rsid w:val="002E01F6"/>
    <w:rsid w:val="002F1ACB"/>
    <w:rsid w:val="002F343C"/>
    <w:rsid w:val="002F530F"/>
    <w:rsid w:val="002F5FF3"/>
    <w:rsid w:val="00305E97"/>
    <w:rsid w:val="00310532"/>
    <w:rsid w:val="0032782B"/>
    <w:rsid w:val="00340B3D"/>
    <w:rsid w:val="0034253A"/>
    <w:rsid w:val="003669CF"/>
    <w:rsid w:val="00367A30"/>
    <w:rsid w:val="00392D19"/>
    <w:rsid w:val="003A06D2"/>
    <w:rsid w:val="003A4557"/>
    <w:rsid w:val="003A6366"/>
    <w:rsid w:val="003C2317"/>
    <w:rsid w:val="003C442E"/>
    <w:rsid w:val="003D1092"/>
    <w:rsid w:val="003D37CD"/>
    <w:rsid w:val="003E5531"/>
    <w:rsid w:val="003E555C"/>
    <w:rsid w:val="003E6AF3"/>
    <w:rsid w:val="0040243C"/>
    <w:rsid w:val="00406BD1"/>
    <w:rsid w:val="00413413"/>
    <w:rsid w:val="00426C19"/>
    <w:rsid w:val="00450FD9"/>
    <w:rsid w:val="00453CE0"/>
    <w:rsid w:val="00470736"/>
    <w:rsid w:val="00470BBB"/>
    <w:rsid w:val="0048611E"/>
    <w:rsid w:val="004A44D6"/>
    <w:rsid w:val="004B17BF"/>
    <w:rsid w:val="004B6929"/>
    <w:rsid w:val="004E2F43"/>
    <w:rsid w:val="004E3572"/>
    <w:rsid w:val="004F3C52"/>
    <w:rsid w:val="00510A1E"/>
    <w:rsid w:val="005158E2"/>
    <w:rsid w:val="00524204"/>
    <w:rsid w:val="00550049"/>
    <w:rsid w:val="00553F7E"/>
    <w:rsid w:val="00556684"/>
    <w:rsid w:val="00570142"/>
    <w:rsid w:val="00586C35"/>
    <w:rsid w:val="005B1B6F"/>
    <w:rsid w:val="005B6CCB"/>
    <w:rsid w:val="005C54AA"/>
    <w:rsid w:val="005C7B89"/>
    <w:rsid w:val="0062788A"/>
    <w:rsid w:val="00641F8A"/>
    <w:rsid w:val="0066383B"/>
    <w:rsid w:val="00672890"/>
    <w:rsid w:val="006771B9"/>
    <w:rsid w:val="006A6E50"/>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12D81"/>
    <w:rsid w:val="00833132"/>
    <w:rsid w:val="00845C67"/>
    <w:rsid w:val="0086454E"/>
    <w:rsid w:val="008672EA"/>
    <w:rsid w:val="00891680"/>
    <w:rsid w:val="008A0099"/>
    <w:rsid w:val="008A0B5F"/>
    <w:rsid w:val="008B5402"/>
    <w:rsid w:val="008D11BC"/>
    <w:rsid w:val="008D4E22"/>
    <w:rsid w:val="0090527E"/>
    <w:rsid w:val="00905BB7"/>
    <w:rsid w:val="0090620C"/>
    <w:rsid w:val="00912DA4"/>
    <w:rsid w:val="009302B8"/>
    <w:rsid w:val="009305C6"/>
    <w:rsid w:val="009752AE"/>
    <w:rsid w:val="00982F3D"/>
    <w:rsid w:val="00983232"/>
    <w:rsid w:val="009A278A"/>
    <w:rsid w:val="009B6368"/>
    <w:rsid w:val="009F63C4"/>
    <w:rsid w:val="00A16957"/>
    <w:rsid w:val="00A46384"/>
    <w:rsid w:val="00A6155C"/>
    <w:rsid w:val="00A8079E"/>
    <w:rsid w:val="00A90328"/>
    <w:rsid w:val="00A92D66"/>
    <w:rsid w:val="00AA4262"/>
    <w:rsid w:val="00AB5A90"/>
    <w:rsid w:val="00AB7449"/>
    <w:rsid w:val="00AE4AA5"/>
    <w:rsid w:val="00AE7FA9"/>
    <w:rsid w:val="00B01E81"/>
    <w:rsid w:val="00B05A7F"/>
    <w:rsid w:val="00B147EB"/>
    <w:rsid w:val="00B22155"/>
    <w:rsid w:val="00B736FF"/>
    <w:rsid w:val="00B76AA9"/>
    <w:rsid w:val="00B80FAB"/>
    <w:rsid w:val="00B81C88"/>
    <w:rsid w:val="00B85C7F"/>
    <w:rsid w:val="00BA5C83"/>
    <w:rsid w:val="00BC6A7D"/>
    <w:rsid w:val="00BD4829"/>
    <w:rsid w:val="00BD6002"/>
    <w:rsid w:val="00BD719F"/>
    <w:rsid w:val="00BF5442"/>
    <w:rsid w:val="00C177A5"/>
    <w:rsid w:val="00C35FEE"/>
    <w:rsid w:val="00C459F7"/>
    <w:rsid w:val="00C50535"/>
    <w:rsid w:val="00C6153C"/>
    <w:rsid w:val="00C906EF"/>
    <w:rsid w:val="00C91B88"/>
    <w:rsid w:val="00CC7D74"/>
    <w:rsid w:val="00CE55FC"/>
    <w:rsid w:val="00D02B30"/>
    <w:rsid w:val="00D02F97"/>
    <w:rsid w:val="00D35929"/>
    <w:rsid w:val="00D45530"/>
    <w:rsid w:val="00D45A0E"/>
    <w:rsid w:val="00D45D23"/>
    <w:rsid w:val="00D723D1"/>
    <w:rsid w:val="00D80C60"/>
    <w:rsid w:val="00D8525F"/>
    <w:rsid w:val="00D902C5"/>
    <w:rsid w:val="00DA0C4D"/>
    <w:rsid w:val="00DA5DA7"/>
    <w:rsid w:val="00DB76AC"/>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EC055D"/>
    <w:rsid w:val="00EC1647"/>
    <w:rsid w:val="00EF17AA"/>
    <w:rsid w:val="00F000B1"/>
    <w:rsid w:val="00F004AC"/>
    <w:rsid w:val="00F012D3"/>
    <w:rsid w:val="00F044C3"/>
    <w:rsid w:val="00F10D04"/>
    <w:rsid w:val="00F115AC"/>
    <w:rsid w:val="00F169E3"/>
    <w:rsid w:val="00F35D4B"/>
    <w:rsid w:val="00F3746B"/>
    <w:rsid w:val="00F440BE"/>
    <w:rsid w:val="00F534D7"/>
    <w:rsid w:val="00F572CB"/>
    <w:rsid w:val="00F621AF"/>
    <w:rsid w:val="00F655DA"/>
    <w:rsid w:val="00F8024E"/>
    <w:rsid w:val="00F82447"/>
    <w:rsid w:val="00F868E5"/>
    <w:rsid w:val="00F9088A"/>
    <w:rsid w:val="00FB2F32"/>
    <w:rsid w:val="00FC3191"/>
    <w:rsid w:val="00FE0F1F"/>
    <w:rsid w:val="00FE1CE1"/>
    <w:rsid w:val="00FF61F3"/>
    <w:rsid w:val="0A214432"/>
    <w:rsid w:val="27733670"/>
    <w:rsid w:val="48FD105A"/>
    <w:rsid w:val="5B465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customStyle="1" w:styleId="10">
    <w:name w:val="插入文本样式-插入部门职责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1">
    <w:name w:val="单元格样式5"/>
    <w:basedOn w:val="1"/>
    <w:qFormat/>
    <w:uiPriority w:val="0"/>
    <w:pPr>
      <w:jc w:val="left"/>
    </w:pPr>
    <w:rPr>
      <w:rFonts w:ascii="方正书宋_GBK" w:hAnsi="方正书宋_GBK" w:eastAsia="方正书宋_GBK" w:cs="方正书宋_GBK"/>
      <w:b/>
    </w:rPr>
  </w:style>
  <w:style w:type="paragraph" w:customStyle="1" w:styleId="12">
    <w:name w:val="单元格样式4"/>
    <w:basedOn w:val="1"/>
    <w:qFormat/>
    <w:uiPriority w:val="0"/>
    <w:pPr>
      <w:jc w:val="right"/>
    </w:pPr>
    <w:rPr>
      <w:rFonts w:ascii="方正书宋_GBK" w:hAnsi="方正书宋_GBK" w:eastAsia="方正书宋_GBK" w:cs="方正书宋_GBK"/>
    </w:rPr>
  </w:style>
  <w:style w:type="paragraph" w:customStyle="1" w:styleId="13">
    <w:name w:val="单元格样式1"/>
    <w:basedOn w:val="1"/>
    <w:qFormat/>
    <w:uiPriority w:val="0"/>
    <w:pPr>
      <w:jc w:val="center"/>
    </w:pPr>
    <w:rPr>
      <w:rFonts w:ascii="方正书宋_GBK" w:hAnsi="方正书宋_GBK" w:eastAsia="方正书宋_GBK" w:cs="方正书宋_GBK"/>
      <w:b/>
    </w:rPr>
  </w:style>
  <w:style w:type="paragraph" w:customStyle="1" w:styleId="14">
    <w:name w:val="单元格样式2"/>
    <w:basedOn w:val="1"/>
    <w:qFormat/>
    <w:uiPriority w:val="0"/>
    <w:pPr>
      <w:jc w:val="left"/>
    </w:pPr>
    <w:rPr>
      <w:rFonts w:ascii="方正书宋_GBK" w:hAnsi="方正书宋_GBK" w:eastAsia="方正书宋_GBK" w:cs="方正书宋_GBK"/>
    </w:rPr>
  </w:style>
  <w:style w:type="paragraph" w:customStyle="1" w:styleId="15">
    <w:name w:val="单元格样式3"/>
    <w:basedOn w:val="1"/>
    <w:qFormat/>
    <w:uiPriority w:val="0"/>
    <w:pPr>
      <w:jc w:val="center"/>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E29CD-299D-4FC0-A2BE-40D0B63848B2}">
  <ds:schemaRefs/>
</ds:datastoreItem>
</file>

<file path=docProps/app.xml><?xml version="1.0" encoding="utf-8"?>
<Properties xmlns="http://schemas.openxmlformats.org/officeDocument/2006/extended-properties" xmlns:vt="http://schemas.openxmlformats.org/officeDocument/2006/docPropsVTypes">
  <Template>Normal</Template>
  <Pages>14</Pages>
  <Words>3636</Words>
  <Characters>3815</Characters>
  <Lines>29</Lines>
  <Paragraphs>8</Paragraphs>
  <TotalTime>969</TotalTime>
  <ScaleCrop>false</ScaleCrop>
  <LinksUpToDate>false</LinksUpToDate>
  <CharactersWithSpaces>3885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子非鱼安知鱼之乐</cp:lastModifiedBy>
  <cp:lastPrinted>2021-04-14T02:06:00Z</cp:lastPrinted>
  <dcterms:modified xsi:type="dcterms:W3CDTF">2026-01-16T10:04:46Z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76EAFEA3433E47EF9BBEB116C4FC5C2C</vt:lpwstr>
  </property>
  <property fmtid="{D5CDD505-2E9C-101B-9397-08002B2CF9AE}" pid="4" name="KSOTemplateDocerSaveRecord">
    <vt:lpwstr>eyJoZGlkIjoiYjkyY2RlOTcxMjNiNzkyMWJlZTk2OTBmYzQ3OWVlNDgiLCJ1c2VySWQiOiIxMzIwMjQxMzAyIn0=</vt:lpwstr>
  </property>
</Properties>
</file>