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val="en-US" w:eastAsia="zh-CN"/>
        </w:rPr>
        <w:t>退役军人事务局</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2</w:t>
      </w:r>
      <w:r>
        <w:rPr>
          <w:rFonts w:hint="eastAsia" w:asciiTheme="majorEastAsia" w:hAnsiTheme="majorEastAsia" w:eastAsiaTheme="majorEastAsia" w:cstheme="majorEastAsia"/>
          <w:b/>
          <w:bCs w:val="0"/>
          <w:kern w:val="2"/>
          <w:sz w:val="44"/>
          <w:szCs w:val="44"/>
        </w:rPr>
        <w:t>年部门</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rFonts w:ascii="Tahoma" w:hAnsi="Tahoma" w:eastAsia="微软雅黑" w:cstheme="minorBidi"/>
              <w:b w:val="0"/>
              <w:bCs w:val="0"/>
              <w:color w:val="auto"/>
              <w:sz w:val="22"/>
              <w:szCs w:val="22"/>
              <w:lang w:val="zh-CN"/>
            </w:rPr>
          </w:pPr>
        </w:p>
        <w:p>
          <w:pPr>
            <w:pStyle w:val="71"/>
            <w:ind w:firstLine="883"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val="en-US" w:eastAsia="zh-CN"/>
            </w:rPr>
            <w:t>退役军人事务局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eastAsia="仿宋_GB2312" w:cs="DengXian-Regular"/>
          <w:sz w:val="32"/>
          <w:szCs w:val="32"/>
          <w:lang w:eastAsia="zh-CN"/>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为正科级行政单位，经费保障形式为财政拨款，下设</w:t>
      </w:r>
      <w:r>
        <w:rPr>
          <w:rFonts w:hint="default" w:ascii="仿宋_GB2312" w:eastAsia="仿宋_GB2312" w:cs="DengXian-Regular"/>
          <w:sz w:val="32"/>
          <w:szCs w:val="32"/>
          <w:lang w:val="en-US"/>
        </w:rPr>
        <w:t>2</w:t>
      </w:r>
      <w:r>
        <w:rPr>
          <w:rFonts w:hint="eastAsia" w:ascii="仿宋_GB2312" w:eastAsia="仿宋_GB2312" w:cs="DengXian-Regular"/>
          <w:sz w:val="32"/>
          <w:szCs w:val="32"/>
        </w:rPr>
        <w:t>个股室，分别为</w:t>
      </w:r>
      <w:r>
        <w:rPr>
          <w:rFonts w:hint="eastAsia" w:ascii="仿宋_GB2312" w:eastAsia="仿宋_GB2312" w:cs="DengXian-Regular"/>
          <w:sz w:val="32"/>
          <w:szCs w:val="32"/>
          <w:lang w:val="en-US" w:eastAsia="zh-CN"/>
        </w:rPr>
        <w:t>办公室</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综合业务</w:t>
      </w:r>
      <w:r>
        <w:rPr>
          <w:rFonts w:hint="eastAsia" w:ascii="仿宋_GB2312" w:eastAsia="仿宋_GB2312" w:cs="DengXian-Regular"/>
          <w:sz w:val="32"/>
          <w:szCs w:val="32"/>
        </w:rPr>
        <w:t>股，主要职责有</w:t>
      </w:r>
      <w:r>
        <w:rPr>
          <w:rFonts w:hint="eastAsia" w:ascii="仿宋_GB2312" w:eastAsia="仿宋_GB2312" w:cs="DengXian-Regular"/>
          <w:sz w:val="32"/>
          <w:szCs w:val="32"/>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320" w:firstLineChars="1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sz w:val="32"/>
          <w:szCs w:val="32"/>
          <w:lang w:eastAsia="zh-CN"/>
        </w:rPr>
        <w:t>（</w:t>
      </w:r>
      <w:r>
        <w:rPr>
          <w:rFonts w:hint="eastAsia" w:ascii="仿宋" w:hAnsi="仿宋" w:eastAsia="仿宋" w:cs="仿宋"/>
          <w:b w:val="0"/>
          <w:bCs w:val="0"/>
          <w:i w:val="0"/>
          <w:iCs w:val="0"/>
          <w:caps w:val="0"/>
          <w:color w:val="000000"/>
          <w:spacing w:val="0"/>
          <w:kern w:val="0"/>
          <w:sz w:val="32"/>
          <w:szCs w:val="32"/>
          <w:lang w:val="en-US" w:eastAsia="zh-CN" w:bidi="ar"/>
        </w:rPr>
        <w:t>一）贯彻执行国家、省、市退役军人思想政治、管理保障和安置优抚等工作政策法规，褒扬彰显退役军人为党、国家和人民牺牲奉献的精神风范和价值导向。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320" w:firstLineChars="1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（二）负责军队转业干部、复员干部、离退休干部、退役士兵、符合条件消防员和无军籍退休退职职工的移交安置工作和自主择业、就业退役军人服务管理工作。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20" w:firstLineChars="1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（三）组织指导退役军人教育培训工作，协调扶持退役军人随调家属就业创业。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20" w:firstLineChars="1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（四）会同有关部门贯彻落实退役军人特殊保障政策并组织实施；贯彻落实省、市关于部分企业军队转业干部解困政策。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20" w:firstLineChars="1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（五）组织协调落实移交地方的离休退休军人、符合条件的其他退役军人和无军籍退休退职职工的住房保障工作，以及退役军人医疗保障、社会保险等待遇保障工作。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20" w:firstLineChars="1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（六）组织指导伤病残退役军人服务管理和抚恤工作，贯彻落实有关退役军人医疗、疗养、养老等机构的规划政策；承担不适宜继续服役的伤病残军人相关工作；组织指导军供服务保障工作。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320" w:firstLineChars="1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（七）组织指导全区拥军优属工作。负责现役军人、退役军人、军队文职人员、军属和符合条件消防员的优待、抚恤等工作，贯彻落实国民党抗战老兵等有关人员优待政策。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（八）负责烈士及退役军人荣誉奖励、军人公墓管理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维护、纪念活动等工作，依法承担英雄烈士保护相关工作，审核拟列入全国、省级、市级和区级重点保护单位的烈士纪念建筑物名录，总结表彰和宣扬退役军人、退役军人工作单位和个人先进典型事迹。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（九）指导并监督检查退役军人相关法律法规和政策措施的落实，组织开展退役军人权益维护和有关人员的帮扶援助工作。</w:t>
      </w:r>
    </w:p>
    <w:p>
      <w:pPr>
        <w:keepNext w:val="0"/>
        <w:keepLines w:val="0"/>
        <w:pageBreakBefore w:val="0"/>
        <w:widowControl/>
        <w:kinsoku/>
        <w:wordWrap/>
        <w:overflowPunct/>
        <w:topLinePunct w:val="0"/>
        <w:autoSpaceDE/>
        <w:autoSpaceDN/>
        <w:bidi w:val="0"/>
        <w:adjustRightInd w:val="0"/>
        <w:snapToGrid w:val="0"/>
        <w:spacing w:after="0" w:line="360" w:lineRule="auto"/>
        <w:ind w:firstLine="320" w:firstLineChars="1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十）完成区委、区政府交办的其他任务</w:t>
      </w:r>
      <w:r>
        <w:rPr>
          <w:rFonts w:hint="eastAsia" w:ascii="仿宋" w:hAnsi="仿宋" w:eastAsia="仿宋" w:cs="仿宋"/>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退役军人事务局单位</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年部门整体支出绩效评价指标体系共设置4个一级指标、</w:t>
      </w:r>
      <w:r>
        <w:rPr>
          <w:rFonts w:hint="default" w:ascii="仿宋_GB2312" w:eastAsia="仿宋_GB2312" w:cs="DengXian-Regular"/>
          <w:sz w:val="32"/>
          <w:szCs w:val="32"/>
          <w:lang w:val="en-US"/>
        </w:rPr>
        <w:t>6</w:t>
      </w:r>
      <w:r>
        <w:rPr>
          <w:rFonts w:hint="eastAsia" w:ascii="仿宋_GB2312" w:eastAsia="仿宋_GB2312" w:cs="DengXian-Regular"/>
          <w:sz w:val="32"/>
          <w:szCs w:val="32"/>
        </w:rPr>
        <w:t>个二级指标、</w:t>
      </w:r>
      <w:r>
        <w:rPr>
          <w:rFonts w:hint="default" w:ascii="仿宋_GB2312" w:eastAsia="仿宋_GB2312" w:cs="DengXian-Regular"/>
          <w:sz w:val="32"/>
          <w:szCs w:val="32"/>
          <w:lang w:val="en-US"/>
        </w:rPr>
        <w:t>6</w:t>
      </w:r>
      <w:r>
        <w:rPr>
          <w:rFonts w:hint="eastAsia" w:ascii="仿宋_GB2312" w:eastAsia="仿宋_GB2312" w:cs="DengXian-Regular"/>
          <w:sz w:val="32"/>
          <w:szCs w:val="32"/>
        </w:rPr>
        <w:t>个三级指标，从</w:t>
      </w:r>
      <w:r>
        <w:rPr>
          <w:rFonts w:hint="eastAsia" w:ascii="仿宋_GB2312" w:eastAsia="仿宋_GB2312" w:cs="DengXian-Regular"/>
          <w:sz w:val="32"/>
          <w:szCs w:val="32"/>
          <w:lang w:val="en-US" w:eastAsia="zh-CN"/>
        </w:rPr>
        <w:t>满意度指标</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预算执行率</w:t>
      </w:r>
      <w:r>
        <w:rPr>
          <w:rFonts w:hint="eastAsia" w:ascii="仿宋_GB2312" w:eastAsia="仿宋_GB2312" w:cs="DengXian-Regular"/>
          <w:sz w:val="32"/>
          <w:szCs w:val="32"/>
        </w:rPr>
        <w:t>、产出、</w:t>
      </w:r>
      <w:r>
        <w:rPr>
          <w:rFonts w:hint="eastAsia" w:ascii="仿宋_GB2312" w:eastAsia="仿宋_GB2312" w:cs="DengXian-Regular"/>
          <w:sz w:val="32"/>
          <w:szCs w:val="32"/>
          <w:lang w:val="en-US" w:eastAsia="zh-CN"/>
        </w:rPr>
        <w:t>效益指标</w:t>
      </w:r>
      <w:r>
        <w:rPr>
          <w:rFonts w:hint="eastAsia" w:ascii="仿宋_GB2312" w:eastAsia="仿宋_GB2312" w:cs="DengXian-Regular"/>
          <w:sz w:val="32"/>
          <w:szCs w:val="32"/>
        </w:rPr>
        <w:t>四个方面对区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lang w:val="en-US"/>
        </w:rPr>
        <w:t>95</w:t>
      </w:r>
      <w:r>
        <w:rPr>
          <w:rFonts w:hint="eastAsia" w:ascii="仿宋_GB2312" w:eastAsia="仿宋_GB2312" w:cs="DengXian-Regular"/>
          <w:sz w:val="32"/>
          <w:szCs w:val="32"/>
        </w:rPr>
        <w:t>分，评价等级为“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年初绩效指标设定职责覆盖面不够广泛，绩效指标量化设定不够全面。</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由于是新成立单位，各项操作处在探索中，年中有优抚资金退回财政，年初预算数和决算数存在差异。</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3.预算追加方面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优抚资金每年有标准提高，上级资金不足时会追加本级预算。</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4.政府采购方面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缺乏相关经验，一部分资产为年中追加购买，未列年初政府采购计划。</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5.项目资金使用率</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项目资金使用率不足，因业务人员对预算项目了解不全面，资金使用量上有待修改。</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6.部分基础数据信息方面</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基础数据信息不全，认真核查后补充。</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val="en-US" w:eastAsia="zh-CN"/>
        </w:rPr>
        <w:t>退役军人事务局</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年基本支出决算数较预算数增加比例较大，主要原因为招录</w:t>
      </w:r>
      <w:r>
        <w:rPr>
          <w:rFonts w:hint="eastAsia" w:ascii="仿宋_GB2312" w:eastAsia="仿宋_GB2312" w:cs="DengXian-Regular"/>
          <w:sz w:val="32"/>
          <w:szCs w:val="32"/>
          <w:lang w:val="en-US" w:eastAsia="zh-CN"/>
        </w:rPr>
        <w:t>转业士官</w:t>
      </w:r>
      <w:r>
        <w:rPr>
          <w:rFonts w:hint="default" w:ascii="仿宋_GB2312" w:eastAsia="仿宋_GB2312" w:cs="DengXian-Regular"/>
          <w:sz w:val="32"/>
          <w:szCs w:val="32"/>
          <w:lang w:val="en-US"/>
        </w:rPr>
        <w:t>3</w:t>
      </w:r>
      <w:r>
        <w:rPr>
          <w:rFonts w:hint="eastAsia" w:ascii="仿宋_GB2312" w:eastAsia="仿宋_GB2312" w:cs="DengXian-Regular"/>
          <w:sz w:val="32"/>
          <w:szCs w:val="32"/>
          <w:lang w:val="en-US" w:eastAsia="zh-CN"/>
        </w:rPr>
        <w:t>人</w:t>
      </w:r>
      <w:r>
        <w:rPr>
          <w:rFonts w:ascii="仿宋_GB2312" w:eastAsia="仿宋_GB2312" w:cs="DengXian-Regular"/>
          <w:sz w:val="32"/>
          <w:szCs w:val="32"/>
        </w:rPr>
        <w:t>增加人员经费支出，建议202</w:t>
      </w:r>
      <w:r>
        <w:rPr>
          <w:rFonts w:hint="default" w:ascii="仿宋_GB2312" w:eastAsia="仿宋_GB2312" w:cs="DengXian-Regular"/>
          <w:sz w:val="32"/>
          <w:szCs w:val="32"/>
          <w:lang w:val="en-US"/>
        </w:rPr>
        <w:t>3</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default" w:ascii="仿宋_GB2312" w:eastAsia="仿宋_GB2312" w:cs="DengXian-Regular"/>
          <w:sz w:val="32"/>
          <w:szCs w:val="32"/>
          <w:lang w:val="en-US"/>
        </w:rPr>
        <w:t>3</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2" w:firstLineChars="200"/>
        <w:rPr>
          <w:rFonts w:ascii="楷体" w:hAnsi="楷体" w:eastAsia="楷体" w:cs="楷体"/>
        </w:rPr>
      </w:pPr>
      <w:bookmarkStart w:id="2" w:name="_Toc492652763"/>
      <w:bookmarkStart w:id="3" w:name="_Toc427"/>
      <w:r>
        <w:rPr>
          <w:rFonts w:hint="eastAsia" w:ascii="楷体" w:hAnsi="楷体" w:eastAsia="楷体" w:cs="楷体"/>
        </w:rPr>
        <w:t>一、保定市徐水区</w:t>
      </w:r>
      <w:r>
        <w:rPr>
          <w:rFonts w:hint="eastAsia" w:ascii="楷体" w:hAnsi="楷体" w:eastAsia="楷体" w:cs="楷体"/>
          <w:lang w:val="en-US" w:eastAsia="zh-CN"/>
        </w:rPr>
        <w:t>退役军人事务局</w:t>
      </w:r>
      <w:r>
        <w:rPr>
          <w:rFonts w:hint="eastAsia" w:ascii="楷体" w:hAnsi="楷体" w:eastAsia="楷体" w:cs="楷体"/>
        </w:rPr>
        <w:t>单位基本情况</w:t>
      </w:r>
      <w:bookmarkEnd w:id="2"/>
      <w:bookmarkEnd w:id="3"/>
      <w:bookmarkStart w:id="4" w:name="_Toc492652764"/>
    </w:p>
    <w:p>
      <w:pPr>
        <w:pStyle w:val="4"/>
        <w:spacing w:before="0" w:after="0"/>
        <w:ind w:firstLine="642"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单位职能配置内设机构和人员编制规定》的通知，区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为区政府工作部门，正科级单位，下设</w:t>
      </w:r>
      <w:r>
        <w:rPr>
          <w:rFonts w:hint="default" w:ascii="仿宋_GB2312" w:eastAsia="仿宋_GB2312" w:cs="DengXian-Regular"/>
          <w:sz w:val="32"/>
          <w:szCs w:val="32"/>
          <w:lang w:val="en-US"/>
        </w:rPr>
        <w:t>2</w:t>
      </w:r>
      <w:r>
        <w:rPr>
          <w:rFonts w:hint="eastAsia" w:ascii="仿宋_GB2312" w:eastAsia="仿宋_GB2312" w:cs="DengXian-Regular"/>
          <w:sz w:val="32"/>
          <w:szCs w:val="32"/>
        </w:rPr>
        <w:t>个股室。</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单位根据绩效预算管理改革的相关要求，按照“部门职责—工作活动绩效目标”的层级设立了绩效预算架构，职责活动包括</w:t>
      </w:r>
      <w:r>
        <w:rPr>
          <w:rFonts w:hint="eastAsia" w:ascii="仿宋_GB2312" w:eastAsia="仿宋_GB2312" w:cs="DengXian-Regular"/>
          <w:sz w:val="32"/>
          <w:szCs w:val="32"/>
          <w:lang w:val="en-US" w:eastAsia="zh-CN"/>
        </w:rPr>
        <w:t>双拥优抚褒扬、移交安置、就业创业、思想政治和权益维护、退役军人事务政务管理共五部分</w:t>
      </w:r>
      <w:r>
        <w:rPr>
          <w:rFonts w:hint="eastAsia" w:ascii="仿宋_GB2312" w:eastAsia="仿宋_GB2312" w:cs="DengXian-Regular"/>
          <w:sz w:val="32"/>
          <w:szCs w:val="32"/>
        </w:rPr>
        <w:t>。</w:t>
      </w:r>
      <w:bookmarkStart w:id="6" w:name="_Toc465149499"/>
      <w:bookmarkStart w:id="7" w:name="_Toc492652765"/>
    </w:p>
    <w:p>
      <w:pPr>
        <w:pStyle w:val="4"/>
        <w:spacing w:before="0" w:after="0"/>
        <w:ind w:firstLine="642"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区退役军人事务局</w:t>
      </w:r>
      <w:r>
        <w:rPr>
          <w:rFonts w:hint="eastAsia" w:ascii="仿宋_GB2312" w:eastAsia="仿宋_GB2312" w:cs="DengXian-Regular"/>
          <w:sz w:val="32"/>
          <w:szCs w:val="32"/>
        </w:rPr>
        <w:t>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val="en-US" w:eastAsia="zh-CN"/>
        </w:rPr>
        <w:t>安置优抚</w:t>
      </w:r>
      <w:r>
        <w:rPr>
          <w:rFonts w:hint="eastAsia" w:ascii="仿宋_GB2312" w:eastAsia="仿宋_GB2312" w:cs="DengXian-Regular"/>
          <w:sz w:val="32"/>
          <w:szCs w:val="32"/>
        </w:rPr>
        <w:t>工作要点，并监督实施。指导全区</w:t>
      </w:r>
      <w:r>
        <w:rPr>
          <w:rFonts w:hint="eastAsia" w:ascii="仿宋_GB2312" w:eastAsia="仿宋_GB2312" w:cs="DengXian-Regular"/>
          <w:sz w:val="32"/>
          <w:szCs w:val="32"/>
          <w:lang w:val="en-US" w:eastAsia="zh-CN"/>
        </w:rPr>
        <w:t>拥军优属工</w:t>
      </w:r>
      <w:r>
        <w:rPr>
          <w:rFonts w:hint="eastAsia" w:ascii="仿宋_GB2312" w:eastAsia="仿宋_GB2312" w:cs="DengXian-Regular"/>
          <w:sz w:val="32"/>
          <w:szCs w:val="32"/>
        </w:rPr>
        <w:t>作。制定</w:t>
      </w:r>
      <w:r>
        <w:rPr>
          <w:rFonts w:hint="eastAsia" w:ascii="仿宋_GB2312" w:eastAsia="仿宋_GB2312" w:cs="DengXian-Regular"/>
          <w:sz w:val="32"/>
          <w:szCs w:val="32"/>
          <w:lang w:val="en-US" w:eastAsia="zh-CN"/>
        </w:rPr>
        <w:t>退役军人事业发展</w:t>
      </w:r>
      <w:r>
        <w:rPr>
          <w:rFonts w:hint="eastAsia" w:ascii="仿宋_GB2312" w:eastAsia="仿宋_GB2312" w:cs="DengXian-Regular"/>
          <w:sz w:val="32"/>
          <w:szCs w:val="32"/>
        </w:rPr>
        <w:t>规划并组织实施，指导检查全区</w:t>
      </w:r>
      <w:r>
        <w:rPr>
          <w:rFonts w:hint="eastAsia" w:ascii="仿宋_GB2312" w:eastAsia="仿宋_GB2312" w:cs="DengXian-Regular"/>
          <w:sz w:val="32"/>
          <w:szCs w:val="32"/>
          <w:lang w:val="en-US" w:eastAsia="zh-CN"/>
        </w:rPr>
        <w:t>纪念设施管理保护</w:t>
      </w:r>
      <w:r>
        <w:rPr>
          <w:rFonts w:hint="eastAsia" w:ascii="仿宋_GB2312" w:eastAsia="仿宋_GB2312" w:cs="DengXian-Regular"/>
          <w:sz w:val="32"/>
          <w:szCs w:val="32"/>
        </w:rPr>
        <w:t>工作。负责全区</w:t>
      </w:r>
      <w:r>
        <w:rPr>
          <w:rFonts w:hint="eastAsia" w:ascii="仿宋_GB2312" w:eastAsia="仿宋_GB2312" w:cs="DengXian-Regular"/>
          <w:sz w:val="32"/>
          <w:szCs w:val="32"/>
          <w:lang w:val="en-US" w:eastAsia="zh-CN"/>
        </w:rPr>
        <w:t>军队离退休干部服务管理机构</w:t>
      </w:r>
      <w:r>
        <w:rPr>
          <w:rFonts w:hint="eastAsia" w:ascii="仿宋_GB2312" w:eastAsia="仿宋_GB2312" w:cs="DengXian-Regular"/>
          <w:sz w:val="32"/>
          <w:szCs w:val="32"/>
        </w:rPr>
        <w:t>工作，负责全区</w:t>
      </w:r>
      <w:r>
        <w:rPr>
          <w:rFonts w:hint="eastAsia" w:ascii="仿宋_GB2312" w:eastAsia="仿宋_GB2312" w:cs="DengXian-Regular"/>
          <w:sz w:val="32"/>
          <w:szCs w:val="32"/>
          <w:lang w:val="en-US" w:eastAsia="zh-CN"/>
        </w:rPr>
        <w:t>军队移交本区的离休退休干部、退役士官和军队退休职工的接受安置和服务管理、检查指导军队离退休干部政治待遇和生活待遇的落实</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w:t>
      </w:r>
      <w:r>
        <w:rPr>
          <w:rFonts w:hint="eastAsia" w:ascii="仿宋_GB2312" w:eastAsia="仿宋_GB2312" w:cs="DengXian-Regular"/>
          <w:sz w:val="32"/>
          <w:szCs w:val="32"/>
          <w:lang w:val="en-US" w:eastAsia="zh-CN"/>
        </w:rPr>
        <w:t>优待抚恤</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w:t>
      </w:r>
      <w:r>
        <w:rPr>
          <w:rFonts w:hint="eastAsia" w:ascii="仿宋_GB2312" w:eastAsia="仿宋_GB2312" w:cs="DengXian-Regular"/>
          <w:sz w:val="32"/>
          <w:szCs w:val="32"/>
          <w:lang w:val="en-US" w:eastAsia="zh-CN"/>
        </w:rPr>
        <w:t>优抚事业单位能力建设</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3.开展</w:t>
      </w:r>
      <w:r>
        <w:rPr>
          <w:rFonts w:hint="eastAsia" w:ascii="仿宋_GB2312" w:eastAsia="仿宋_GB2312" w:cs="DengXian-Regular"/>
          <w:sz w:val="32"/>
          <w:szCs w:val="32"/>
          <w:lang w:val="en-US" w:eastAsia="zh-CN"/>
        </w:rPr>
        <w:t>拥军优属慰问及双拥活动</w:t>
      </w:r>
      <w:r>
        <w:rPr>
          <w:rFonts w:hint="eastAsia" w:ascii="仿宋_GB2312" w:eastAsia="仿宋_GB2312" w:cs="DengXian-Regular"/>
          <w:sz w:val="32"/>
          <w:szCs w:val="32"/>
        </w:rPr>
        <w:t>工作。</w:t>
      </w:r>
      <w:bookmarkStart w:id="9" w:name="_Toc1678"/>
      <w:bookmarkStart w:id="10" w:name="_Toc465149500"/>
      <w:bookmarkStart w:id="11" w:name="_Toc492652766"/>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4.复原退伍军人和军转干部安置工作。</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5.军休安置工作。</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6.就业创业和教育培训工作。</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7.思想政治和权益维护工作。</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8.综合业务管理工作。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5701.74</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5701.94</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万元。预算收入按功能分类包含：公共安全支出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5627.92</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54.7</w:t>
      </w:r>
      <w:r>
        <w:rPr>
          <w:rFonts w:hint="eastAsia" w:ascii="仿宋_GB2312" w:eastAsia="仿宋_GB2312" w:cs="DengXian-Regular"/>
          <w:sz w:val="32"/>
          <w:szCs w:val="32"/>
        </w:rPr>
        <w:t>万元，住房保障支出</w:t>
      </w:r>
      <w:r>
        <w:rPr>
          <w:rFonts w:hint="eastAsia" w:ascii="仿宋_GB2312" w:eastAsia="仿宋_GB2312" w:cs="DengXian-Regular"/>
          <w:sz w:val="32"/>
          <w:szCs w:val="32"/>
          <w:lang w:val="en-US" w:eastAsia="zh-CN"/>
        </w:rPr>
        <w:t>19.12</w:t>
      </w:r>
      <w:r>
        <w:rPr>
          <w:rFonts w:hint="eastAsia" w:ascii="仿宋_GB2312" w:eastAsia="仿宋_GB2312" w:cs="DengXian-Regular"/>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7023.85</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7023.71</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0.14</w:t>
      </w:r>
      <w:r>
        <w:rPr>
          <w:rFonts w:hint="eastAsia" w:ascii="仿宋_GB2312" w:eastAsia="仿宋_GB2312" w:cs="DengXian-Regular"/>
          <w:sz w:val="32"/>
          <w:szCs w:val="32"/>
        </w:rPr>
        <w:t>万元（全部为利息收入）。决算收入按功能分类包含：公共安全支出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6861.39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97.69</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143.36</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2.04</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19.1</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0.27</w:t>
      </w:r>
      <w:r>
        <w:rPr>
          <w:rFonts w:hint="eastAsia" w:ascii="仿宋_GB2312" w:eastAsia="仿宋_GB2312" w:cs="DengXian-Regular"/>
          <w:sz w:val="32"/>
          <w:szCs w:val="32"/>
        </w:rPr>
        <w:t>%。具体决算收入详见附件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2</w:t>
      </w:r>
      <w:r>
        <w:rPr>
          <w:rFonts w:hint="eastAsia" w:asciiTheme="minorEastAsia" w:hAnsiTheme="minorEastAsia" w:eastAsiaTheme="minorEastAsia" w:cstheme="minorEastAsia"/>
          <w:b/>
          <w:bCs/>
          <w:sz w:val="32"/>
          <w:szCs w:val="32"/>
        </w:rPr>
        <w:t>年度区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bCs/>
          <w:sz w:val="32"/>
          <w:szCs w:val="32"/>
        </w:rPr>
        <w:t>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val="en-US" w:eastAsia="zh-CN"/>
        </w:rPr>
        <w:t>区退役军人事务局</w:t>
      </w:r>
      <w:r>
        <w:rPr>
          <w:rFonts w:hint="eastAsia" w:ascii="仿宋_GB2312" w:eastAsia="仿宋_GB2312" w:cs="DengXian-Regular"/>
          <w:sz w:val="32"/>
          <w:szCs w:val="32"/>
        </w:rPr>
        <w:t>一般公共预算财政拨款决算收入比年初预算增加</w:t>
      </w:r>
      <w:r>
        <w:rPr>
          <w:rFonts w:hint="eastAsia" w:ascii="仿宋_GB2312" w:eastAsia="仿宋_GB2312" w:cs="DengXian-Regular"/>
          <w:sz w:val="32"/>
          <w:szCs w:val="32"/>
          <w:lang w:val="en-US" w:eastAsia="zh-CN"/>
        </w:rPr>
        <w:t>1322.11</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23.19</w:t>
      </w:r>
      <w:r>
        <w:rPr>
          <w:rFonts w:hint="eastAsia" w:ascii="仿宋_GB2312" w:eastAsia="仿宋_GB2312" w:cs="DengXian-Regular"/>
          <w:sz w:val="32"/>
          <w:szCs w:val="32"/>
        </w:rPr>
        <w:t>%。决算收入大于预算收入的主要原因为202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w:t>
      </w:r>
      <w:r>
        <w:rPr>
          <w:rFonts w:hint="eastAsia" w:ascii="仿宋_GB2312" w:eastAsia="仿宋_GB2312" w:cs="DengXian-Regular"/>
          <w:sz w:val="32"/>
          <w:szCs w:val="32"/>
          <w:lang w:val="en-US" w:eastAsia="zh-CN"/>
        </w:rPr>
        <w:t>追加信访问题资金及解决部分退役士兵岗位待遇资金、军队退役人员公益性岗位补助项目经费、优抚补助资金等项目预算。</w:t>
      </w: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hint="eastAsia" w:asciiTheme="minorEastAsia" w:hAnsiTheme="minorEastAsia" w:eastAsiaTheme="minorEastAsia" w:cstheme="minorEastAsia"/>
          <w:b/>
          <w:sz w:val="32"/>
          <w:szCs w:val="32"/>
          <w:u w:color="000000"/>
          <w:lang w:val="en-US" w:eastAsia="zh-CN"/>
        </w:rPr>
        <w:t>2</w:t>
      </w:r>
      <w:r>
        <w:rPr>
          <w:rFonts w:hint="eastAsia" w:asciiTheme="minorEastAsia" w:hAnsiTheme="minorEastAsia" w:eastAsiaTheme="minorEastAsia" w:cstheme="minorEastAsia"/>
          <w:b/>
          <w:sz w:val="32"/>
          <w:szCs w:val="32"/>
          <w:u w:color="000000"/>
        </w:rPr>
        <w:t>年度区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sz w:val="32"/>
          <w:szCs w:val="32"/>
          <w:u w:color="000000"/>
        </w:rPr>
        <w:t>预算收入与决算收入对比图</w:t>
      </w:r>
    </w:p>
    <w:p>
      <w:pPr>
        <w:pStyle w:val="4"/>
        <w:spacing w:before="0" w:after="0"/>
        <w:ind w:firstLine="642" w:firstLineChars="200"/>
        <w:jc w:val="both"/>
        <w:rPr>
          <w:rFonts w:ascii="仿宋_GB2312" w:hAnsiTheme="minorEastAsia"/>
          <w:sz w:val="32"/>
        </w:rPr>
      </w:pPr>
      <w:bookmarkStart w:id="12" w:name="_Toc18197"/>
      <w:r>
        <w:rPr>
          <w:rFonts w:hint="eastAsia" w:ascii="仿宋_GB2312" w:hAnsiTheme="minorEastAsia"/>
          <w:sz w:val="32"/>
        </w:rPr>
        <w:drawing>
          <wp:anchor distT="0" distB="0" distL="114300" distR="114300" simplePos="0" relativeHeight="251660288" behindDoc="0" locked="0" layoutInCell="1" allowOverlap="1">
            <wp:simplePos x="0" y="0"/>
            <wp:positionH relativeFrom="column">
              <wp:posOffset>77470</wp:posOffset>
            </wp:positionH>
            <wp:positionV relativeFrom="paragraph">
              <wp:posOffset>126365</wp:posOffset>
            </wp:positionV>
            <wp:extent cx="5122545" cy="2747010"/>
            <wp:effectExtent l="0" t="0" r="0"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5701.74</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500.08</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5201.66</w:t>
      </w:r>
      <w:r>
        <w:rPr>
          <w:rFonts w:hint="eastAsia" w:ascii="仿宋_GB2312" w:eastAsia="仿宋_GB2312" w:cs="Times New Roman" w:hAnsiTheme="minorEastAsia"/>
          <w:sz w:val="32"/>
          <w:szCs w:val="32"/>
          <w:u w:color="000000"/>
        </w:rPr>
        <w:t>万元。预算支出按功能分类包含：公共安全支出</w:t>
      </w:r>
      <w:r>
        <w:rPr>
          <w:rFonts w:hint="eastAsia" w:ascii="仿宋_GB2312" w:eastAsia="仿宋_GB2312" w:cs="Times New Roman" w:hAnsiTheme="minorEastAsia"/>
          <w:sz w:val="32"/>
          <w:szCs w:val="32"/>
          <w:u w:color="000000"/>
          <w:lang w:val="en-US" w:eastAsia="zh-CN"/>
        </w:rPr>
        <w:t>0</w:t>
      </w:r>
      <w:r>
        <w:rPr>
          <w:rFonts w:hint="eastAsia" w:ascii="仿宋_GB2312" w:eastAsia="仿宋_GB2312" w:cs="Times New Roman" w:hAnsiTheme="minorEastAsia"/>
          <w:sz w:val="32"/>
          <w:szCs w:val="32"/>
          <w:u w:color="000000"/>
        </w:rPr>
        <w:t>万元，社会保障和就业支出</w:t>
      </w:r>
      <w:r>
        <w:rPr>
          <w:rFonts w:hint="eastAsia" w:ascii="仿宋_GB2312" w:eastAsia="仿宋_GB2312" w:cs="Times New Roman" w:hAnsiTheme="minorEastAsia"/>
          <w:sz w:val="32"/>
          <w:szCs w:val="32"/>
          <w:u w:color="000000"/>
          <w:lang w:val="en-US" w:eastAsia="zh-CN"/>
        </w:rPr>
        <w:t>5627.94</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Times New Roman" w:hAnsiTheme="minorEastAsia"/>
          <w:sz w:val="32"/>
          <w:szCs w:val="32"/>
          <w:u w:color="000000"/>
          <w:lang w:val="en-US" w:eastAsia="zh-CN"/>
        </w:rPr>
        <w:t>54.7</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eastAsia="zh-CN"/>
        </w:rPr>
        <w:t>19.1</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6988.04</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486.95</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6501.1</w:t>
      </w:r>
      <w:r>
        <w:rPr>
          <w:rFonts w:hint="eastAsia" w:ascii="仿宋_GB2312" w:eastAsia="仿宋_GB2312" w:cs="Times New Roman" w:hAnsiTheme="minorEastAsia"/>
          <w:sz w:val="32"/>
          <w:szCs w:val="32"/>
          <w:u w:color="000000"/>
        </w:rPr>
        <w:t>万元。决算支出按功能分类包含：公共安全支</w:t>
      </w:r>
      <w:r>
        <w:rPr>
          <w:rFonts w:hint="eastAsia" w:ascii="仿宋_GB2312" w:eastAsia="仿宋_GB2312" w:cs="Times New Roman" w:hAnsiTheme="minorEastAsia"/>
          <w:sz w:val="32"/>
          <w:szCs w:val="32"/>
          <w:u w:color="000000"/>
          <w:lang w:val="en-US" w:eastAsia="zh-CN"/>
        </w:rPr>
        <w:t>0</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0</w:t>
      </w:r>
      <w:r>
        <w:rPr>
          <w:rFonts w:hint="eastAsia" w:ascii="仿宋_GB2312" w:eastAsia="仿宋_GB2312" w:cs="Times New Roman" w:hAnsiTheme="minorEastAsia"/>
          <w:sz w:val="32"/>
          <w:szCs w:val="32"/>
          <w:u w:color="000000"/>
        </w:rPr>
        <w:t>%；社会保障和就业支出</w:t>
      </w:r>
      <w:r>
        <w:rPr>
          <w:rFonts w:hint="eastAsia" w:ascii="仿宋_GB2312" w:eastAsia="仿宋_GB2312" w:cs="Times New Roman" w:hAnsiTheme="minorEastAsia"/>
          <w:sz w:val="32"/>
          <w:szCs w:val="32"/>
          <w:u w:color="000000"/>
          <w:lang w:val="en-US" w:eastAsia="zh-CN"/>
        </w:rPr>
        <w:t>6825.61</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97.68</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143.24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2.05</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19.19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0.27</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rPr>
          <w:rFonts w:ascii="仿宋" w:hAnsi="仿宋" w:eastAsia="仿宋"/>
          <w:snapToGrid w:val="0"/>
          <w:sz w:val="32"/>
          <w:szCs w:val="32"/>
        </w:rPr>
      </w:pPr>
      <w:r>
        <w:drawing>
          <wp:anchor distT="0" distB="0" distL="90170" distR="90170" simplePos="0" relativeHeight="251661312" behindDoc="0" locked="0" layoutInCell="1" allowOverlap="1">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DengXian-Regular"/>
          <w:sz w:val="32"/>
          <w:szCs w:val="32"/>
        </w:rPr>
        <w:t>财政拨款决算支出比年初预算增加</w:t>
      </w:r>
      <w:r>
        <w:rPr>
          <w:rFonts w:hint="eastAsia" w:ascii="仿宋_GB2312" w:eastAsia="仿宋_GB2312" w:cs="DengXian-Regular"/>
          <w:sz w:val="32"/>
          <w:szCs w:val="32"/>
          <w:lang w:val="en-US" w:eastAsia="zh-CN"/>
        </w:rPr>
        <w:t>1286.3</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22.56</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val="en-US" w:eastAsia="zh-CN"/>
        </w:rPr>
        <w:t>追加预算比较多，包括信访遗留问题及解决部分退役士兵岗位待遇资金、军队退役人员公益性岗位补助项目经费、优抚对象补助经费预算</w:t>
      </w:r>
      <w:r>
        <w:rPr>
          <w:rFonts w:hint="eastAsia" w:ascii="仿宋" w:hAnsi="仿宋" w:eastAsia="仿宋"/>
          <w:snapToGrid w:val="0"/>
          <w:sz w:val="32"/>
          <w:szCs w:val="32"/>
        </w:rPr>
        <w:t>。预算支出与决算支出对比情况如图4。</w:t>
      </w:r>
    </w:p>
    <w:p>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anchor distT="0" distB="0" distL="114300" distR="114300" simplePos="0" relativeHeight="251662336" behindDoc="0" locked="0" layoutInCell="1" allowOverlap="1">
            <wp:simplePos x="0" y="0"/>
            <wp:positionH relativeFrom="column">
              <wp:posOffset>144145</wp:posOffset>
            </wp:positionH>
            <wp:positionV relativeFrom="paragraph">
              <wp:posOffset>499745</wp:posOffset>
            </wp:positionV>
            <wp:extent cx="5102225" cy="2717165"/>
            <wp:effectExtent l="0" t="0" r="0" b="0"/>
            <wp:wrapSquare wrapText="bothSides"/>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预算支出与决算支出对比图</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6501.1</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6501.1</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pPr>
        <w:pStyle w:val="4"/>
        <w:spacing w:before="0" w:after="0"/>
        <w:ind w:firstLine="642"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5.09</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0.23</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4.47</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0.18</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1.24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24.36</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年实际支出相比，减少xx万元。具体详见表1。</w:t>
      </w:r>
    </w:p>
    <w:p>
      <w:pPr>
        <w:spacing w:after="0" w:line="360" w:lineRule="auto"/>
        <w:ind w:firstLine="642"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1"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1"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1"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1"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1"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4.86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3.37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4.29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0.92</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left"/>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0.25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-0.07</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6.86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3.62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5.09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4.47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0.85</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单位车辆合计</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辆，其中</w:t>
      </w:r>
      <w:r>
        <w:rPr>
          <w:rFonts w:hint="eastAsia" w:ascii="仿宋_GB2312" w:eastAsia="仿宋_GB2312" w:cs="DengXian-Regular"/>
          <w:sz w:val="32"/>
          <w:szCs w:val="32"/>
          <w:lang w:val="en-US" w:eastAsia="zh-CN"/>
        </w:rPr>
        <w:t>公务</w:t>
      </w:r>
      <w:r>
        <w:rPr>
          <w:rFonts w:hint="eastAsia" w:ascii="仿宋_GB2312" w:eastAsia="仿宋_GB2312" w:cs="DengXian-Regular"/>
          <w:sz w:val="32"/>
          <w:szCs w:val="32"/>
        </w:rPr>
        <w:t>用</w:t>
      </w:r>
      <w:r>
        <w:rPr>
          <w:rFonts w:hint="eastAsia" w:ascii="仿宋_GB2312" w:eastAsia="仿宋_GB2312" w:cs="DengXian-Regular"/>
          <w:sz w:val="32"/>
          <w:szCs w:val="32"/>
          <w:lang w:val="en-US" w:eastAsia="zh-CN"/>
        </w:rPr>
        <w:t>车2</w:t>
      </w:r>
      <w:r>
        <w:rPr>
          <w:rFonts w:hint="eastAsia" w:ascii="仿宋_GB2312" w:eastAsia="仿宋_GB2312" w:cs="DengXian-Regular"/>
          <w:sz w:val="32"/>
          <w:szCs w:val="32"/>
        </w:rPr>
        <w:t>辆，其他用车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0.57</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11.73</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0.57</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单位公务接待费年初预算</w:t>
      </w:r>
      <w:r>
        <w:rPr>
          <w:rFonts w:hint="eastAsia" w:ascii="仿宋_GB2312" w:eastAsia="仿宋_GB2312" w:cs="DengXian-Regular"/>
          <w:sz w:val="32"/>
          <w:szCs w:val="32"/>
          <w:lang w:val="en-US" w:eastAsia="zh-CN"/>
        </w:rPr>
        <w:t>0.23</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0.18</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0.05</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21.74</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年实际支出相比，增加</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万元。</w:t>
      </w:r>
    </w:p>
    <w:p>
      <w:pPr>
        <w:pStyle w:val="3"/>
        <w:spacing w:before="0" w:after="0" w:line="360" w:lineRule="auto"/>
        <w:ind w:firstLine="642"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2"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2"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2"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2"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2"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2"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2"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hAnsi="仿宋_GB2312" w:eastAsia="仿宋_GB2312" w:cs="仿宋_GB2312"/>
          <w:sz w:val="32"/>
          <w:szCs w:val="32"/>
          <w:lang w:eastAsia="zh-CN"/>
        </w:rPr>
        <w:t>〈</w:t>
      </w:r>
      <w:r>
        <w:rPr>
          <w:rFonts w:hint="eastAsia" w:ascii="仿宋_GB2312" w:eastAsia="仿宋_GB2312" w:cs="DengXian-Regular"/>
          <w:sz w:val="32"/>
          <w:szCs w:val="32"/>
        </w:rPr>
        <w:t>全</w:t>
      </w:r>
      <w:bookmarkStart w:id="79" w:name="_GoBack"/>
      <w:bookmarkEnd w:id="79"/>
      <w:r>
        <w:rPr>
          <w:rFonts w:hint="eastAsia" w:ascii="仿宋_GB2312" w:eastAsia="仿宋_GB2312" w:cs="DengXian-Regular"/>
          <w:sz w:val="32"/>
          <w:szCs w:val="32"/>
        </w:rPr>
        <w:t>面实施预算绩效管理推进工作方案〉的通知》（徐政财字〔2019〕33号）；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2"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2"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2"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2"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2"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部门整体支出绩效评价总得分为</w:t>
      </w:r>
      <w:r>
        <w:rPr>
          <w:rFonts w:hint="default" w:ascii="仿宋_GB2312" w:eastAsia="仿宋_GB2312" w:cs="DengXian-Regular"/>
          <w:sz w:val="32"/>
          <w:szCs w:val="32"/>
          <w:lang w:val="en-US"/>
        </w:rPr>
        <w:t>9</w:t>
      </w:r>
      <w:r>
        <w:rPr>
          <w:rFonts w:hint="eastAsia" w:ascii="仿宋_GB2312" w:eastAsia="仿宋_GB2312" w:cs="DengXian-Regular"/>
          <w:sz w:val="32"/>
          <w:szCs w:val="32"/>
          <w:lang w:val="en-US" w:eastAsia="zh-CN"/>
        </w:rPr>
        <w:t>6.3</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2"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2年</w:t>
      </w:r>
      <w:r>
        <w:rPr>
          <w:rFonts w:hint="eastAsia" w:ascii="仿宋_GB2312" w:eastAsia="仿宋_GB2312" w:cs="DengXian-Regular"/>
          <w:sz w:val="32"/>
          <w:szCs w:val="32"/>
        </w:rPr>
        <w:t>预算文本及相关会计资料，区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年预算文本—部门项目支出预算表，区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年预算项目共</w:t>
      </w:r>
      <w:r>
        <w:rPr>
          <w:rFonts w:hint="eastAsia" w:ascii="仿宋_GB2312" w:eastAsia="仿宋_GB2312" w:cs="DengXian-Regular"/>
          <w:sz w:val="32"/>
          <w:szCs w:val="32"/>
          <w:lang w:val="en-US" w:eastAsia="zh-CN"/>
        </w:rPr>
        <w:t>37</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7557.47</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7557.47</w:t>
      </w:r>
      <w:r>
        <w:rPr>
          <w:rFonts w:hint="eastAsia" w:ascii="仿宋_GB2312" w:eastAsia="仿宋_GB2312" w:cs="DengXian-Regular"/>
          <w:sz w:val="32"/>
          <w:szCs w:val="32"/>
        </w:rPr>
        <w:t>/</w:t>
      </w:r>
      <w:r>
        <w:rPr>
          <w:rFonts w:hint="default" w:ascii="仿宋_GB2312" w:eastAsia="仿宋_GB2312" w:cs="DengXian-Regular"/>
          <w:sz w:val="32"/>
          <w:szCs w:val="32"/>
          <w:lang w:val="en-US"/>
        </w:rPr>
        <w:t>7557.47</w:t>
      </w:r>
      <w:r>
        <w:rPr>
          <w:rFonts w:hint="eastAsia" w:ascii="仿宋_GB2312" w:eastAsia="仿宋_GB2312" w:cs="DengXian-Regular"/>
          <w:sz w:val="32"/>
          <w:szCs w:val="32"/>
        </w:rPr>
        <w:t>）*100%=</w:t>
      </w:r>
      <w:r>
        <w:rPr>
          <w:rFonts w:hint="default"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val="en-US" w:eastAsia="zh-CN"/>
        </w:rPr>
        <w:t>退役军人事务局部门</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人，根据区区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年决算文本-部门基本情况表，截至202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bookmarkEnd w:id="60"/>
    <w:bookmarkEnd w:id="61"/>
    <w:p>
      <w:pPr>
        <w:pStyle w:val="4"/>
        <w:spacing w:before="0" w:after="0"/>
        <w:ind w:firstLine="642"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46.3</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48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军队退役人员公益性岗位补助项目经费</w:t>
      </w:r>
      <w:r>
        <w:rPr>
          <w:rFonts w:hint="default" w:ascii="仿宋_GB2312" w:eastAsia="仿宋_GB2312" w:cs="DengXian-Regular"/>
          <w:sz w:val="32"/>
          <w:szCs w:val="32"/>
          <w:lang w:val="en-US" w:eastAsia="zh-CN"/>
        </w:rPr>
        <w:t>1.312794</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信访问题及解决部分退役士兵岗位待遇资金</w:t>
      </w:r>
      <w:r>
        <w:rPr>
          <w:rFonts w:hint="default" w:ascii="仿宋_GB2312" w:eastAsia="仿宋_GB2312" w:cs="DengXian-Regular"/>
          <w:sz w:val="32"/>
          <w:szCs w:val="32"/>
          <w:lang w:val="en-US" w:eastAsia="zh-CN"/>
        </w:rPr>
        <w:t>112.86715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年预算文本、决算文本，202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年收入预算数</w:t>
      </w:r>
      <w:r>
        <w:rPr>
          <w:rFonts w:hint="eastAsia" w:ascii="仿宋_GB2312" w:eastAsia="仿宋_GB2312" w:cs="DengXian-Regular"/>
          <w:sz w:val="32"/>
          <w:szCs w:val="32"/>
          <w:lang w:val="en-US" w:eastAsia="zh-CN"/>
        </w:rPr>
        <w:t>5701.74</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7023</w:t>
      </w:r>
      <w:r>
        <w:rPr>
          <w:rFonts w:hint="eastAsia" w:ascii="仿宋_GB2312" w:eastAsia="仿宋_GB2312" w:cs="DengXian-Regular"/>
          <w:sz w:val="32"/>
          <w:szCs w:val="32"/>
        </w:rPr>
        <w:t>万元，收入完成率=（</w:t>
      </w:r>
      <w:r>
        <w:rPr>
          <w:rFonts w:hint="eastAsia" w:ascii="仿宋_GB2312" w:eastAsia="仿宋_GB2312" w:cs="DengXian-Regular"/>
          <w:sz w:val="32"/>
          <w:szCs w:val="32"/>
          <w:lang w:val="en-US" w:eastAsia="zh-CN"/>
        </w:rPr>
        <w:t>7023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5701.74</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123.17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提供的保定市财政局下发的预算指标文件，其中：徐财预指[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军队退役人员公益性岗位补助项目经费</w:t>
      </w:r>
      <w:r>
        <w:rPr>
          <w:rFonts w:hint="default" w:ascii="仿宋_GB2312" w:eastAsia="仿宋_GB2312" w:cs="DengXian-Regular"/>
          <w:sz w:val="32"/>
          <w:szCs w:val="32"/>
          <w:lang w:val="en-US"/>
        </w:rPr>
        <w:t>1.312794</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w:t>
      </w:r>
      <w:r>
        <w:rPr>
          <w:rFonts w:hint="default" w:ascii="仿宋_GB2312" w:eastAsia="仿宋_GB2312" w:cs="DengXian-Regular"/>
          <w:sz w:val="32"/>
          <w:szCs w:val="32"/>
          <w:lang w:val="en-US"/>
        </w:rPr>
        <w:t>1382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信访问题及解决部分退役士兵岗位待遇资金</w:t>
      </w:r>
      <w:r>
        <w:rPr>
          <w:rFonts w:hint="default" w:ascii="仿宋_GB2312" w:eastAsia="仿宋_GB2312" w:cs="DengXian-Regular"/>
          <w:sz w:val="32"/>
          <w:szCs w:val="32"/>
          <w:lang w:val="en-US" w:eastAsia="zh-CN"/>
        </w:rPr>
        <w:t>112.86715</w:t>
      </w:r>
      <w:r>
        <w:rPr>
          <w:rFonts w:hint="eastAsia" w:ascii="仿宋_GB2312" w:eastAsia="仿宋_GB2312" w:cs="DengXian-Regular"/>
          <w:sz w:val="32"/>
          <w:szCs w:val="32"/>
        </w:rPr>
        <w:t>万元；区</w:t>
      </w:r>
      <w:r>
        <w:rPr>
          <w:rFonts w:hint="eastAsia" w:ascii="仿宋_GB2312" w:eastAsia="仿宋_GB2312" w:cs="DengXian-Regular"/>
          <w:sz w:val="32"/>
          <w:szCs w:val="32"/>
          <w:lang w:eastAsia="zh-CN"/>
        </w:rPr>
        <w:t>退役军人事务局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年度预算支出的</w:t>
      </w:r>
      <w:r>
        <w:rPr>
          <w:rFonts w:hint="eastAsia" w:ascii="仿宋_GB2312" w:eastAsia="仿宋_GB2312" w:cs="DengXian-Regular"/>
          <w:sz w:val="32"/>
          <w:szCs w:val="32"/>
          <w:lang w:eastAsia="zh-CN"/>
        </w:rPr>
        <w:t>项目支出</w:t>
      </w:r>
      <w:r>
        <w:rPr>
          <w:rFonts w:hint="eastAsia" w:ascii="仿宋_GB2312" w:eastAsia="仿宋_GB2312" w:cs="DengXian-Regular"/>
          <w:sz w:val="32"/>
          <w:szCs w:val="32"/>
        </w:rPr>
        <w:t>追加数合计</w:t>
      </w:r>
      <w:r>
        <w:rPr>
          <w:rFonts w:hint="default" w:ascii="仿宋_GB2312" w:eastAsia="仿宋_GB2312" w:cs="DengXian-Regular"/>
          <w:sz w:val="32"/>
          <w:szCs w:val="32"/>
          <w:lang w:val="en-US"/>
        </w:rPr>
        <w:t>114.179944</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3123.27</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26.5</w:t>
      </w:r>
      <w:r>
        <w:rPr>
          <w:rFonts w:hint="eastAsia" w:ascii="仿宋_GB2312" w:eastAsia="仿宋_GB2312" w:cs="DengXian-Regular"/>
          <w:sz w:val="32"/>
          <w:szCs w:val="32"/>
        </w:rPr>
        <w:t>%，预算调整增加了</w:t>
      </w:r>
      <w:r>
        <w:rPr>
          <w:rFonts w:hint="default" w:ascii="仿宋_GB2312" w:eastAsia="仿宋_GB2312" w:cs="DengXian-Regular"/>
          <w:sz w:val="32"/>
          <w:szCs w:val="32"/>
          <w:lang w:val="en-US"/>
        </w:rPr>
        <w:t>20</w:t>
      </w:r>
      <w:r>
        <w:rPr>
          <w:rFonts w:hint="eastAsia" w:ascii="仿宋_GB2312" w:eastAsia="仿宋_GB2312" w:cs="DengXian-Regular"/>
          <w:sz w:val="32"/>
          <w:szCs w:val="32"/>
        </w:rPr>
        <w:t>个百分点，</w:t>
      </w:r>
      <w:r>
        <w:rPr>
          <w:rFonts w:hint="eastAsia" w:ascii="仿宋_GB2312" w:eastAsia="仿宋_GB2312" w:cs="DengXian-Regular"/>
          <w:sz w:val="32"/>
          <w:szCs w:val="32"/>
          <w:lang w:eastAsia="zh-CN"/>
        </w:rPr>
        <w:t>不扣</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年决算文本，部门决算财政拨款支出数</w:t>
      </w:r>
      <w:r>
        <w:rPr>
          <w:rFonts w:hint="eastAsia" w:ascii="仿宋_GB2312" w:eastAsia="仿宋_GB2312" w:cs="DengXian-Regular"/>
          <w:sz w:val="32"/>
          <w:szCs w:val="32"/>
          <w:lang w:val="en-US" w:eastAsia="zh-CN"/>
        </w:rPr>
        <w:t>6987.77</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7023.7</w:t>
      </w:r>
      <w:r>
        <w:rPr>
          <w:rFonts w:hint="eastAsia" w:ascii="仿宋_GB2312" w:eastAsia="仿宋_GB2312" w:cs="DengXian-Regular"/>
          <w:sz w:val="32"/>
          <w:szCs w:val="32"/>
        </w:rPr>
        <w:t>万元，财政拨款支出率=（</w:t>
      </w:r>
      <w:r>
        <w:rPr>
          <w:rFonts w:hint="eastAsia" w:ascii="仿宋_GB2312" w:eastAsia="仿宋_GB2312" w:cs="DengXian-Regular"/>
          <w:sz w:val="32"/>
          <w:szCs w:val="32"/>
          <w:lang w:val="en-US" w:eastAsia="zh-CN"/>
        </w:rPr>
        <w:t>6987.77</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7023.7</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99.49</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年年初结转和结余</w:t>
      </w:r>
      <w:r>
        <w:rPr>
          <w:rFonts w:hint="eastAsia" w:ascii="仿宋_GB2312" w:eastAsia="仿宋_GB2312" w:cs="DengXian-Regular"/>
          <w:sz w:val="32"/>
          <w:szCs w:val="32"/>
          <w:lang w:val="en-US" w:eastAsia="zh-CN"/>
        </w:rPr>
        <w:t>18.72</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万元，“三公”经费控制率=（</w:t>
      </w:r>
      <w:r>
        <w:rPr>
          <w:rFonts w:hint="eastAsia" w:ascii="仿宋_GB2312" w:eastAsia="仿宋_GB2312" w:cs="DengXian-Regular"/>
          <w:sz w:val="32"/>
          <w:szCs w:val="32"/>
          <w:lang w:val="en-US" w:eastAsia="zh-CN"/>
        </w:rPr>
        <w:t>4.29</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88.27</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年预算文本及决算文本，政府采购年初预算数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年决算文本、明细账及总账，区区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工作制度涵盖了财务制度、网络安全制度、公务用车制度等相关制度，经检查区区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付款流程审批单、资产盘点表等资料，区区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年按政府信息公开的有关要求在保定市徐水区人民政府网公开了202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年的预算情况、部门责任清单、行政监督清单等相关信息。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建立了固定资产台账、无形资产台账，资产保存完整，202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22.976</w:t>
      </w:r>
      <w:r>
        <w:rPr>
          <w:rFonts w:hint="eastAsia" w:ascii="仿宋_GB2312" w:eastAsia="仿宋_GB2312" w:cs="DengXian-Regular"/>
          <w:sz w:val="32"/>
          <w:szCs w:val="32"/>
        </w:rPr>
        <w:t>万元，包含：</w:t>
      </w:r>
      <w:r>
        <w:rPr>
          <w:rFonts w:hint="default" w:ascii="仿宋_GB2312" w:eastAsia="仿宋_GB2312" w:cs="DengXian-Regular"/>
          <w:sz w:val="32"/>
          <w:szCs w:val="32"/>
          <w:lang w:val="en-US"/>
        </w:rPr>
        <w:t>6.15</w:t>
      </w:r>
      <w:r>
        <w:rPr>
          <w:rFonts w:hint="eastAsia" w:ascii="仿宋_GB2312" w:eastAsia="仿宋_GB2312" w:cs="DengXian-Regular"/>
          <w:sz w:val="32"/>
          <w:szCs w:val="32"/>
        </w:rPr>
        <w:t>万元、电脑及计算机设备</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采集仪等</w:t>
      </w:r>
      <w:r>
        <w:rPr>
          <w:rFonts w:hint="default" w:ascii="仿宋_GB2312" w:eastAsia="仿宋_GB2312" w:cs="DengXian-Regular"/>
          <w:sz w:val="32"/>
          <w:szCs w:val="32"/>
          <w:lang w:val="en-US"/>
        </w:rPr>
        <w:t>16.826</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年开展绩效自评的项目数为</w:t>
      </w:r>
      <w:r>
        <w:rPr>
          <w:rFonts w:hint="eastAsia" w:ascii="仿宋_GB2312" w:eastAsia="仿宋_GB2312" w:cs="DengXian-Regular"/>
          <w:sz w:val="32"/>
          <w:szCs w:val="32"/>
          <w:lang w:val="en-US" w:eastAsia="zh-CN"/>
        </w:rPr>
        <w:t>32</w:t>
      </w:r>
      <w:r>
        <w:rPr>
          <w:rFonts w:hint="eastAsia" w:ascii="仿宋_GB2312" w:eastAsia="仿宋_GB2312" w:cs="DengXian-Regular"/>
          <w:sz w:val="32"/>
          <w:szCs w:val="32"/>
        </w:rPr>
        <w:t>个，年初预算文本项目数</w:t>
      </w:r>
      <w:r>
        <w:rPr>
          <w:rFonts w:hint="eastAsia" w:ascii="仿宋_GB2312" w:eastAsia="仿宋_GB2312" w:cs="DengXian-Regular"/>
          <w:sz w:val="32"/>
          <w:szCs w:val="32"/>
          <w:lang w:val="en-US" w:eastAsia="zh-CN"/>
        </w:rPr>
        <w:t>32</w:t>
      </w:r>
      <w:r>
        <w:rPr>
          <w:rFonts w:hint="eastAsia" w:ascii="仿宋_GB2312" w:eastAsia="仿宋_GB2312" w:cs="DengXian-Regular"/>
          <w:sz w:val="32"/>
          <w:szCs w:val="32"/>
        </w:rPr>
        <w:t>个，要求自评项目个数</w:t>
      </w:r>
      <w:r>
        <w:rPr>
          <w:rFonts w:hint="eastAsia" w:ascii="仿宋_GB2312" w:eastAsia="仿宋_GB2312" w:cs="DengXian-Regular"/>
          <w:sz w:val="32"/>
          <w:szCs w:val="32"/>
          <w:lang w:val="en-US" w:eastAsia="zh-CN"/>
        </w:rPr>
        <w:t>12</w:t>
      </w:r>
      <w:r>
        <w:rPr>
          <w:rFonts w:hint="eastAsia" w:ascii="仿宋_GB2312" w:eastAsia="仿宋_GB2312" w:cs="DengXian-Regular"/>
          <w:sz w:val="32"/>
          <w:szCs w:val="32"/>
        </w:rPr>
        <w:t>个，自评覆盖率为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年参评数量</w:t>
      </w:r>
      <w:r>
        <w:rPr>
          <w:rFonts w:hint="eastAsia" w:ascii="仿宋_GB2312" w:eastAsia="仿宋_GB2312" w:cs="DengXian-Regular"/>
          <w:sz w:val="32"/>
          <w:szCs w:val="32"/>
          <w:lang w:val="en-US" w:eastAsia="zh-CN"/>
        </w:rPr>
        <w:t>37</w:t>
      </w:r>
      <w:r>
        <w:rPr>
          <w:rFonts w:hint="eastAsia" w:ascii="仿宋_GB2312" w:eastAsia="仿宋_GB2312" w:cs="DengXian-Regular"/>
          <w:sz w:val="32"/>
          <w:szCs w:val="32"/>
        </w:rPr>
        <w:t>个，绩效评价结果达到优等的数量</w:t>
      </w:r>
      <w:r>
        <w:rPr>
          <w:rFonts w:hint="eastAsia" w:ascii="仿宋_GB2312" w:eastAsia="仿宋_GB2312" w:cs="DengXian-Regular"/>
          <w:sz w:val="32"/>
          <w:szCs w:val="32"/>
          <w:lang w:val="en-US" w:eastAsia="zh-CN"/>
        </w:rPr>
        <w:t>31</w:t>
      </w:r>
      <w:r>
        <w:rPr>
          <w:rFonts w:hint="eastAsia" w:ascii="仿宋_GB2312" w:eastAsia="仿宋_GB2312" w:cs="DengXian-Regular"/>
          <w:sz w:val="32"/>
          <w:szCs w:val="32"/>
        </w:rPr>
        <w:t>个，绩效评价优等率为</w:t>
      </w:r>
      <w:r>
        <w:rPr>
          <w:rFonts w:hint="eastAsia" w:ascii="仿宋_GB2312" w:eastAsia="仿宋_GB2312" w:cs="DengXian-Regular"/>
          <w:sz w:val="32"/>
          <w:szCs w:val="32"/>
          <w:lang w:val="en-US" w:eastAsia="zh-CN"/>
        </w:rPr>
        <w:t>83.8</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4"/>
      <w:bookmarkEnd w:id="65"/>
    </w:p>
    <w:p>
      <w:pPr>
        <w:pStyle w:val="4"/>
        <w:spacing w:before="0" w:after="0"/>
        <w:ind w:firstLine="642"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w:t>
      </w:r>
      <w:r>
        <w:rPr>
          <w:rFonts w:hint="eastAsia" w:ascii="仿宋_GB2312" w:eastAsia="仿宋_GB2312" w:cs="DengXian-Regular"/>
          <w:sz w:val="32"/>
          <w:szCs w:val="32"/>
          <w:lang w:val="en-US" w:eastAsia="zh-CN"/>
        </w:rPr>
        <w:t>资金足额兑现率、专款专用率、支付标准、资金及时支付率</w:t>
      </w:r>
      <w:r>
        <w:rPr>
          <w:rFonts w:hint="eastAsia" w:ascii="仿宋_GB2312" w:eastAsia="仿宋_GB2312" w:cs="DengXian-Regular"/>
          <w:sz w:val="32"/>
          <w:szCs w:val="32"/>
        </w:rPr>
        <w:t>。</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资金足额兑现率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专款专用率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支付标准</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ascii="仿宋_GB2312" w:eastAsia="仿宋_GB2312" w:cs="DengXian-Regular"/>
                <w:sz w:val="32"/>
                <w:szCs w:val="32"/>
                <w:lang w:val="en-US" w:eastAsia="zh-CN"/>
              </w:rPr>
              <w:t>资金及时支付率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w:t>
      </w:r>
      <w:r>
        <w:rPr>
          <w:rFonts w:hint="eastAsia" w:ascii="仿宋_GB2312" w:eastAsia="仿宋_GB2312" w:cs="DengXian-Regular"/>
          <w:sz w:val="32"/>
          <w:szCs w:val="32"/>
          <w:lang w:val="en-US" w:eastAsia="zh-CN"/>
        </w:rPr>
        <w:t>资金足额兑现率</w:t>
      </w:r>
      <w:r>
        <w:rPr>
          <w:rFonts w:hint="eastAsia" w:ascii="仿宋_GB2312" w:eastAsia="仿宋_GB2312" w:cs="DengXian-Regular"/>
          <w:sz w:val="32"/>
          <w:szCs w:val="32"/>
        </w:rPr>
        <w:t>（5分）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资金按照要求，按照规定，足额发放到服务对象手中</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ascii="仿宋_GB2312" w:eastAsia="仿宋_GB2312" w:cs="DengXian-Regular"/>
          <w:sz w:val="32"/>
          <w:szCs w:val="32"/>
          <w:lang w:val="en-US" w:eastAsia="zh-CN"/>
        </w:rPr>
        <w:t>专款专</w:t>
      </w:r>
      <w:r>
        <w:rPr>
          <w:rFonts w:hint="eastAsia" w:ascii="仿宋_GB2312" w:eastAsia="仿宋_GB2312" w:cs="DengXian-Regular"/>
          <w:sz w:val="32"/>
          <w:szCs w:val="32"/>
        </w:rPr>
        <w:t>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6825.18</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37</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3123.27</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114.18</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pStyle w:val="4"/>
        <w:spacing w:before="0" w:after="0"/>
        <w:ind w:firstLine="642"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经查看区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履行职责对社会发展所带来的社会效益较显著，</w:t>
      </w:r>
      <w:r>
        <w:rPr>
          <w:rFonts w:hint="eastAsia" w:ascii="仿宋_GB2312" w:eastAsia="仿宋_GB2312" w:cs="DengXian-Regular"/>
          <w:sz w:val="32"/>
          <w:szCs w:val="32"/>
          <w:lang w:val="en-US" w:eastAsia="zh-CN"/>
        </w:rPr>
        <w:t>确保退役军人的合法权益得到保障。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发放优抚生活补助及时满意度</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4900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99</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慰问关爱退役军人工作是否满意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4500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rPr>
              <w:t>X</w:t>
            </w:r>
            <w:r>
              <w:rPr>
                <w:rFonts w:hint="eastAsia" w:cs="Times New Roman" w:asciiTheme="minorEastAsia" w:hAnsiTheme="minorEastAsia" w:eastAsiaTheme="minorEastAsia"/>
                <w:sz w:val="21"/>
                <w:szCs w:val="21"/>
                <w:u w:color="000000"/>
                <w:lang w:val="en-US" w:eastAsia="zh-CN"/>
              </w:rPr>
              <w:t>250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95</w:t>
            </w:r>
          </w:p>
        </w:tc>
      </w:tr>
      <w:tr>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退役军人保障发宣传工作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4900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99</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u w:color="000000"/>
          <w:lang w:val="en-US" w:eastAsia="zh-CN"/>
        </w:rPr>
        <w:t>94.8</w:t>
      </w:r>
      <w:r>
        <w:rPr>
          <w:rFonts w:hint="eastAsia" w:ascii="仿宋_GB2312" w:eastAsia="仿宋_GB2312" w:cs="Times New Roman" w:hAnsiTheme="minorEastAsia"/>
          <w:sz w:val="32"/>
          <w:szCs w:val="32"/>
          <w:u w:color="000000"/>
        </w:rPr>
        <w:t>分，大于90分，评价等级为“</w:t>
      </w:r>
      <w:r>
        <w:rPr>
          <w:rFonts w:hint="eastAsia" w:ascii="仿宋_GB2312" w:eastAsia="仿宋_GB2312" w:cs="Times New Roman" w:hAnsiTheme="minorEastAsia"/>
          <w:sz w:val="32"/>
          <w:szCs w:val="32"/>
          <w:u w:color="000000"/>
          <w:lang w:val="en-US" w:eastAsia="zh-CN"/>
        </w:rPr>
        <w:t>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2"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u w:color="000000"/>
        </w:rPr>
        <w:t>202</w:t>
      </w:r>
      <w:r>
        <w:rPr>
          <w:rFonts w:hint="default" w:ascii="仿宋_GB2312" w:eastAsia="仿宋_GB2312" w:cs="DengXian-Regular"/>
          <w:sz w:val="32"/>
          <w:szCs w:val="32"/>
          <w:lang w:val="en-US"/>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lang w:val="en-US" w:eastAsia="zh-CN"/>
        </w:rPr>
        <w:t>绩效指标量化设定不够全面。</w:t>
      </w:r>
    </w:p>
    <w:p>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rPr>
        <w:t>2.预算决算比较</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lang w:val="en-US" w:eastAsia="zh-CN"/>
        </w:rPr>
        <w:t>各项操作处于探索中，年中有优抚资金退回，预决算存在差异。</w:t>
      </w:r>
    </w:p>
    <w:p>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rPr>
        <w:t>3.预算追加方面</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lang w:val="en-US" w:eastAsia="zh-CN"/>
        </w:rPr>
        <w:t>信访人员缴费保险基数调整年初不确定调整金额，在预算执行中预算资金追加情况发生。</w:t>
      </w:r>
    </w:p>
    <w:p>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rPr>
        <w:t>4.政府采购方面</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lang w:val="en-US" w:eastAsia="zh-CN"/>
        </w:rPr>
        <w:t>缺乏相关经验，应向其他单位学习交流。</w:t>
      </w:r>
    </w:p>
    <w:p>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eastAsia" w:ascii="仿宋_GB2312" w:eastAsia="仿宋_GB2312" w:cs="Times New Roman" w:hAnsiTheme="minorEastAsia"/>
          <w:sz w:val="32"/>
          <w:szCs w:val="32"/>
          <w:u w:color="000000"/>
        </w:rPr>
        <w:t>5.项目资金使用率方面</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lang w:val="en-US" w:eastAsia="zh-CN"/>
        </w:rPr>
        <w:t>预算数额不准确，在资金使用上存在差异。</w:t>
      </w: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退役军人事务局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val="en-US" w:eastAsia="zh-CN"/>
        </w:rPr>
        <w:t>退役军人事务局</w:t>
      </w:r>
      <w:r>
        <w:rPr>
          <w:rFonts w:hint="eastAsia" w:ascii="仿宋_GB2312" w:eastAsia="仿宋_GB2312" w:cs="Times New Roman" w:hAnsiTheme="minorEastAsia"/>
          <w:sz w:val="32"/>
          <w:szCs w:val="32"/>
          <w:u w:color="000000"/>
        </w:rPr>
        <w:t>工作活动绩效目标、绩效指标一览表</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ngXian-Regular">
    <w:altName w:val="华文仿宋"/>
    <w:panose1 w:val="00000000000000000000"/>
    <w:charset w:val="86"/>
    <w:family w:val="auto"/>
    <w:pitch w:val="default"/>
    <w:sig w:usb0="00000000" w:usb1="00000000" w:usb2="0000001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jMwZGU5ZWRlYTIwZTYwMDY5Mjk0Yjk2NDM0ZmQ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3887CA4"/>
    <w:rsid w:val="04260169"/>
    <w:rsid w:val="04CC4830"/>
    <w:rsid w:val="050463C4"/>
    <w:rsid w:val="050945F2"/>
    <w:rsid w:val="050E4034"/>
    <w:rsid w:val="056F4DC0"/>
    <w:rsid w:val="05E768CC"/>
    <w:rsid w:val="05F86FA8"/>
    <w:rsid w:val="05FE2AE0"/>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9C32071"/>
    <w:rsid w:val="09C94415"/>
    <w:rsid w:val="0A3A2559"/>
    <w:rsid w:val="0A805158"/>
    <w:rsid w:val="0AF87126"/>
    <w:rsid w:val="0B0A6A8C"/>
    <w:rsid w:val="0B4B1CD9"/>
    <w:rsid w:val="0B84640C"/>
    <w:rsid w:val="0B9B2EBC"/>
    <w:rsid w:val="0B9D1260"/>
    <w:rsid w:val="0BA309DB"/>
    <w:rsid w:val="0BC90D6D"/>
    <w:rsid w:val="0BCB508B"/>
    <w:rsid w:val="0C070B14"/>
    <w:rsid w:val="0C1A22A8"/>
    <w:rsid w:val="0C1B1D3D"/>
    <w:rsid w:val="0C26236E"/>
    <w:rsid w:val="0C9306BE"/>
    <w:rsid w:val="0CB05CD1"/>
    <w:rsid w:val="0D1B39E9"/>
    <w:rsid w:val="0D2166C9"/>
    <w:rsid w:val="0D29727C"/>
    <w:rsid w:val="0DBC62FD"/>
    <w:rsid w:val="0DCB2021"/>
    <w:rsid w:val="0E3A01CC"/>
    <w:rsid w:val="0E5C0B86"/>
    <w:rsid w:val="0E9172D3"/>
    <w:rsid w:val="0EF1422C"/>
    <w:rsid w:val="0F3B23D4"/>
    <w:rsid w:val="0F3B3DD7"/>
    <w:rsid w:val="0FFF0C66"/>
    <w:rsid w:val="103B4F13"/>
    <w:rsid w:val="104C6ED0"/>
    <w:rsid w:val="107B6AE8"/>
    <w:rsid w:val="11195DC6"/>
    <w:rsid w:val="113118BF"/>
    <w:rsid w:val="115A70AD"/>
    <w:rsid w:val="116421D6"/>
    <w:rsid w:val="11EA1B00"/>
    <w:rsid w:val="121F5AC5"/>
    <w:rsid w:val="125037BB"/>
    <w:rsid w:val="12521250"/>
    <w:rsid w:val="12524B60"/>
    <w:rsid w:val="125B2E30"/>
    <w:rsid w:val="12DD3ADB"/>
    <w:rsid w:val="12E866AF"/>
    <w:rsid w:val="130C55D8"/>
    <w:rsid w:val="13244A23"/>
    <w:rsid w:val="13EE6B6B"/>
    <w:rsid w:val="1472386E"/>
    <w:rsid w:val="148F0FC6"/>
    <w:rsid w:val="151600A7"/>
    <w:rsid w:val="159F345A"/>
    <w:rsid w:val="15E43EF8"/>
    <w:rsid w:val="169C13F7"/>
    <w:rsid w:val="16A81136"/>
    <w:rsid w:val="16AC4207"/>
    <w:rsid w:val="16C20037"/>
    <w:rsid w:val="16D104CB"/>
    <w:rsid w:val="174E011C"/>
    <w:rsid w:val="17752223"/>
    <w:rsid w:val="178A56FB"/>
    <w:rsid w:val="17A8647B"/>
    <w:rsid w:val="17A975C2"/>
    <w:rsid w:val="18253B4C"/>
    <w:rsid w:val="18FC6D23"/>
    <w:rsid w:val="190F1674"/>
    <w:rsid w:val="19132D2F"/>
    <w:rsid w:val="19210747"/>
    <w:rsid w:val="196E7CB2"/>
    <w:rsid w:val="198759D2"/>
    <w:rsid w:val="19CF6A63"/>
    <w:rsid w:val="19D72BB5"/>
    <w:rsid w:val="1AB93D5B"/>
    <w:rsid w:val="1AD212BF"/>
    <w:rsid w:val="1AF900F3"/>
    <w:rsid w:val="1AFC6A2C"/>
    <w:rsid w:val="1BE0351A"/>
    <w:rsid w:val="1C120302"/>
    <w:rsid w:val="1C390488"/>
    <w:rsid w:val="1C442FCB"/>
    <w:rsid w:val="1C532B00"/>
    <w:rsid w:val="1C54737D"/>
    <w:rsid w:val="1CCC12C5"/>
    <w:rsid w:val="1D1A54AC"/>
    <w:rsid w:val="1D1B1BAD"/>
    <w:rsid w:val="1D401A6B"/>
    <w:rsid w:val="1DCC5DA5"/>
    <w:rsid w:val="1E8A015B"/>
    <w:rsid w:val="1EA00E4A"/>
    <w:rsid w:val="1F4F1109"/>
    <w:rsid w:val="1F5B6EF4"/>
    <w:rsid w:val="1F6A0646"/>
    <w:rsid w:val="206A0332"/>
    <w:rsid w:val="208C4F90"/>
    <w:rsid w:val="2091595B"/>
    <w:rsid w:val="20F51AC3"/>
    <w:rsid w:val="21AE6D2F"/>
    <w:rsid w:val="21C21552"/>
    <w:rsid w:val="21C3713A"/>
    <w:rsid w:val="2325410F"/>
    <w:rsid w:val="24DA6297"/>
    <w:rsid w:val="252F3CBE"/>
    <w:rsid w:val="25F018F1"/>
    <w:rsid w:val="26694CDB"/>
    <w:rsid w:val="268375B8"/>
    <w:rsid w:val="26EB2209"/>
    <w:rsid w:val="282C171E"/>
    <w:rsid w:val="28463A4A"/>
    <w:rsid w:val="2849297F"/>
    <w:rsid w:val="28614A3A"/>
    <w:rsid w:val="28675334"/>
    <w:rsid w:val="28864D74"/>
    <w:rsid w:val="28BE2036"/>
    <w:rsid w:val="28E0583E"/>
    <w:rsid w:val="291B4E46"/>
    <w:rsid w:val="2936596A"/>
    <w:rsid w:val="2997006D"/>
    <w:rsid w:val="29AC5EF0"/>
    <w:rsid w:val="2AB17C95"/>
    <w:rsid w:val="2B040631"/>
    <w:rsid w:val="2B0B5AF1"/>
    <w:rsid w:val="2B793244"/>
    <w:rsid w:val="2BBC5C3F"/>
    <w:rsid w:val="2C094BA0"/>
    <w:rsid w:val="2C60205D"/>
    <w:rsid w:val="2C8F5C68"/>
    <w:rsid w:val="2CAD317E"/>
    <w:rsid w:val="2CC97424"/>
    <w:rsid w:val="2CE35E0D"/>
    <w:rsid w:val="2CE71989"/>
    <w:rsid w:val="2D2725F0"/>
    <w:rsid w:val="2D345768"/>
    <w:rsid w:val="2D73679B"/>
    <w:rsid w:val="2E3C146C"/>
    <w:rsid w:val="2E994608"/>
    <w:rsid w:val="2E9C375A"/>
    <w:rsid w:val="2EA60EE0"/>
    <w:rsid w:val="2ED8262F"/>
    <w:rsid w:val="2F242CBD"/>
    <w:rsid w:val="2F7F398A"/>
    <w:rsid w:val="2FB34058"/>
    <w:rsid w:val="300C74C4"/>
    <w:rsid w:val="304B3830"/>
    <w:rsid w:val="307D5A91"/>
    <w:rsid w:val="317B20C5"/>
    <w:rsid w:val="32A33E31"/>
    <w:rsid w:val="32D048D8"/>
    <w:rsid w:val="32D3622F"/>
    <w:rsid w:val="32D63CF2"/>
    <w:rsid w:val="32F26097"/>
    <w:rsid w:val="330344C4"/>
    <w:rsid w:val="3341799D"/>
    <w:rsid w:val="337A399F"/>
    <w:rsid w:val="337F2EFA"/>
    <w:rsid w:val="339029A7"/>
    <w:rsid w:val="33CC5FD9"/>
    <w:rsid w:val="34697607"/>
    <w:rsid w:val="34DC6FBF"/>
    <w:rsid w:val="352019FA"/>
    <w:rsid w:val="35731520"/>
    <w:rsid w:val="35D51EF6"/>
    <w:rsid w:val="35DC779C"/>
    <w:rsid w:val="35F436C6"/>
    <w:rsid w:val="36037C49"/>
    <w:rsid w:val="36B804EA"/>
    <w:rsid w:val="371766EB"/>
    <w:rsid w:val="3728049C"/>
    <w:rsid w:val="379077B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D0345F8"/>
    <w:rsid w:val="3D12155E"/>
    <w:rsid w:val="3E2A5A13"/>
    <w:rsid w:val="3E6A5C1B"/>
    <w:rsid w:val="3E951BD3"/>
    <w:rsid w:val="3EB91E59"/>
    <w:rsid w:val="3EEF6792"/>
    <w:rsid w:val="3F007EB0"/>
    <w:rsid w:val="3F165ACD"/>
    <w:rsid w:val="3FA23A80"/>
    <w:rsid w:val="3FB75DF9"/>
    <w:rsid w:val="3FFB5643"/>
    <w:rsid w:val="40140F06"/>
    <w:rsid w:val="418368ED"/>
    <w:rsid w:val="41FC789B"/>
    <w:rsid w:val="425C64FC"/>
    <w:rsid w:val="42677394"/>
    <w:rsid w:val="4278675D"/>
    <w:rsid w:val="42D3374F"/>
    <w:rsid w:val="430900C5"/>
    <w:rsid w:val="431F105C"/>
    <w:rsid w:val="43F003B4"/>
    <w:rsid w:val="443A04B0"/>
    <w:rsid w:val="446458DA"/>
    <w:rsid w:val="446645C4"/>
    <w:rsid w:val="44CC6E21"/>
    <w:rsid w:val="44E00C2F"/>
    <w:rsid w:val="44F12828"/>
    <w:rsid w:val="453F4EE8"/>
    <w:rsid w:val="454743B4"/>
    <w:rsid w:val="457E0C0E"/>
    <w:rsid w:val="4594599D"/>
    <w:rsid w:val="45A27895"/>
    <w:rsid w:val="45B87F4E"/>
    <w:rsid w:val="4654463C"/>
    <w:rsid w:val="469D1E1F"/>
    <w:rsid w:val="4703453A"/>
    <w:rsid w:val="4724068E"/>
    <w:rsid w:val="473E4C27"/>
    <w:rsid w:val="47401AE3"/>
    <w:rsid w:val="47847F9B"/>
    <w:rsid w:val="47954DE6"/>
    <w:rsid w:val="47B6276E"/>
    <w:rsid w:val="47D7714D"/>
    <w:rsid w:val="48BE14C3"/>
    <w:rsid w:val="48CA305E"/>
    <w:rsid w:val="491D1161"/>
    <w:rsid w:val="4945471C"/>
    <w:rsid w:val="49C23604"/>
    <w:rsid w:val="4A6500D9"/>
    <w:rsid w:val="4B4245F3"/>
    <w:rsid w:val="4B4D56DB"/>
    <w:rsid w:val="4B6A5389"/>
    <w:rsid w:val="4BCB58DC"/>
    <w:rsid w:val="4BE87F26"/>
    <w:rsid w:val="4C081E20"/>
    <w:rsid w:val="4C3974A1"/>
    <w:rsid w:val="4C4D743A"/>
    <w:rsid w:val="4C561056"/>
    <w:rsid w:val="4CDC25C4"/>
    <w:rsid w:val="4D2A1AAB"/>
    <w:rsid w:val="4DBE15DE"/>
    <w:rsid w:val="4DFF45BC"/>
    <w:rsid w:val="4E61428A"/>
    <w:rsid w:val="4E64442F"/>
    <w:rsid w:val="4E7B705D"/>
    <w:rsid w:val="4EBF2070"/>
    <w:rsid w:val="4ECB455C"/>
    <w:rsid w:val="4EF16D21"/>
    <w:rsid w:val="4EFC2B29"/>
    <w:rsid w:val="4F4E6BEF"/>
    <w:rsid w:val="4F6745C5"/>
    <w:rsid w:val="4F751E54"/>
    <w:rsid w:val="4FA9510C"/>
    <w:rsid w:val="4FFB3007"/>
    <w:rsid w:val="50891C17"/>
    <w:rsid w:val="515661FD"/>
    <w:rsid w:val="520E7D39"/>
    <w:rsid w:val="527310FD"/>
    <w:rsid w:val="52C145B3"/>
    <w:rsid w:val="532C19FA"/>
    <w:rsid w:val="536C046F"/>
    <w:rsid w:val="53777260"/>
    <w:rsid w:val="53BD324D"/>
    <w:rsid w:val="53DA3FDB"/>
    <w:rsid w:val="54840E64"/>
    <w:rsid w:val="54B52F23"/>
    <w:rsid w:val="559025B5"/>
    <w:rsid w:val="55BE6F35"/>
    <w:rsid w:val="562F4A45"/>
    <w:rsid w:val="56AB5747"/>
    <w:rsid w:val="57466A30"/>
    <w:rsid w:val="57E7750E"/>
    <w:rsid w:val="582C3304"/>
    <w:rsid w:val="583E683E"/>
    <w:rsid w:val="584263FC"/>
    <w:rsid w:val="587236E1"/>
    <w:rsid w:val="58AA248A"/>
    <w:rsid w:val="592757C1"/>
    <w:rsid w:val="59BB7687"/>
    <w:rsid w:val="59EB024C"/>
    <w:rsid w:val="5A097D45"/>
    <w:rsid w:val="5A232744"/>
    <w:rsid w:val="5A8E433F"/>
    <w:rsid w:val="5ACC5639"/>
    <w:rsid w:val="5AFE0937"/>
    <w:rsid w:val="5B022AFF"/>
    <w:rsid w:val="5B1C238B"/>
    <w:rsid w:val="5BB72396"/>
    <w:rsid w:val="5BDA2541"/>
    <w:rsid w:val="5BE1601C"/>
    <w:rsid w:val="5C8E70AE"/>
    <w:rsid w:val="5C9700DF"/>
    <w:rsid w:val="5CFF5AEE"/>
    <w:rsid w:val="5D5260D6"/>
    <w:rsid w:val="5E4106DA"/>
    <w:rsid w:val="5E4B362D"/>
    <w:rsid w:val="5E4B3828"/>
    <w:rsid w:val="5E804753"/>
    <w:rsid w:val="5EC32979"/>
    <w:rsid w:val="5EFC5263"/>
    <w:rsid w:val="5F2B51D9"/>
    <w:rsid w:val="5F37440C"/>
    <w:rsid w:val="5F9040D5"/>
    <w:rsid w:val="5FC04CCF"/>
    <w:rsid w:val="609E7926"/>
    <w:rsid w:val="60CC769A"/>
    <w:rsid w:val="60F3280A"/>
    <w:rsid w:val="615A0826"/>
    <w:rsid w:val="616E5025"/>
    <w:rsid w:val="62117B48"/>
    <w:rsid w:val="6233066F"/>
    <w:rsid w:val="625714F8"/>
    <w:rsid w:val="62AF2B34"/>
    <w:rsid w:val="62D7081D"/>
    <w:rsid w:val="63687194"/>
    <w:rsid w:val="638E50BC"/>
    <w:rsid w:val="643C1295"/>
    <w:rsid w:val="64D27A6F"/>
    <w:rsid w:val="65105D14"/>
    <w:rsid w:val="651F503A"/>
    <w:rsid w:val="65765688"/>
    <w:rsid w:val="65A40D91"/>
    <w:rsid w:val="65DC59E1"/>
    <w:rsid w:val="66816D65"/>
    <w:rsid w:val="66F55A6B"/>
    <w:rsid w:val="67292A06"/>
    <w:rsid w:val="67327F2E"/>
    <w:rsid w:val="674609A7"/>
    <w:rsid w:val="67465B30"/>
    <w:rsid w:val="67570873"/>
    <w:rsid w:val="68082611"/>
    <w:rsid w:val="688C533B"/>
    <w:rsid w:val="68E83CB7"/>
    <w:rsid w:val="692F0DD2"/>
    <w:rsid w:val="692F6DB1"/>
    <w:rsid w:val="696B16A5"/>
    <w:rsid w:val="69772905"/>
    <w:rsid w:val="69A86C8E"/>
    <w:rsid w:val="6A064913"/>
    <w:rsid w:val="6A360EF4"/>
    <w:rsid w:val="6A736A2C"/>
    <w:rsid w:val="6AC4173D"/>
    <w:rsid w:val="6AF77DA5"/>
    <w:rsid w:val="6B3F6E7C"/>
    <w:rsid w:val="6B4F76A1"/>
    <w:rsid w:val="6BB6746F"/>
    <w:rsid w:val="6BFD03AE"/>
    <w:rsid w:val="6BFF6077"/>
    <w:rsid w:val="6C2308EC"/>
    <w:rsid w:val="6C4517E3"/>
    <w:rsid w:val="6C867767"/>
    <w:rsid w:val="6CA34648"/>
    <w:rsid w:val="6D031FFE"/>
    <w:rsid w:val="6D865CB4"/>
    <w:rsid w:val="6D870368"/>
    <w:rsid w:val="6D9A2A2B"/>
    <w:rsid w:val="6DEF74D5"/>
    <w:rsid w:val="6E21764A"/>
    <w:rsid w:val="6E9856D0"/>
    <w:rsid w:val="6EB840FC"/>
    <w:rsid w:val="6ECB1524"/>
    <w:rsid w:val="6EE920DC"/>
    <w:rsid w:val="6EF66C39"/>
    <w:rsid w:val="6F377C99"/>
    <w:rsid w:val="6F7E7DE2"/>
    <w:rsid w:val="6FAA433E"/>
    <w:rsid w:val="704F1D50"/>
    <w:rsid w:val="7062369D"/>
    <w:rsid w:val="706627DB"/>
    <w:rsid w:val="70D8666D"/>
    <w:rsid w:val="70ED494E"/>
    <w:rsid w:val="70F82977"/>
    <w:rsid w:val="711203ED"/>
    <w:rsid w:val="712A76BE"/>
    <w:rsid w:val="716D6D00"/>
    <w:rsid w:val="719901C6"/>
    <w:rsid w:val="71B131C3"/>
    <w:rsid w:val="71CC5821"/>
    <w:rsid w:val="71F26BCA"/>
    <w:rsid w:val="71F331D2"/>
    <w:rsid w:val="720542F1"/>
    <w:rsid w:val="72303324"/>
    <w:rsid w:val="72380013"/>
    <w:rsid w:val="72540D30"/>
    <w:rsid w:val="72BF78FC"/>
    <w:rsid w:val="72E107A2"/>
    <w:rsid w:val="73426C39"/>
    <w:rsid w:val="73594771"/>
    <w:rsid w:val="738D38A8"/>
    <w:rsid w:val="740F0E4D"/>
    <w:rsid w:val="7469799F"/>
    <w:rsid w:val="74A20311"/>
    <w:rsid w:val="74A66F51"/>
    <w:rsid w:val="74E24705"/>
    <w:rsid w:val="750506F3"/>
    <w:rsid w:val="758944AE"/>
    <w:rsid w:val="758C4507"/>
    <w:rsid w:val="75AA1A6C"/>
    <w:rsid w:val="75FA6084"/>
    <w:rsid w:val="764A782F"/>
    <w:rsid w:val="765145D6"/>
    <w:rsid w:val="766E5C13"/>
    <w:rsid w:val="76C0735A"/>
    <w:rsid w:val="76DA62AA"/>
    <w:rsid w:val="76DE39EB"/>
    <w:rsid w:val="774B42DA"/>
    <w:rsid w:val="77B6617D"/>
    <w:rsid w:val="77CC2AC5"/>
    <w:rsid w:val="78AC0F28"/>
    <w:rsid w:val="78AD7E4B"/>
    <w:rsid w:val="79116D2A"/>
    <w:rsid w:val="7922758B"/>
    <w:rsid w:val="79247091"/>
    <w:rsid w:val="7958125E"/>
    <w:rsid w:val="79766799"/>
    <w:rsid w:val="79B255D2"/>
    <w:rsid w:val="79B45BBB"/>
    <w:rsid w:val="79D0307E"/>
    <w:rsid w:val="79DE121D"/>
    <w:rsid w:val="79E249A2"/>
    <w:rsid w:val="7A1C1EFA"/>
    <w:rsid w:val="7A5C7B4D"/>
    <w:rsid w:val="7B1F1C18"/>
    <w:rsid w:val="7B387938"/>
    <w:rsid w:val="7BEF5630"/>
    <w:rsid w:val="7C055343"/>
    <w:rsid w:val="7C341C52"/>
    <w:rsid w:val="7CAD2B90"/>
    <w:rsid w:val="7D033238"/>
    <w:rsid w:val="7D2F6ABF"/>
    <w:rsid w:val="7D50024E"/>
    <w:rsid w:val="7D637EF4"/>
    <w:rsid w:val="7E341B98"/>
    <w:rsid w:val="7E51328E"/>
    <w:rsid w:val="7E7A78C3"/>
    <w:rsid w:val="7EB002E0"/>
    <w:rsid w:val="7F14576E"/>
    <w:rsid w:val="7FB7357D"/>
    <w:rsid w:val="F9EA5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年决算收入结构图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97.69%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2.04%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697249891793049"/>
                  <c:y val="-0.087916875559786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0.27%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2022</a:t>
            </a:r>
            <a:r>
              <a:rPr lang="zh-CN"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年</a:t>
            </a:r>
            <a:r>
              <a:rPr lang="zh-CN" altLang="en-US" sz="1400" b="0">
                <a:latin typeface="仿宋" panose="02010609060101010101" charset="-122"/>
                <a:ea typeface="仿宋" panose="02010609060101010101" charset="-122"/>
                <a:cs typeface="仿宋" panose="02010609060101010101" charset="-122"/>
              </a:rPr>
              <a:t>度预算收入与决算收入对比图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186409052606237"/>
          <c:y val="0.00684150513112889"/>
        </c:manualLayout>
      </c:layout>
      <c:overlay val="0"/>
    </c:title>
    <c:autoTitleDeleted val="0"/>
    <c:plotArea>
      <c:layout>
        <c:manualLayout>
          <c:layoutTarget val="inner"/>
          <c:xMode val="edge"/>
          <c:yMode val="edge"/>
          <c:x val="0.159427550004525"/>
          <c:y val="0.174797092671109"/>
          <c:w val="0.684520830835232"/>
          <c:h val="0.388237431859482"/>
        </c:manualLayout>
      </c:layout>
      <c:barChart>
        <c:barDir val="col"/>
        <c:grouping val="clustered"/>
        <c:varyColors val="0"/>
        <c:ser>
          <c:idx val="0"/>
          <c:order val="0"/>
          <c:tx>
            <c:strRef>
              <c:f>'[底稿---自己的.xlsx]Sheet1'!$B$3</c:f>
              <c:strCache>
                <c:ptCount val="1"/>
                <c:pt idx="0">
                  <c:v>预算</c:v>
                </c:pt>
              </c:strCache>
            </c:strRef>
          </c:tx>
          <c:invertIfNegative val="0"/>
          <c:dLbls>
            <c:dLbl>
              <c:idx val="0"/>
              <c:delete val="1"/>
            </c:dLbl>
            <c:dLbl>
              <c:idx val="1"/>
              <c:layout>
                <c:manualLayout>
                  <c:x val="-0.00676818950930626"/>
                  <c:y val="-0.07692307692307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5672.92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54.7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8841777104902"/>
                  <c:y val="0.010645233946204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19.12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6861.39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624780156544282"/>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143.36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19.1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157344128"/>
        <c:axId val="157345664"/>
      </c:barChart>
      <c:catAx>
        <c:axId val="1573441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4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年度决算支出结构图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8346055979648"/>
          <c:y val="0.00682593856655289"/>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delete val="1"/>
            </c:dLbl>
            <c:dLbl>
              <c:idx val="1"/>
              <c:layout>
                <c:manualLayout>
                  <c:x val="-0.0065094050743657"/>
                  <c:y val="0.02605387868183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97.6</a:t>
                    </a:r>
                    <a:r>
                      <a:t>8%</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2</a:t>
                    </a:r>
                    <a:r>
                      <a:rPr lang="en-US" altLang="zh-CN"/>
                      <a:t>.05</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2948204470624"/>
                  <c:y val="-0.02610309128025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0.27</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年预算支出与决算支出对比图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12023186761504"/>
          <c:y val="0.00789265982636148"/>
        </c:manualLayout>
      </c:layout>
      <c:overlay val="0"/>
    </c:title>
    <c:autoTitleDeleted val="0"/>
    <c:plotArea>
      <c:layout>
        <c:manualLayout>
          <c:layoutTarget val="inner"/>
          <c:xMode val="edge"/>
          <c:yMode val="edge"/>
          <c:x val="0.176327804291726"/>
          <c:y val="0.151059495972789"/>
          <c:w val="0.677196941205967"/>
          <c:h val="0.388318863456989"/>
        </c:manualLayout>
      </c:layout>
      <c:barChart>
        <c:barDir val="col"/>
        <c:grouping val="clustered"/>
        <c:varyColors val="0"/>
        <c:ser>
          <c:idx val="0"/>
          <c:order val="0"/>
          <c:tx>
            <c:strRef>
              <c:f>'[底稿---自己的.xlsx]Sheet1'!$B$3</c:f>
              <c:strCache>
                <c:ptCount val="1"/>
                <c:pt idx="0">
                  <c:v>预算</c:v>
                </c:pt>
              </c:strCache>
            </c:strRef>
          </c:tx>
          <c:invertIfNegative val="0"/>
          <c:dLbls>
            <c:dLbl>
              <c:idx val="0"/>
              <c:delete val="1"/>
            </c:dLbl>
            <c:dLbl>
              <c:idx val="1"/>
              <c:layout>
                <c:manualLayout>
                  <c:x val="-0.00676818950930626"/>
                  <c:y val="-0.07692307692307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5627.94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54032116259554"/>
                  <c:y val="-0.045472522336275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54.7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19.1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6825.61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676818950930618"/>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143.24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19.1</a:t>
                    </a:r>
                    <a:r>
                      <a:t>9</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0"/>
          <c:showBubbleSize val="0"/>
        </c:dLbls>
        <c:gapWidth val="150"/>
        <c:axId val="165905536"/>
        <c:axId val="174944640"/>
      </c:barChart>
      <c:catAx>
        <c:axId val="1659055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944640"/>
        <c:crosses val="autoZero"/>
        <c:auto val="1"/>
        <c:lblAlgn val="ctr"/>
        <c:lblOffset val="100"/>
        <c:noMultiLvlLbl val="0"/>
      </c:catAx>
      <c:valAx>
        <c:axId val="174944640"/>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05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4857751" y="400050"/>
          <a:ext cx="762000"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3608362" y="174387"/>
          <a:ext cx="566046" cy="10378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12450</Words>
  <Characters>13354</Characters>
  <Lines>102</Lines>
  <Paragraphs>28</Paragraphs>
  <TotalTime>53</TotalTime>
  <ScaleCrop>false</ScaleCrop>
  <LinksUpToDate>false</LinksUpToDate>
  <CharactersWithSpaces>13525</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2019-11-18T14:52:00Z</dcterms:created>
  <dc:creator>Administrator</dc:creator>
  <cp:lastModifiedBy>thtf</cp:lastModifiedBy>
  <cp:lastPrinted>2023-08-19T08:49:00Z</cp:lastPrinted>
  <dcterms:modified xsi:type="dcterms:W3CDTF">2026-01-16T11:20:08Z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EE63F447297E412F9E6E337BF5029938_13</vt:lpwstr>
  </property>
</Properties>
</file>