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3.xml" ContentType="application/vnd.openxmlformats-officedocument.themeOverride+xml"/>
  <Override PartName="/word/drawings/drawing3.xml" ContentType="application/vnd.openxmlformats-officedocument.drawingml.chartshapes+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4.xml" ContentType="application/vnd.openxmlformats-officedocument.themeOverride+xml"/>
  <Override PartName="/word/drawings/drawing4.xml" ContentType="application/vnd.openxmlformats-officedocument.drawingml.chartshape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C43" w:rsidRDefault="00852C43">
      <w:pPr>
        <w:widowControl w:val="0"/>
        <w:adjustRightInd/>
        <w:snapToGrid/>
        <w:spacing w:after="0" w:line="540" w:lineRule="exact"/>
        <w:ind w:firstLineChars="200" w:firstLine="640"/>
        <w:jc w:val="both"/>
        <w:rPr>
          <w:rFonts w:ascii="Times New Roman" w:eastAsia="宋体" w:hAnsi="Times New Roman" w:cs="Times New Roman"/>
          <w:bCs/>
          <w:kern w:val="2"/>
          <w:sz w:val="32"/>
          <w:szCs w:val="32"/>
        </w:rPr>
      </w:pPr>
    </w:p>
    <w:p w:rsidR="00000240" w:rsidRDefault="00000240">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3D3BA4" w:rsidRDefault="002F5BF5">
      <w:pPr>
        <w:widowControl w:val="0"/>
        <w:adjustRightInd/>
        <w:snapToGrid/>
        <w:spacing w:after="0" w:line="480" w:lineRule="auto"/>
        <w:jc w:val="center"/>
        <w:rPr>
          <w:rFonts w:ascii="黑体" w:eastAsia="黑体" w:hAnsi="黑体" w:cs="Times New Roman"/>
          <w:bCs/>
          <w:kern w:val="2"/>
          <w:sz w:val="48"/>
          <w:szCs w:val="48"/>
        </w:rPr>
      </w:pPr>
      <w:r>
        <w:rPr>
          <w:rFonts w:ascii="黑体" w:eastAsia="黑体" w:hAnsi="黑体" w:cs="Times New Roman" w:hint="eastAsia"/>
          <w:bCs/>
          <w:kern w:val="2"/>
          <w:sz w:val="48"/>
          <w:szCs w:val="48"/>
        </w:rPr>
        <w:t>保定市徐水区</w:t>
      </w:r>
      <w:r w:rsidR="003D3BA4">
        <w:rPr>
          <w:rFonts w:ascii="黑体" w:eastAsia="黑体" w:hAnsi="黑体" w:cs="Times New Roman" w:hint="eastAsia"/>
          <w:bCs/>
          <w:kern w:val="2"/>
          <w:sz w:val="48"/>
          <w:szCs w:val="48"/>
        </w:rPr>
        <w:t>教育</w:t>
      </w:r>
      <w:r w:rsidR="003D3BA4">
        <w:rPr>
          <w:rFonts w:ascii="黑体" w:eastAsia="黑体" w:hAnsi="黑体" w:cs="Times New Roman"/>
          <w:bCs/>
          <w:kern w:val="2"/>
          <w:sz w:val="48"/>
          <w:szCs w:val="48"/>
        </w:rPr>
        <w:t>和体育局</w:t>
      </w:r>
    </w:p>
    <w:p w:rsidR="003D3BA4" w:rsidRDefault="00FC007D" w:rsidP="003D3BA4">
      <w:pPr>
        <w:widowControl w:val="0"/>
        <w:adjustRightInd/>
        <w:snapToGrid/>
        <w:spacing w:after="0" w:line="480" w:lineRule="auto"/>
        <w:jc w:val="center"/>
        <w:rPr>
          <w:rFonts w:ascii="黑体" w:eastAsia="黑体" w:hAnsi="黑体" w:cs="Times New Roman"/>
          <w:bCs/>
          <w:kern w:val="2"/>
          <w:sz w:val="48"/>
          <w:szCs w:val="48"/>
        </w:rPr>
      </w:pPr>
      <w:r>
        <w:rPr>
          <w:rFonts w:ascii="黑体" w:eastAsia="黑体" w:hAnsi="黑体" w:cs="Times New Roman" w:hint="eastAsia"/>
          <w:bCs/>
          <w:kern w:val="2"/>
          <w:sz w:val="48"/>
          <w:szCs w:val="48"/>
        </w:rPr>
        <w:t>2019</w:t>
      </w:r>
      <w:r w:rsidR="002F5BF5">
        <w:rPr>
          <w:rFonts w:ascii="黑体" w:eastAsia="黑体" w:hAnsi="黑体" w:cs="Times New Roman" w:hint="eastAsia"/>
          <w:bCs/>
          <w:kern w:val="2"/>
          <w:sz w:val="48"/>
          <w:szCs w:val="48"/>
        </w:rPr>
        <w:t>年</w:t>
      </w:r>
      <w:r w:rsidR="008E41FA">
        <w:rPr>
          <w:rFonts w:ascii="黑体" w:eastAsia="黑体" w:hAnsi="黑体" w:cs="Times New Roman" w:hint="eastAsia"/>
          <w:bCs/>
          <w:kern w:val="2"/>
          <w:sz w:val="48"/>
          <w:szCs w:val="48"/>
        </w:rPr>
        <w:t>度</w:t>
      </w:r>
      <w:r w:rsidR="002F5BF5">
        <w:rPr>
          <w:rFonts w:ascii="黑体" w:eastAsia="黑体" w:hAnsi="黑体" w:cs="Times New Roman" w:hint="eastAsia"/>
          <w:bCs/>
          <w:kern w:val="2"/>
          <w:sz w:val="48"/>
          <w:szCs w:val="48"/>
        </w:rPr>
        <w:t>部门整体支出绩效评价</w:t>
      </w:r>
    </w:p>
    <w:p w:rsidR="00852C43" w:rsidRDefault="00961D67" w:rsidP="003D3BA4">
      <w:pPr>
        <w:widowControl w:val="0"/>
        <w:adjustRightInd/>
        <w:snapToGrid/>
        <w:spacing w:after="0" w:line="480" w:lineRule="auto"/>
        <w:jc w:val="center"/>
        <w:rPr>
          <w:rFonts w:ascii="黑体" w:eastAsia="黑体" w:hAnsi="黑体" w:cs="Times New Roman"/>
          <w:bCs/>
          <w:kern w:val="2"/>
          <w:sz w:val="48"/>
          <w:szCs w:val="48"/>
        </w:rPr>
      </w:pPr>
      <w:r>
        <w:rPr>
          <w:rFonts w:ascii="黑体" w:eastAsia="黑体" w:hAnsi="黑体" w:cs="Times New Roman" w:hint="eastAsia"/>
          <w:bCs/>
          <w:kern w:val="2"/>
          <w:sz w:val="48"/>
          <w:szCs w:val="48"/>
        </w:rPr>
        <w:t>自评</w:t>
      </w:r>
      <w:r w:rsidR="002F5BF5">
        <w:rPr>
          <w:rFonts w:ascii="黑体" w:eastAsia="黑体" w:hAnsi="黑体" w:cs="Times New Roman" w:hint="eastAsia"/>
          <w:bCs/>
          <w:kern w:val="2"/>
          <w:sz w:val="48"/>
          <w:szCs w:val="48"/>
        </w:rPr>
        <w:t>报告</w:t>
      </w: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994737" w:rsidRPr="00994737" w:rsidRDefault="00994737" w:rsidP="00994737">
      <w:pPr>
        <w:widowControl w:val="0"/>
        <w:adjustRightInd/>
        <w:snapToGrid/>
        <w:spacing w:after="0" w:line="540" w:lineRule="exact"/>
        <w:ind w:firstLineChars="200" w:firstLine="720"/>
        <w:jc w:val="center"/>
        <w:rPr>
          <w:rFonts w:asciiTheme="minorEastAsia" w:eastAsiaTheme="minorEastAsia" w:hAnsiTheme="minorEastAsia" w:cs="Times New Roman"/>
          <w:bCs/>
          <w:kern w:val="2"/>
          <w:sz w:val="36"/>
          <w:szCs w:val="36"/>
        </w:rPr>
      </w:pPr>
      <w:r w:rsidRPr="00994737">
        <w:rPr>
          <w:rFonts w:asciiTheme="minorEastAsia" w:eastAsiaTheme="minorEastAsia" w:hAnsiTheme="minorEastAsia" w:cs="Times New Roman" w:hint="eastAsia"/>
          <w:bCs/>
          <w:kern w:val="2"/>
          <w:sz w:val="36"/>
          <w:szCs w:val="36"/>
        </w:rPr>
        <w:t>2020年</w:t>
      </w:r>
      <w:r w:rsidR="003D3BA4">
        <w:rPr>
          <w:rFonts w:asciiTheme="minorEastAsia" w:eastAsiaTheme="minorEastAsia" w:hAnsiTheme="minorEastAsia" w:cs="Times New Roman"/>
          <w:bCs/>
          <w:kern w:val="2"/>
          <w:sz w:val="36"/>
          <w:szCs w:val="36"/>
        </w:rPr>
        <w:t>8</w:t>
      </w:r>
      <w:r w:rsidRPr="00994737">
        <w:rPr>
          <w:rFonts w:asciiTheme="minorEastAsia" w:eastAsiaTheme="minorEastAsia" w:hAnsiTheme="minorEastAsia" w:cs="Times New Roman" w:hint="eastAsia"/>
          <w:bCs/>
          <w:kern w:val="2"/>
          <w:sz w:val="36"/>
          <w:szCs w:val="36"/>
        </w:rPr>
        <w:t>月</w:t>
      </w:r>
    </w:p>
    <w:p w:rsidR="00994737" w:rsidRPr="00994737" w:rsidRDefault="00994737">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p w:rsidR="00852C43" w:rsidRDefault="00852C43">
      <w:pPr>
        <w:widowControl w:val="0"/>
        <w:adjustRightInd/>
        <w:snapToGrid/>
        <w:spacing w:after="0" w:line="540" w:lineRule="exact"/>
        <w:ind w:firstLineChars="200" w:firstLine="1440"/>
        <w:jc w:val="both"/>
        <w:rPr>
          <w:rFonts w:ascii="Times New Roman" w:eastAsia="宋体" w:hAnsi="Times New Roman" w:cs="Times New Roman"/>
          <w:bCs/>
          <w:kern w:val="2"/>
          <w:sz w:val="72"/>
          <w:szCs w:val="24"/>
        </w:rPr>
      </w:pPr>
    </w:p>
    <w:sdt>
      <w:sdtPr>
        <w:rPr>
          <w:rFonts w:ascii="Tahoma" w:eastAsia="微软雅黑" w:hAnsi="Tahoma" w:cstheme="minorBidi"/>
          <w:b w:val="0"/>
          <w:bCs w:val="0"/>
          <w:color w:val="auto"/>
          <w:sz w:val="22"/>
          <w:szCs w:val="22"/>
          <w:lang w:val="zh-CN"/>
        </w:rPr>
        <w:id w:val="8905895"/>
        <w:docPartObj>
          <w:docPartGallery w:val="Table of Contents"/>
          <w:docPartUnique/>
        </w:docPartObj>
      </w:sdtPr>
      <w:sdtEndPr>
        <w:rPr>
          <w:lang w:val="en-US"/>
        </w:rPr>
      </w:sdtEndPr>
      <w:sdtContent>
        <w:p w:rsidR="003B0F4A" w:rsidRDefault="003B0F4A">
          <w:pPr>
            <w:pStyle w:val="TOC1"/>
            <w:ind w:firstLineChars="200" w:firstLine="440"/>
            <w:jc w:val="center"/>
            <w:rPr>
              <w:color w:val="auto"/>
              <w:sz w:val="44"/>
              <w:szCs w:val="44"/>
              <w:lang w:val="zh-CN"/>
            </w:rPr>
          </w:pPr>
          <w:r>
            <w:rPr>
              <w:color w:val="auto"/>
              <w:sz w:val="44"/>
              <w:szCs w:val="44"/>
              <w:lang w:val="zh-CN"/>
            </w:rPr>
            <w:t>目</w:t>
          </w:r>
          <w:r>
            <w:rPr>
              <w:rFonts w:hint="eastAsia"/>
              <w:color w:val="auto"/>
              <w:sz w:val="44"/>
              <w:szCs w:val="44"/>
              <w:lang w:val="zh-CN"/>
            </w:rPr>
            <w:t xml:space="preserve">    </w:t>
          </w:r>
          <w:r>
            <w:rPr>
              <w:color w:val="auto"/>
              <w:sz w:val="44"/>
              <w:szCs w:val="44"/>
              <w:lang w:val="zh-CN"/>
            </w:rPr>
            <w:t>录</w:t>
          </w:r>
          <w:bookmarkStart w:id="0" w:name="_GoBack"/>
        </w:p>
        <w:bookmarkEnd w:id="0"/>
        <w:p w:rsidR="003B0F4A" w:rsidRDefault="003B0F4A">
          <w:pPr>
            <w:pStyle w:val="20"/>
            <w:tabs>
              <w:tab w:val="right" w:leader="dot" w:pos="8312"/>
            </w:tabs>
            <w:spacing w:line="312" w:lineRule="auto"/>
            <w:ind w:leftChars="0" w:left="0"/>
            <w:rPr>
              <w:rFonts w:asciiTheme="majorEastAsia" w:eastAsiaTheme="majorEastAsia" w:hAnsiTheme="majorEastAsia" w:cstheme="majorEastAsia"/>
              <w:b/>
              <w:bCs/>
              <w:sz w:val="24"/>
            </w:rPr>
          </w:pPr>
          <w:r>
            <w:rPr>
              <w:rFonts w:asciiTheme="minorEastAsia" w:eastAsiaTheme="minorEastAsia" w:hAnsiTheme="minorEastAsia"/>
              <w:sz w:val="24"/>
            </w:rPr>
            <w:fldChar w:fldCharType="begin"/>
          </w:r>
          <w:r>
            <w:rPr>
              <w:rFonts w:asciiTheme="minorEastAsia" w:eastAsiaTheme="minorEastAsia" w:hAnsiTheme="minorEastAsia"/>
              <w:sz w:val="24"/>
            </w:rPr>
            <w:instrText xml:space="preserve"> TOC \o "1-3" \h \z \u </w:instrText>
          </w:r>
          <w:r>
            <w:rPr>
              <w:rFonts w:asciiTheme="minorEastAsia" w:eastAsiaTheme="minorEastAsia" w:hAnsiTheme="minorEastAsia"/>
              <w:sz w:val="24"/>
            </w:rPr>
            <w:fldChar w:fldCharType="separate"/>
          </w:r>
          <w:hyperlink w:anchor="_Toc25184" w:history="1">
            <w:r>
              <w:rPr>
                <w:rFonts w:asciiTheme="majorEastAsia" w:eastAsiaTheme="majorEastAsia" w:hAnsiTheme="majorEastAsia" w:cstheme="majorEastAsia" w:hint="eastAsia"/>
                <w:b/>
                <w:bCs/>
                <w:sz w:val="24"/>
              </w:rPr>
              <w:t>第一部分   摘  要</w:t>
            </w:r>
            <w:r>
              <w:rPr>
                <w:rFonts w:asciiTheme="majorEastAsia" w:eastAsiaTheme="majorEastAsia" w:hAnsiTheme="majorEastAsia" w:cstheme="majorEastAsia" w:hint="eastAsia"/>
                <w:b/>
                <w:bCs/>
                <w:sz w:val="24"/>
              </w:rPr>
              <w:tab/>
            </w:r>
            <w:r>
              <w:rPr>
                <w:rFonts w:asciiTheme="majorEastAsia" w:eastAsiaTheme="majorEastAsia" w:hAnsiTheme="majorEastAsia" w:cstheme="majorEastAsia" w:hint="eastAsia"/>
                <w:b/>
                <w:bCs/>
                <w:sz w:val="24"/>
              </w:rPr>
              <w:fldChar w:fldCharType="begin"/>
            </w:r>
            <w:r>
              <w:rPr>
                <w:rFonts w:asciiTheme="majorEastAsia" w:eastAsiaTheme="majorEastAsia" w:hAnsiTheme="majorEastAsia" w:cstheme="majorEastAsia" w:hint="eastAsia"/>
                <w:b/>
                <w:bCs/>
                <w:sz w:val="24"/>
              </w:rPr>
              <w:instrText xml:space="preserve"> PAGEREF _Toc25184 </w:instrText>
            </w:r>
            <w:r>
              <w:rPr>
                <w:rFonts w:asciiTheme="majorEastAsia" w:eastAsiaTheme="majorEastAsia" w:hAnsiTheme="majorEastAsia" w:cstheme="majorEastAsia" w:hint="eastAsia"/>
                <w:b/>
                <w:bCs/>
                <w:sz w:val="24"/>
              </w:rPr>
              <w:fldChar w:fldCharType="separate"/>
            </w:r>
            <w:r>
              <w:rPr>
                <w:rFonts w:asciiTheme="majorEastAsia" w:eastAsiaTheme="majorEastAsia" w:hAnsiTheme="majorEastAsia" w:cstheme="majorEastAsia"/>
                <w:b/>
                <w:bCs/>
                <w:noProof/>
                <w:sz w:val="24"/>
              </w:rPr>
              <w:t>1</w:t>
            </w:r>
            <w:r>
              <w:rPr>
                <w:rFonts w:asciiTheme="majorEastAsia" w:eastAsiaTheme="majorEastAsia" w:hAnsiTheme="majorEastAsia" w:cstheme="majorEastAsia" w:hint="eastAsia"/>
                <w:b/>
                <w:bCs/>
                <w:sz w:val="24"/>
              </w:rPr>
              <w:fldChar w:fldCharType="end"/>
            </w:r>
          </w:hyperlink>
        </w:p>
        <w:p w:rsidR="003B0F4A" w:rsidRDefault="003B0F4A">
          <w:pPr>
            <w:pStyle w:val="20"/>
            <w:tabs>
              <w:tab w:val="right" w:leader="dot" w:pos="8312"/>
            </w:tabs>
            <w:spacing w:line="312" w:lineRule="auto"/>
            <w:ind w:leftChars="0" w:left="0"/>
            <w:rPr>
              <w:rFonts w:asciiTheme="majorEastAsia" w:eastAsiaTheme="majorEastAsia" w:hAnsiTheme="majorEastAsia" w:cstheme="majorEastAsia"/>
              <w:sz w:val="24"/>
            </w:rPr>
          </w:pPr>
          <w:hyperlink w:anchor="_Toc4346" w:history="1">
            <w:r>
              <w:rPr>
                <w:rFonts w:asciiTheme="majorEastAsia" w:eastAsiaTheme="majorEastAsia" w:hAnsiTheme="majorEastAsia" w:cstheme="majorEastAsia" w:hint="eastAsia"/>
                <w:b/>
                <w:bCs/>
                <w:sz w:val="24"/>
              </w:rPr>
              <w:t>第二部分   绩效评价报告</w:t>
            </w:r>
            <w:r>
              <w:rPr>
                <w:rFonts w:asciiTheme="majorEastAsia" w:eastAsiaTheme="majorEastAsia" w:hAnsiTheme="majorEastAsia" w:cstheme="majorEastAsia" w:hint="eastAsia"/>
                <w:b/>
                <w:bCs/>
                <w:sz w:val="24"/>
              </w:rPr>
              <w:tab/>
            </w:r>
          </w:hyperlink>
          <w:r>
            <w:rPr>
              <w:rFonts w:asciiTheme="majorEastAsia" w:eastAsiaTheme="majorEastAsia" w:hAnsiTheme="majorEastAsia" w:cstheme="majorEastAsia" w:hint="eastAsia"/>
              <w:b/>
              <w:bCs/>
              <w:sz w:val="24"/>
            </w:rPr>
            <w:t>6</w:t>
          </w:r>
        </w:p>
        <w:p w:rsidR="003B0F4A" w:rsidRDefault="003B0F4A">
          <w:pPr>
            <w:pStyle w:val="20"/>
            <w:tabs>
              <w:tab w:val="right" w:leader="dot" w:pos="8312"/>
            </w:tabs>
            <w:spacing w:line="312" w:lineRule="auto"/>
            <w:ind w:leftChars="0" w:left="0"/>
            <w:rPr>
              <w:rFonts w:asciiTheme="majorEastAsia" w:eastAsiaTheme="majorEastAsia" w:hAnsiTheme="majorEastAsia" w:cstheme="majorEastAsia"/>
              <w:b/>
              <w:bCs/>
              <w:sz w:val="24"/>
            </w:rPr>
          </w:pPr>
          <w:hyperlink w:anchor="_Toc427" w:history="1">
            <w:r>
              <w:rPr>
                <w:rFonts w:asciiTheme="majorEastAsia" w:eastAsiaTheme="majorEastAsia" w:hAnsiTheme="majorEastAsia" w:cstheme="majorEastAsia" w:hint="eastAsia"/>
                <w:b/>
                <w:bCs/>
                <w:sz w:val="24"/>
              </w:rPr>
              <w:t>一、保定市徐水区教育和</w:t>
            </w:r>
            <w:r>
              <w:rPr>
                <w:rFonts w:asciiTheme="majorEastAsia" w:eastAsiaTheme="majorEastAsia" w:hAnsiTheme="majorEastAsia" w:cstheme="majorEastAsia"/>
                <w:b/>
                <w:bCs/>
                <w:sz w:val="24"/>
              </w:rPr>
              <w:t>体育局</w:t>
            </w:r>
            <w:r>
              <w:rPr>
                <w:rFonts w:asciiTheme="majorEastAsia" w:eastAsiaTheme="majorEastAsia" w:hAnsiTheme="majorEastAsia" w:cstheme="majorEastAsia" w:hint="eastAsia"/>
                <w:b/>
                <w:bCs/>
                <w:sz w:val="24"/>
              </w:rPr>
              <w:t>基本情况</w:t>
            </w:r>
            <w:r>
              <w:rPr>
                <w:rFonts w:asciiTheme="majorEastAsia" w:eastAsiaTheme="majorEastAsia" w:hAnsiTheme="majorEastAsia" w:cstheme="majorEastAsia" w:hint="eastAsia"/>
                <w:b/>
                <w:bCs/>
                <w:sz w:val="24"/>
              </w:rPr>
              <w:tab/>
            </w:r>
          </w:hyperlink>
          <w:r>
            <w:rPr>
              <w:rFonts w:asciiTheme="majorEastAsia" w:eastAsiaTheme="majorEastAsia" w:hAnsiTheme="majorEastAsia" w:cstheme="majorEastAsia" w:hint="eastAsia"/>
              <w:b/>
              <w:bCs/>
              <w:sz w:val="24"/>
            </w:rPr>
            <w:t>6</w:t>
          </w:r>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1473" w:history="1">
            <w:r>
              <w:rPr>
                <w:rFonts w:asciiTheme="majorEastAsia" w:eastAsiaTheme="majorEastAsia" w:hAnsiTheme="majorEastAsia" w:cstheme="majorEastAsia" w:hint="eastAsia"/>
                <w:sz w:val="24"/>
              </w:rPr>
              <w:t>（一）部门职责和工作活动</w:t>
            </w:r>
            <w:r>
              <w:rPr>
                <w:rFonts w:asciiTheme="majorEastAsia" w:eastAsiaTheme="majorEastAsia" w:hAnsiTheme="majorEastAsia" w:cstheme="majorEastAsia" w:hint="eastAsia"/>
                <w:sz w:val="24"/>
              </w:rPr>
              <w:tab/>
            </w:r>
          </w:hyperlink>
          <w:r>
            <w:rPr>
              <w:rFonts w:asciiTheme="majorEastAsia" w:eastAsiaTheme="majorEastAsia" w:hAnsiTheme="majorEastAsia" w:cstheme="majorEastAsia"/>
              <w:sz w:val="24"/>
            </w:rPr>
            <w:t>6</w:t>
          </w:r>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7075" w:history="1">
            <w:r>
              <w:rPr>
                <w:rFonts w:asciiTheme="majorEastAsia" w:eastAsiaTheme="majorEastAsia" w:hAnsiTheme="majorEastAsia" w:cstheme="majorEastAsia" w:hint="eastAsia"/>
                <w:sz w:val="24"/>
              </w:rPr>
              <w:t>（二）部门年度发展规划总体目标和职责分类绩效目标</w:t>
            </w:r>
            <w:r>
              <w:rPr>
                <w:rFonts w:asciiTheme="majorEastAsia" w:eastAsiaTheme="majorEastAsia" w:hAnsiTheme="majorEastAsia" w:cstheme="majorEastAsia" w:hint="eastAsia"/>
                <w:sz w:val="24"/>
              </w:rPr>
              <w:tab/>
            </w:r>
          </w:hyperlink>
          <w:r>
            <w:rPr>
              <w:rFonts w:asciiTheme="majorEastAsia" w:eastAsiaTheme="majorEastAsia" w:hAnsiTheme="majorEastAsia" w:cstheme="majorEastAsia"/>
              <w:sz w:val="24"/>
            </w:rPr>
            <w:t>6</w:t>
          </w:r>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678" w:history="1">
            <w:r>
              <w:rPr>
                <w:rFonts w:asciiTheme="majorEastAsia" w:eastAsiaTheme="majorEastAsia" w:hAnsiTheme="majorEastAsia" w:cstheme="majorEastAsia" w:hint="eastAsia"/>
                <w:sz w:val="24"/>
              </w:rPr>
              <w:t>（三）部门预算收入及决算收入</w:t>
            </w:r>
            <w:r>
              <w:rPr>
                <w:rFonts w:asciiTheme="majorEastAsia" w:eastAsiaTheme="majorEastAsia" w:hAnsiTheme="majorEastAsia" w:cstheme="majorEastAsia" w:hint="eastAsia"/>
                <w:sz w:val="24"/>
              </w:rPr>
              <w:tab/>
            </w:r>
          </w:hyperlink>
          <w:r>
            <w:rPr>
              <w:rFonts w:asciiTheme="majorEastAsia" w:eastAsiaTheme="majorEastAsia" w:hAnsiTheme="majorEastAsia" w:cstheme="majorEastAsia"/>
              <w:sz w:val="24"/>
            </w:rPr>
            <w:t>7</w:t>
          </w:r>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8197" w:history="1">
            <w:r>
              <w:rPr>
                <w:rFonts w:asciiTheme="majorEastAsia" w:eastAsiaTheme="majorEastAsia" w:hAnsiTheme="majorEastAsia" w:cstheme="majorEastAsia" w:hint="eastAsia"/>
                <w:sz w:val="24"/>
              </w:rPr>
              <w:t>（四）预算支出及决算支出</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_Toc18197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9</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9291" w:history="1">
            <w:r>
              <w:rPr>
                <w:rFonts w:asciiTheme="majorEastAsia" w:eastAsiaTheme="majorEastAsia" w:hAnsiTheme="majorEastAsia" w:cstheme="majorEastAsia" w:hint="eastAsia"/>
                <w:sz w:val="24"/>
              </w:rPr>
              <w:t>（五）“三公”经费预算安排及支出情况</w:t>
            </w:r>
            <w:r>
              <w:rPr>
                <w:rFonts w:asciiTheme="majorEastAsia" w:eastAsiaTheme="majorEastAsia" w:hAnsiTheme="majorEastAsia" w:cstheme="majorEastAsia" w:hint="eastAsia"/>
                <w:sz w:val="24"/>
              </w:rPr>
              <w:tab/>
              <w:t>10</w:t>
            </w:r>
          </w:hyperlink>
        </w:p>
        <w:p w:rsidR="003B0F4A" w:rsidRDefault="003B0F4A">
          <w:pPr>
            <w:pStyle w:val="20"/>
            <w:tabs>
              <w:tab w:val="right" w:leader="dot" w:pos="8312"/>
            </w:tabs>
            <w:spacing w:line="312" w:lineRule="auto"/>
            <w:ind w:leftChars="0" w:left="0"/>
            <w:rPr>
              <w:rFonts w:asciiTheme="majorEastAsia" w:eastAsiaTheme="majorEastAsia" w:hAnsiTheme="majorEastAsia" w:cstheme="majorEastAsia"/>
              <w:b/>
              <w:bCs/>
              <w:sz w:val="24"/>
            </w:rPr>
          </w:pPr>
          <w:hyperlink w:anchor="_Toc20454" w:history="1">
            <w:r>
              <w:rPr>
                <w:rFonts w:asciiTheme="majorEastAsia" w:eastAsiaTheme="majorEastAsia" w:hAnsiTheme="majorEastAsia" w:cstheme="majorEastAsia" w:hint="eastAsia"/>
                <w:b/>
                <w:bCs/>
                <w:sz w:val="24"/>
              </w:rPr>
              <w:t>二、部门整体支出绩效评价指标体系设定情况</w:t>
            </w:r>
            <w:r>
              <w:rPr>
                <w:rFonts w:asciiTheme="majorEastAsia" w:eastAsiaTheme="majorEastAsia" w:hAnsiTheme="majorEastAsia" w:cstheme="majorEastAsia" w:hint="eastAsia"/>
                <w:b/>
                <w:bCs/>
                <w:sz w:val="24"/>
              </w:rPr>
              <w:tab/>
            </w:r>
            <w:r>
              <w:rPr>
                <w:rFonts w:asciiTheme="majorEastAsia" w:eastAsiaTheme="majorEastAsia" w:hAnsiTheme="majorEastAsia" w:cstheme="majorEastAsia" w:hint="eastAsia"/>
                <w:b/>
                <w:bCs/>
                <w:sz w:val="24"/>
              </w:rPr>
              <w:fldChar w:fldCharType="begin"/>
            </w:r>
            <w:r>
              <w:rPr>
                <w:rFonts w:asciiTheme="majorEastAsia" w:eastAsiaTheme="majorEastAsia" w:hAnsiTheme="majorEastAsia" w:cstheme="majorEastAsia" w:hint="eastAsia"/>
                <w:b/>
                <w:bCs/>
                <w:sz w:val="24"/>
              </w:rPr>
              <w:instrText xml:space="preserve"> PAGEREF _Toc20454 </w:instrText>
            </w:r>
            <w:r>
              <w:rPr>
                <w:rFonts w:asciiTheme="majorEastAsia" w:eastAsiaTheme="majorEastAsia" w:hAnsiTheme="majorEastAsia" w:cstheme="majorEastAsia" w:hint="eastAsia"/>
                <w:b/>
                <w:bCs/>
                <w:sz w:val="24"/>
              </w:rPr>
              <w:fldChar w:fldCharType="separate"/>
            </w:r>
            <w:r>
              <w:rPr>
                <w:rFonts w:asciiTheme="majorEastAsia" w:eastAsiaTheme="majorEastAsia" w:hAnsiTheme="majorEastAsia" w:cstheme="majorEastAsia"/>
                <w:b/>
                <w:bCs/>
                <w:noProof/>
                <w:sz w:val="24"/>
              </w:rPr>
              <w:t>12</w:t>
            </w:r>
            <w:r>
              <w:rPr>
                <w:rFonts w:asciiTheme="majorEastAsia" w:eastAsiaTheme="majorEastAsia" w:hAnsiTheme="majorEastAsia" w:cstheme="majorEastAsia" w:hint="eastAsia"/>
                <w:b/>
                <w:bCs/>
                <w:sz w:val="24"/>
              </w:rPr>
              <w:fldChar w:fldCharType="end"/>
            </w:r>
          </w:hyperlink>
        </w:p>
        <w:p w:rsidR="003B0F4A" w:rsidRDefault="003B0F4A">
          <w:pPr>
            <w:pStyle w:val="20"/>
            <w:tabs>
              <w:tab w:val="right" w:leader="dot" w:pos="8312"/>
            </w:tabs>
            <w:spacing w:line="312" w:lineRule="auto"/>
            <w:ind w:leftChars="0" w:left="0" w:firstLineChars="100" w:firstLine="300"/>
            <w:rPr>
              <w:rFonts w:asciiTheme="majorEastAsia" w:eastAsiaTheme="majorEastAsia" w:hAnsiTheme="majorEastAsia" w:cstheme="majorEastAsia"/>
              <w:sz w:val="24"/>
            </w:rPr>
          </w:pPr>
          <w:hyperlink w:anchor="_Toc9569" w:history="1">
            <w:r>
              <w:rPr>
                <w:rFonts w:asciiTheme="majorEastAsia" w:eastAsiaTheme="majorEastAsia" w:hAnsiTheme="majorEastAsia" w:cstheme="majorEastAsia" w:hint="eastAsia"/>
                <w:sz w:val="24"/>
              </w:rPr>
              <w:t>（一）投入</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_Toc9569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2</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30221" w:history="1">
            <w:r>
              <w:rPr>
                <w:rFonts w:asciiTheme="majorEastAsia" w:eastAsiaTheme="majorEastAsia" w:hAnsiTheme="majorEastAsia" w:cstheme="majorEastAsia" w:hint="eastAsia"/>
                <w:sz w:val="24"/>
              </w:rPr>
              <w:t>（二）过程</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_Toc30221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2</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24932" w:history="1">
            <w:r>
              <w:rPr>
                <w:rFonts w:asciiTheme="majorEastAsia" w:eastAsiaTheme="majorEastAsia" w:hAnsiTheme="majorEastAsia" w:cstheme="majorEastAsia" w:hint="eastAsia"/>
                <w:sz w:val="24"/>
              </w:rPr>
              <w:t>（三）产出</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_Toc24932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3</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21821" w:history="1">
            <w:r>
              <w:rPr>
                <w:rFonts w:asciiTheme="majorEastAsia" w:eastAsiaTheme="majorEastAsia" w:hAnsiTheme="majorEastAsia" w:cstheme="majorEastAsia" w:hint="eastAsia"/>
                <w:sz w:val="24"/>
              </w:rPr>
              <w:t>（四）效果</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_Toc21821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3</w:t>
            </w:r>
            <w:r>
              <w:rPr>
                <w:rFonts w:asciiTheme="majorEastAsia" w:eastAsiaTheme="majorEastAsia" w:hAnsiTheme="majorEastAsia" w:cstheme="majorEastAsia" w:hint="eastAsia"/>
                <w:sz w:val="24"/>
              </w:rPr>
              <w:fldChar w:fldCharType="end"/>
            </w:r>
          </w:hyperlink>
        </w:p>
        <w:p w:rsidR="003B0F4A" w:rsidRDefault="003B0F4A">
          <w:pPr>
            <w:pStyle w:val="20"/>
            <w:tabs>
              <w:tab w:val="right" w:leader="dot" w:pos="8312"/>
            </w:tabs>
            <w:spacing w:line="312" w:lineRule="auto"/>
            <w:ind w:leftChars="0" w:left="0"/>
            <w:rPr>
              <w:rFonts w:asciiTheme="majorEastAsia" w:eastAsiaTheme="majorEastAsia" w:hAnsiTheme="majorEastAsia" w:cstheme="majorEastAsia"/>
              <w:b/>
              <w:bCs/>
              <w:sz w:val="24"/>
            </w:rPr>
          </w:pPr>
          <w:hyperlink w:anchor="_Toc11842" w:history="1">
            <w:r>
              <w:rPr>
                <w:rFonts w:asciiTheme="majorEastAsia" w:eastAsiaTheme="majorEastAsia" w:hAnsiTheme="majorEastAsia" w:cstheme="majorEastAsia" w:hint="eastAsia"/>
                <w:b/>
                <w:bCs/>
                <w:sz w:val="24"/>
              </w:rPr>
              <w:t>三、综合绩效评价工作情况</w:t>
            </w:r>
            <w:r>
              <w:rPr>
                <w:rFonts w:asciiTheme="majorEastAsia" w:eastAsiaTheme="majorEastAsia" w:hAnsiTheme="majorEastAsia" w:cstheme="majorEastAsia" w:hint="eastAsia"/>
                <w:b/>
                <w:bCs/>
                <w:sz w:val="24"/>
              </w:rPr>
              <w:tab/>
            </w:r>
            <w:r>
              <w:rPr>
                <w:rFonts w:asciiTheme="majorEastAsia" w:eastAsiaTheme="majorEastAsia" w:hAnsiTheme="majorEastAsia" w:cstheme="majorEastAsia" w:hint="eastAsia"/>
                <w:b/>
                <w:bCs/>
                <w:sz w:val="24"/>
              </w:rPr>
              <w:fldChar w:fldCharType="begin"/>
            </w:r>
            <w:r>
              <w:rPr>
                <w:rFonts w:asciiTheme="majorEastAsia" w:eastAsiaTheme="majorEastAsia" w:hAnsiTheme="majorEastAsia" w:cstheme="majorEastAsia" w:hint="eastAsia"/>
                <w:b/>
                <w:bCs/>
                <w:sz w:val="24"/>
              </w:rPr>
              <w:instrText xml:space="preserve"> PAGEREF _Toc11842 </w:instrText>
            </w:r>
            <w:r>
              <w:rPr>
                <w:rFonts w:asciiTheme="majorEastAsia" w:eastAsiaTheme="majorEastAsia" w:hAnsiTheme="majorEastAsia" w:cstheme="majorEastAsia" w:hint="eastAsia"/>
                <w:b/>
                <w:bCs/>
                <w:sz w:val="24"/>
              </w:rPr>
              <w:fldChar w:fldCharType="separate"/>
            </w:r>
            <w:r>
              <w:rPr>
                <w:rFonts w:asciiTheme="majorEastAsia" w:eastAsiaTheme="majorEastAsia" w:hAnsiTheme="majorEastAsia" w:cstheme="majorEastAsia"/>
                <w:b/>
                <w:bCs/>
                <w:noProof/>
                <w:sz w:val="24"/>
              </w:rPr>
              <w:t>14</w:t>
            </w:r>
            <w:r>
              <w:rPr>
                <w:rFonts w:asciiTheme="majorEastAsia" w:eastAsiaTheme="majorEastAsia" w:hAnsiTheme="majorEastAsia" w:cstheme="majorEastAsia" w:hint="eastAsia"/>
                <w:b/>
                <w:bCs/>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7138" w:history="1">
            <w:r>
              <w:rPr>
                <w:rFonts w:asciiTheme="majorEastAsia" w:eastAsiaTheme="majorEastAsia" w:hAnsiTheme="majorEastAsia" w:cstheme="majorEastAsia" w:hint="eastAsia"/>
                <w:sz w:val="24"/>
              </w:rPr>
              <w:t>（一）绩效评价目的</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_Toc17138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14</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1607" w:history="1">
            <w:r>
              <w:rPr>
                <w:rFonts w:asciiTheme="majorEastAsia" w:eastAsiaTheme="majorEastAsia" w:hAnsiTheme="majorEastAsia" w:cstheme="majorEastAsia" w:hint="eastAsia"/>
                <w:sz w:val="24"/>
              </w:rPr>
              <w:t>（二）绩效评价依据</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_Toc11607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4</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7609" w:history="1">
            <w:r>
              <w:rPr>
                <w:rFonts w:asciiTheme="majorEastAsia" w:eastAsiaTheme="majorEastAsia" w:hAnsiTheme="majorEastAsia" w:cstheme="majorEastAsia" w:hint="eastAsia"/>
                <w:sz w:val="24"/>
              </w:rPr>
              <w:t>（三）绩效评价内容</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_Toc7609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5</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789" w:history="1">
            <w:r>
              <w:rPr>
                <w:rFonts w:asciiTheme="majorEastAsia" w:eastAsiaTheme="majorEastAsia" w:hAnsiTheme="majorEastAsia" w:cstheme="majorEastAsia" w:hint="eastAsia"/>
                <w:sz w:val="24"/>
              </w:rPr>
              <w:t>（四）绩效评价原则</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_Toc789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5</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8171" w:history="1">
            <w:r>
              <w:rPr>
                <w:rFonts w:asciiTheme="majorEastAsia" w:eastAsiaTheme="majorEastAsia" w:hAnsiTheme="majorEastAsia" w:cstheme="majorEastAsia" w:hint="eastAsia"/>
                <w:sz w:val="24"/>
              </w:rPr>
              <w:t>（五）绩效评价方法</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_Toc8171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16</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20821" w:history="1">
            <w:r>
              <w:rPr>
                <w:rFonts w:asciiTheme="majorEastAsia" w:eastAsiaTheme="majorEastAsia" w:hAnsiTheme="majorEastAsia" w:cstheme="majorEastAsia" w:hint="eastAsia"/>
                <w:sz w:val="24"/>
              </w:rPr>
              <w:t>（六）绩效评价工作过程</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_Toc20821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w:t>
            </w:r>
            <w:r>
              <w:rPr>
                <w:rFonts w:asciiTheme="majorEastAsia" w:eastAsiaTheme="majorEastAsia" w:hAnsiTheme="majorEastAsia" w:cstheme="majorEastAsia" w:hint="eastAsia"/>
                <w:noProof/>
                <w:sz w:val="24"/>
              </w:rPr>
              <w:t>6</w:t>
            </w:r>
            <w:r>
              <w:rPr>
                <w:rFonts w:asciiTheme="majorEastAsia" w:eastAsiaTheme="majorEastAsia" w:hAnsiTheme="majorEastAsia" w:cstheme="majorEastAsia" w:hint="eastAsia"/>
                <w:sz w:val="24"/>
              </w:rPr>
              <w:fldChar w:fldCharType="end"/>
            </w:r>
          </w:hyperlink>
        </w:p>
        <w:p w:rsidR="003B0F4A" w:rsidRDefault="003B0F4A">
          <w:pPr>
            <w:pStyle w:val="20"/>
            <w:tabs>
              <w:tab w:val="right" w:leader="dot" w:pos="8312"/>
            </w:tabs>
            <w:spacing w:line="312" w:lineRule="auto"/>
            <w:ind w:leftChars="0" w:left="0"/>
            <w:rPr>
              <w:rFonts w:asciiTheme="majorEastAsia" w:eastAsiaTheme="majorEastAsia" w:hAnsiTheme="majorEastAsia" w:cstheme="majorEastAsia"/>
              <w:b/>
              <w:bCs/>
              <w:sz w:val="24"/>
            </w:rPr>
          </w:pPr>
          <w:hyperlink w:anchor="_Toc6467" w:history="1">
            <w:r>
              <w:rPr>
                <w:rFonts w:asciiTheme="majorEastAsia" w:eastAsiaTheme="majorEastAsia" w:hAnsiTheme="majorEastAsia" w:cstheme="majorEastAsia" w:hint="eastAsia"/>
                <w:b/>
                <w:bCs/>
                <w:sz w:val="24"/>
              </w:rPr>
              <w:t>四、绩效评价评分情况</w:t>
            </w:r>
            <w:r>
              <w:rPr>
                <w:rFonts w:asciiTheme="majorEastAsia" w:eastAsiaTheme="majorEastAsia" w:hAnsiTheme="majorEastAsia" w:cstheme="majorEastAsia" w:hint="eastAsia"/>
                <w:b/>
                <w:bCs/>
                <w:sz w:val="24"/>
              </w:rPr>
              <w:tab/>
            </w:r>
            <w:r>
              <w:rPr>
                <w:rFonts w:asciiTheme="majorEastAsia" w:eastAsiaTheme="majorEastAsia" w:hAnsiTheme="majorEastAsia" w:cstheme="majorEastAsia" w:hint="eastAsia"/>
                <w:b/>
                <w:bCs/>
                <w:sz w:val="24"/>
              </w:rPr>
              <w:fldChar w:fldCharType="begin"/>
            </w:r>
            <w:r>
              <w:rPr>
                <w:rFonts w:asciiTheme="majorEastAsia" w:eastAsiaTheme="majorEastAsia" w:hAnsiTheme="majorEastAsia" w:cstheme="majorEastAsia" w:hint="eastAsia"/>
                <w:b/>
                <w:bCs/>
                <w:sz w:val="24"/>
              </w:rPr>
              <w:instrText xml:space="preserve"> PAGEREF _Toc6467 </w:instrText>
            </w:r>
            <w:r>
              <w:rPr>
                <w:rFonts w:asciiTheme="majorEastAsia" w:eastAsiaTheme="majorEastAsia" w:hAnsiTheme="majorEastAsia" w:cstheme="majorEastAsia" w:hint="eastAsia"/>
                <w:b/>
                <w:bCs/>
                <w:sz w:val="24"/>
              </w:rPr>
              <w:fldChar w:fldCharType="separate"/>
            </w:r>
            <w:r>
              <w:rPr>
                <w:rFonts w:asciiTheme="majorEastAsia" w:eastAsiaTheme="majorEastAsia" w:hAnsiTheme="majorEastAsia" w:cstheme="majorEastAsia"/>
                <w:b/>
                <w:bCs/>
                <w:noProof/>
                <w:sz w:val="24"/>
              </w:rPr>
              <w:t>18</w:t>
            </w:r>
            <w:r>
              <w:rPr>
                <w:rFonts w:asciiTheme="majorEastAsia" w:eastAsiaTheme="majorEastAsia" w:hAnsiTheme="majorEastAsia" w:cstheme="majorEastAsia" w:hint="eastAsia"/>
                <w:b/>
                <w:bCs/>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4390" w:history="1">
            <w:r>
              <w:rPr>
                <w:rFonts w:asciiTheme="majorEastAsia" w:eastAsiaTheme="majorEastAsia" w:hAnsiTheme="majorEastAsia" w:cstheme="majorEastAsia" w:hint="eastAsia"/>
                <w:sz w:val="24"/>
              </w:rPr>
              <w:t>（一）投入</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_Toc4390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18</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9940" w:history="1">
            <w:r>
              <w:rPr>
                <w:rFonts w:asciiTheme="majorEastAsia" w:eastAsiaTheme="majorEastAsia" w:hAnsiTheme="majorEastAsia" w:cstheme="majorEastAsia" w:hint="eastAsia"/>
                <w:sz w:val="24"/>
              </w:rPr>
              <w:t>（二）过程</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_Toc19940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2</w:t>
            </w:r>
            <w:r>
              <w:rPr>
                <w:rFonts w:asciiTheme="majorEastAsia" w:eastAsiaTheme="majorEastAsia" w:hAnsiTheme="majorEastAsia" w:cstheme="majorEastAsia" w:hint="eastAsia"/>
                <w:noProof/>
                <w:sz w:val="24"/>
              </w:rPr>
              <w:t>1</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12330" w:history="1">
            <w:r>
              <w:rPr>
                <w:rFonts w:asciiTheme="majorEastAsia" w:eastAsiaTheme="majorEastAsia" w:hAnsiTheme="majorEastAsia" w:cstheme="majorEastAsia" w:hint="eastAsia"/>
                <w:sz w:val="24"/>
              </w:rPr>
              <w:t>（三）产出</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_Toc12330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29</w:t>
            </w:r>
            <w:r>
              <w:rPr>
                <w:rFonts w:asciiTheme="majorEastAsia" w:eastAsiaTheme="majorEastAsia" w:hAnsiTheme="majorEastAsia" w:cstheme="majorEastAsia" w:hint="eastAsia"/>
                <w:sz w:val="24"/>
              </w:rPr>
              <w:fldChar w:fldCharType="end"/>
            </w:r>
          </w:hyperlink>
        </w:p>
        <w:p w:rsidR="003B0F4A" w:rsidRDefault="003B0F4A">
          <w:pPr>
            <w:pStyle w:val="30"/>
            <w:tabs>
              <w:tab w:val="right" w:leader="dot" w:pos="8312"/>
            </w:tabs>
            <w:spacing w:line="312" w:lineRule="auto"/>
            <w:ind w:leftChars="0" w:left="0" w:firstLineChars="100" w:firstLine="280"/>
            <w:rPr>
              <w:rFonts w:asciiTheme="majorEastAsia" w:eastAsiaTheme="majorEastAsia" w:hAnsiTheme="majorEastAsia" w:cstheme="majorEastAsia"/>
              <w:sz w:val="24"/>
            </w:rPr>
          </w:pPr>
          <w:hyperlink w:anchor="_Toc28363" w:history="1">
            <w:r>
              <w:rPr>
                <w:rFonts w:asciiTheme="majorEastAsia" w:eastAsiaTheme="majorEastAsia" w:hAnsiTheme="majorEastAsia" w:cstheme="majorEastAsia" w:hint="eastAsia"/>
                <w:sz w:val="24"/>
              </w:rPr>
              <w:t>（四）效果</w:t>
            </w:r>
            <w:r>
              <w:rPr>
                <w:rFonts w:asciiTheme="majorEastAsia" w:eastAsiaTheme="majorEastAsia" w:hAnsiTheme="majorEastAsia" w:cstheme="majorEastAsia" w:hint="eastAsia"/>
                <w:sz w:val="24"/>
              </w:rPr>
              <w:tab/>
            </w: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PAGEREF _Toc28363 </w:instrText>
            </w:r>
            <w:r>
              <w:rPr>
                <w:rFonts w:asciiTheme="majorEastAsia" w:eastAsiaTheme="majorEastAsia" w:hAnsiTheme="majorEastAsia" w:cstheme="majorEastAsia" w:hint="eastAsia"/>
                <w:sz w:val="24"/>
              </w:rPr>
              <w:fldChar w:fldCharType="separate"/>
            </w:r>
            <w:r>
              <w:rPr>
                <w:rFonts w:asciiTheme="majorEastAsia" w:eastAsiaTheme="majorEastAsia" w:hAnsiTheme="majorEastAsia" w:cstheme="majorEastAsia"/>
                <w:noProof/>
                <w:sz w:val="24"/>
              </w:rPr>
              <w:t>30</w:t>
            </w:r>
            <w:r>
              <w:rPr>
                <w:rFonts w:asciiTheme="majorEastAsia" w:eastAsiaTheme="majorEastAsia" w:hAnsiTheme="majorEastAsia" w:cstheme="majorEastAsia" w:hint="eastAsia"/>
                <w:sz w:val="24"/>
              </w:rPr>
              <w:fldChar w:fldCharType="end"/>
            </w:r>
          </w:hyperlink>
        </w:p>
        <w:p w:rsidR="003B0F4A" w:rsidRDefault="003B0F4A">
          <w:pPr>
            <w:pStyle w:val="20"/>
            <w:tabs>
              <w:tab w:val="right" w:leader="dot" w:pos="8312"/>
            </w:tabs>
            <w:spacing w:line="312" w:lineRule="auto"/>
            <w:ind w:leftChars="0" w:left="0"/>
            <w:rPr>
              <w:rFonts w:asciiTheme="majorEastAsia" w:eastAsiaTheme="majorEastAsia" w:hAnsiTheme="majorEastAsia" w:cstheme="majorEastAsia"/>
              <w:sz w:val="24"/>
            </w:rPr>
          </w:pPr>
          <w:hyperlink w:anchor="_Toc13757" w:history="1">
            <w:r>
              <w:rPr>
                <w:rFonts w:asciiTheme="majorEastAsia" w:eastAsiaTheme="majorEastAsia" w:hAnsiTheme="majorEastAsia" w:cstheme="majorEastAsia" w:hint="eastAsia"/>
                <w:b/>
                <w:bCs/>
                <w:sz w:val="24"/>
              </w:rPr>
              <w:t>五、绩效评价发现的问题及改进措施</w:t>
            </w:r>
            <w:r>
              <w:rPr>
                <w:rFonts w:asciiTheme="majorEastAsia" w:eastAsiaTheme="majorEastAsia" w:hAnsiTheme="majorEastAsia" w:cstheme="majorEastAsia" w:hint="eastAsia"/>
                <w:b/>
                <w:bCs/>
                <w:sz w:val="24"/>
              </w:rPr>
              <w:tab/>
            </w:r>
            <w:r>
              <w:rPr>
                <w:rFonts w:asciiTheme="majorEastAsia" w:eastAsiaTheme="majorEastAsia" w:hAnsiTheme="majorEastAsia" w:cstheme="majorEastAsia" w:hint="eastAsia"/>
                <w:b/>
                <w:bCs/>
                <w:sz w:val="24"/>
              </w:rPr>
              <w:fldChar w:fldCharType="begin"/>
            </w:r>
            <w:r>
              <w:rPr>
                <w:rFonts w:asciiTheme="majorEastAsia" w:eastAsiaTheme="majorEastAsia" w:hAnsiTheme="majorEastAsia" w:cstheme="majorEastAsia" w:hint="eastAsia"/>
                <w:b/>
                <w:bCs/>
                <w:sz w:val="24"/>
              </w:rPr>
              <w:instrText xml:space="preserve"> PAGEREF _Toc13757 </w:instrText>
            </w:r>
            <w:r>
              <w:rPr>
                <w:rFonts w:asciiTheme="majorEastAsia" w:eastAsiaTheme="majorEastAsia" w:hAnsiTheme="majorEastAsia" w:cstheme="majorEastAsia" w:hint="eastAsia"/>
                <w:b/>
                <w:bCs/>
                <w:sz w:val="24"/>
              </w:rPr>
              <w:fldChar w:fldCharType="separate"/>
            </w:r>
            <w:r>
              <w:rPr>
                <w:rFonts w:asciiTheme="majorEastAsia" w:eastAsiaTheme="majorEastAsia" w:hAnsiTheme="majorEastAsia" w:cstheme="majorEastAsia"/>
                <w:b/>
                <w:bCs/>
                <w:noProof/>
                <w:sz w:val="24"/>
              </w:rPr>
              <w:t>32</w:t>
            </w:r>
            <w:r>
              <w:rPr>
                <w:rFonts w:asciiTheme="majorEastAsia" w:eastAsiaTheme="majorEastAsia" w:hAnsiTheme="majorEastAsia" w:cstheme="majorEastAsia" w:hint="eastAsia"/>
                <w:b/>
                <w:bCs/>
                <w:sz w:val="24"/>
              </w:rPr>
              <w:fldChar w:fldCharType="end"/>
            </w:r>
          </w:hyperlink>
        </w:p>
        <w:p w:rsidR="003B0F4A" w:rsidRDefault="003B0F4A">
          <w:pPr>
            <w:pStyle w:val="20"/>
            <w:tabs>
              <w:tab w:val="right" w:leader="dot" w:pos="8312"/>
            </w:tabs>
            <w:spacing w:line="312" w:lineRule="auto"/>
            <w:ind w:leftChars="0" w:left="0"/>
            <w:rPr>
              <w:b/>
              <w:bCs/>
            </w:rPr>
          </w:pPr>
          <w:hyperlink w:anchor="_Toc20723" w:history="1">
            <w:r>
              <w:rPr>
                <w:rFonts w:asciiTheme="majorEastAsia" w:eastAsiaTheme="majorEastAsia" w:hAnsiTheme="majorEastAsia" w:cstheme="majorEastAsia" w:hint="eastAsia"/>
                <w:b/>
                <w:bCs/>
                <w:sz w:val="24"/>
              </w:rPr>
              <w:t>六、绩效评价组织机构</w:t>
            </w:r>
            <w:r>
              <w:rPr>
                <w:rFonts w:asciiTheme="majorEastAsia" w:eastAsiaTheme="majorEastAsia" w:hAnsiTheme="majorEastAsia" w:cstheme="majorEastAsia" w:hint="eastAsia"/>
                <w:b/>
                <w:bCs/>
                <w:sz w:val="24"/>
              </w:rPr>
              <w:tab/>
            </w:r>
            <w:r>
              <w:rPr>
                <w:rFonts w:asciiTheme="majorEastAsia" w:eastAsiaTheme="majorEastAsia" w:hAnsiTheme="majorEastAsia" w:cstheme="majorEastAsia" w:hint="eastAsia"/>
                <w:b/>
                <w:bCs/>
                <w:sz w:val="24"/>
              </w:rPr>
              <w:fldChar w:fldCharType="begin"/>
            </w:r>
            <w:r>
              <w:rPr>
                <w:rFonts w:asciiTheme="majorEastAsia" w:eastAsiaTheme="majorEastAsia" w:hAnsiTheme="majorEastAsia" w:cstheme="majorEastAsia" w:hint="eastAsia"/>
                <w:b/>
                <w:bCs/>
                <w:sz w:val="24"/>
              </w:rPr>
              <w:instrText xml:space="preserve"> PAGEREF _Toc20723 </w:instrText>
            </w:r>
            <w:r>
              <w:rPr>
                <w:rFonts w:asciiTheme="majorEastAsia" w:eastAsiaTheme="majorEastAsia" w:hAnsiTheme="majorEastAsia" w:cstheme="majorEastAsia" w:hint="eastAsia"/>
                <w:b/>
                <w:bCs/>
                <w:sz w:val="24"/>
              </w:rPr>
              <w:fldChar w:fldCharType="separate"/>
            </w:r>
            <w:r>
              <w:rPr>
                <w:rFonts w:asciiTheme="majorEastAsia" w:eastAsiaTheme="majorEastAsia" w:hAnsiTheme="majorEastAsia" w:cstheme="majorEastAsia"/>
                <w:b/>
                <w:bCs/>
                <w:noProof/>
                <w:sz w:val="24"/>
              </w:rPr>
              <w:t>3</w:t>
            </w:r>
            <w:r>
              <w:rPr>
                <w:rFonts w:asciiTheme="majorEastAsia" w:eastAsiaTheme="majorEastAsia" w:hAnsiTheme="majorEastAsia" w:cstheme="majorEastAsia" w:hint="eastAsia"/>
                <w:b/>
                <w:bCs/>
                <w:noProof/>
                <w:sz w:val="24"/>
              </w:rPr>
              <w:t>3</w:t>
            </w:r>
            <w:r>
              <w:rPr>
                <w:rFonts w:asciiTheme="majorEastAsia" w:eastAsiaTheme="majorEastAsia" w:hAnsiTheme="majorEastAsia" w:cstheme="majorEastAsia" w:hint="eastAsia"/>
                <w:b/>
                <w:bCs/>
                <w:sz w:val="24"/>
              </w:rPr>
              <w:fldChar w:fldCharType="end"/>
            </w:r>
          </w:hyperlink>
        </w:p>
        <w:p w:rsidR="00852C43" w:rsidRDefault="003B0F4A">
          <w:pPr>
            <w:spacing w:line="312" w:lineRule="auto"/>
            <w:ind w:firstLineChars="200" w:firstLine="440"/>
            <w:jc w:val="both"/>
            <w:sectPr w:rsidR="00852C43">
              <w:footerReference w:type="default" r:id="rId9"/>
              <w:pgSz w:w="11906" w:h="16838"/>
              <w:pgMar w:top="1440" w:right="1797" w:bottom="1191" w:left="1797" w:header="709" w:footer="709" w:gutter="0"/>
              <w:pgNumType w:start="1"/>
              <w:cols w:space="708"/>
              <w:docGrid w:linePitch="360"/>
            </w:sectPr>
          </w:pPr>
          <w:r>
            <w:rPr>
              <w:rFonts w:asciiTheme="minorEastAsia" w:eastAsiaTheme="minorEastAsia" w:hAnsiTheme="minorEastAsia"/>
              <w:szCs w:val="24"/>
            </w:rPr>
            <w:fldChar w:fldCharType="end"/>
          </w:r>
        </w:p>
      </w:sdtContent>
    </w:sdt>
    <w:p w:rsidR="00852C43" w:rsidRDefault="002F5BF5">
      <w:pPr>
        <w:pStyle w:val="2"/>
        <w:spacing w:line="540" w:lineRule="exact"/>
        <w:jc w:val="center"/>
        <w:rPr>
          <w:rFonts w:ascii="黑体" w:hAnsi="黑体"/>
          <w:b w:val="0"/>
        </w:rPr>
      </w:pPr>
      <w:bookmarkStart w:id="1" w:name="_Toc25184"/>
      <w:r>
        <w:rPr>
          <w:rFonts w:ascii="黑体" w:hAnsi="黑体" w:hint="eastAsia"/>
          <w:b w:val="0"/>
        </w:rPr>
        <w:lastRenderedPageBreak/>
        <w:t>第一部分   摘  要</w:t>
      </w:r>
      <w:bookmarkEnd w:id="1"/>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为深入贯彻落实中共中央国务院《关于全面实施预算绩效管理的意见》、中共河北省委河北省人民政府《关于全面实施预算绩效管理的实施意见》、河北省财政厅《全面实施预算绩效管理推进工作方案》的精神，进一步加强和规范预算绩效运行监控工作，确保绩效目标如期保质保量实现，提高预算执行效率和财政资金使用效益，</w:t>
      </w:r>
      <w:r w:rsidR="00C42DB9">
        <w:rPr>
          <w:rFonts w:ascii="仿宋_GB2312" w:eastAsia="仿宋_GB2312" w:cs="DengXian-Regular" w:hint="eastAsia"/>
          <w:sz w:val="32"/>
          <w:szCs w:val="32"/>
        </w:rPr>
        <w:t>我单位对</w:t>
      </w:r>
      <w:r>
        <w:rPr>
          <w:rFonts w:ascii="仿宋_GB2312" w:eastAsia="仿宋_GB2312" w:cs="DengXian-Regular" w:hint="eastAsia"/>
          <w:sz w:val="32"/>
          <w:szCs w:val="32"/>
        </w:rPr>
        <w:t>201</w:t>
      </w:r>
      <w:r w:rsidR="00C42DB9">
        <w:rPr>
          <w:rFonts w:ascii="仿宋_GB2312" w:eastAsia="仿宋_GB2312" w:cs="DengXian-Regular" w:hint="eastAsia"/>
          <w:sz w:val="32"/>
          <w:szCs w:val="32"/>
        </w:rPr>
        <w:t>9</w:t>
      </w:r>
      <w:r>
        <w:rPr>
          <w:rFonts w:ascii="仿宋_GB2312" w:eastAsia="仿宋_GB2312" w:cs="DengXian-Regular" w:hint="eastAsia"/>
          <w:sz w:val="32"/>
          <w:szCs w:val="32"/>
        </w:rPr>
        <w:t>年部门整体支出情况开展了绩效</w:t>
      </w:r>
      <w:proofErr w:type="gramStart"/>
      <w:r w:rsidR="00C42DB9">
        <w:rPr>
          <w:rFonts w:ascii="仿宋_GB2312" w:eastAsia="仿宋_GB2312" w:cs="DengXian-Regular" w:hint="eastAsia"/>
          <w:sz w:val="32"/>
          <w:szCs w:val="32"/>
        </w:rPr>
        <w:t>自</w:t>
      </w:r>
      <w:r>
        <w:rPr>
          <w:rFonts w:ascii="仿宋_GB2312" w:eastAsia="仿宋_GB2312" w:cs="DengXian-Regular" w:hint="eastAsia"/>
          <w:sz w:val="32"/>
          <w:szCs w:val="32"/>
        </w:rPr>
        <w:t>评价</w:t>
      </w:r>
      <w:proofErr w:type="gramEnd"/>
      <w:r>
        <w:rPr>
          <w:rFonts w:ascii="仿宋_GB2312" w:eastAsia="仿宋_GB2312" w:cs="DengXian-Regular" w:hint="eastAsia"/>
          <w:sz w:val="32"/>
          <w:szCs w:val="32"/>
        </w:rPr>
        <w:t>工作。</w:t>
      </w:r>
    </w:p>
    <w:p w:rsidR="003A1872"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保定市徐水区</w:t>
      </w:r>
      <w:r w:rsidR="00EB2C39">
        <w:rPr>
          <w:rFonts w:ascii="仿宋_GB2312" w:eastAsia="仿宋_GB2312" w:cs="DengXian-Regular" w:hint="eastAsia"/>
          <w:sz w:val="32"/>
          <w:szCs w:val="32"/>
        </w:rPr>
        <w:t>教育和</w:t>
      </w:r>
      <w:r w:rsidR="00EB2C39">
        <w:rPr>
          <w:rFonts w:ascii="仿宋_GB2312" w:eastAsia="仿宋_GB2312" w:cs="DengXian-Regular"/>
          <w:sz w:val="32"/>
          <w:szCs w:val="32"/>
        </w:rPr>
        <w:t>体育局</w:t>
      </w:r>
      <w:r>
        <w:rPr>
          <w:rFonts w:ascii="仿宋_GB2312" w:eastAsia="仿宋_GB2312" w:cs="DengXian-Regular" w:hint="eastAsia"/>
          <w:sz w:val="32"/>
          <w:szCs w:val="32"/>
        </w:rPr>
        <w:t>为</w:t>
      </w:r>
      <w:r w:rsidR="00EB2C39">
        <w:rPr>
          <w:rFonts w:ascii="仿宋_GB2312" w:eastAsia="仿宋_GB2312" w:cs="DengXian-Regular" w:hint="eastAsia"/>
          <w:sz w:val="32"/>
          <w:szCs w:val="32"/>
        </w:rPr>
        <w:t>事业</w:t>
      </w:r>
      <w:r>
        <w:rPr>
          <w:rFonts w:ascii="仿宋_GB2312" w:eastAsia="仿宋_GB2312" w:cs="DengXian-Regular" w:hint="eastAsia"/>
          <w:sz w:val="32"/>
          <w:szCs w:val="32"/>
        </w:rPr>
        <w:t>单位，经费保障形式为</w:t>
      </w:r>
      <w:r w:rsidR="001F27AC" w:rsidRPr="001F27AC">
        <w:rPr>
          <w:rFonts w:ascii="仿宋_GB2312" w:eastAsia="仿宋_GB2312" w:cs="DengXian-Regular" w:hint="eastAsia"/>
          <w:sz w:val="32"/>
          <w:szCs w:val="32"/>
        </w:rPr>
        <w:t>财政性资金基本保证</w:t>
      </w:r>
      <w:r>
        <w:rPr>
          <w:rFonts w:ascii="仿宋_GB2312" w:eastAsia="仿宋_GB2312" w:cs="DengXian-Regular" w:hint="eastAsia"/>
          <w:sz w:val="32"/>
          <w:szCs w:val="32"/>
        </w:rPr>
        <w:t>，下设</w:t>
      </w:r>
      <w:r w:rsidR="00EB2C39">
        <w:rPr>
          <w:rFonts w:ascii="仿宋_GB2312" w:eastAsia="仿宋_GB2312" w:cs="DengXian-Regular"/>
          <w:sz w:val="32"/>
          <w:szCs w:val="32"/>
        </w:rPr>
        <w:t>6</w:t>
      </w:r>
      <w:r>
        <w:rPr>
          <w:rFonts w:ascii="仿宋_GB2312" w:eastAsia="仿宋_GB2312" w:cs="DengXian-Regular" w:hint="eastAsia"/>
          <w:sz w:val="32"/>
          <w:szCs w:val="32"/>
        </w:rPr>
        <w:t>个股室，分别为</w:t>
      </w:r>
      <w:r w:rsidR="00EB2C39">
        <w:rPr>
          <w:rFonts w:ascii="仿宋_GB2312" w:eastAsia="仿宋_GB2312" w:cs="DengXian-Regular" w:hint="eastAsia"/>
          <w:sz w:val="32"/>
          <w:szCs w:val="32"/>
        </w:rPr>
        <w:t>办公</w:t>
      </w:r>
      <w:r w:rsidR="00EB2C39">
        <w:rPr>
          <w:rFonts w:ascii="仿宋_GB2312" w:eastAsia="仿宋_GB2312" w:cs="DengXian-Regular"/>
          <w:sz w:val="32"/>
          <w:szCs w:val="32"/>
        </w:rPr>
        <w:t>室</w:t>
      </w:r>
      <w:r>
        <w:rPr>
          <w:rFonts w:ascii="仿宋_GB2312" w:eastAsia="仿宋_GB2312" w:cs="DengXian-Regular" w:hint="eastAsia"/>
          <w:sz w:val="32"/>
          <w:szCs w:val="32"/>
        </w:rPr>
        <w:t>、</w:t>
      </w:r>
      <w:r w:rsidR="00EB2C39">
        <w:rPr>
          <w:rFonts w:ascii="仿宋_GB2312" w:eastAsia="仿宋_GB2312" w:cs="DengXian-Regular" w:hint="eastAsia"/>
          <w:sz w:val="32"/>
          <w:szCs w:val="32"/>
        </w:rPr>
        <w:t>人事</w:t>
      </w:r>
      <w:r w:rsidR="00EB2C39">
        <w:rPr>
          <w:rFonts w:ascii="仿宋_GB2312" w:eastAsia="仿宋_GB2312" w:cs="DengXian-Regular"/>
          <w:sz w:val="32"/>
          <w:szCs w:val="32"/>
        </w:rPr>
        <w:t>与教师工作股</w:t>
      </w:r>
      <w:r>
        <w:rPr>
          <w:rFonts w:ascii="仿宋_GB2312" w:eastAsia="仿宋_GB2312" w:cs="DengXian-Regular" w:hint="eastAsia"/>
          <w:sz w:val="32"/>
          <w:szCs w:val="32"/>
        </w:rPr>
        <w:t>、</w:t>
      </w:r>
      <w:r w:rsidR="00EB2C39">
        <w:rPr>
          <w:rFonts w:ascii="仿宋_GB2312" w:eastAsia="仿宋_GB2312" w:cs="DengXian-Regular" w:hint="eastAsia"/>
          <w:sz w:val="32"/>
          <w:szCs w:val="32"/>
        </w:rPr>
        <w:t>财务与</w:t>
      </w:r>
      <w:r w:rsidR="00EB2C39">
        <w:rPr>
          <w:rFonts w:ascii="仿宋_GB2312" w:eastAsia="仿宋_GB2312" w:cs="DengXian-Regular"/>
          <w:sz w:val="32"/>
          <w:szCs w:val="32"/>
        </w:rPr>
        <w:t>发展规划</w:t>
      </w:r>
      <w:r>
        <w:rPr>
          <w:rFonts w:ascii="仿宋_GB2312" w:eastAsia="仿宋_GB2312" w:cs="DengXian-Regular" w:hint="eastAsia"/>
          <w:sz w:val="32"/>
          <w:szCs w:val="32"/>
        </w:rPr>
        <w:t>股、</w:t>
      </w:r>
      <w:r w:rsidR="00EB2C39">
        <w:rPr>
          <w:rFonts w:ascii="仿宋_GB2312" w:eastAsia="仿宋_GB2312" w:cs="DengXian-Regular" w:hint="eastAsia"/>
          <w:sz w:val="32"/>
          <w:szCs w:val="32"/>
        </w:rPr>
        <w:t>教育管理</w:t>
      </w:r>
      <w:r>
        <w:rPr>
          <w:rFonts w:ascii="仿宋_GB2312" w:eastAsia="仿宋_GB2312" w:cs="DengXian-Regular" w:hint="eastAsia"/>
          <w:sz w:val="32"/>
          <w:szCs w:val="32"/>
        </w:rPr>
        <w:t>股</w:t>
      </w:r>
      <w:r w:rsidR="00EB2C39">
        <w:rPr>
          <w:rFonts w:ascii="仿宋_GB2312" w:eastAsia="仿宋_GB2312" w:cs="DengXian-Regular" w:hint="eastAsia"/>
          <w:sz w:val="32"/>
          <w:szCs w:val="32"/>
        </w:rPr>
        <w:t>、</w:t>
      </w:r>
      <w:r w:rsidR="00EB2C39">
        <w:rPr>
          <w:rFonts w:ascii="仿宋_GB2312" w:eastAsia="仿宋_GB2312" w:cs="DengXian-Regular"/>
          <w:sz w:val="32"/>
          <w:szCs w:val="32"/>
        </w:rPr>
        <w:t>法制安全股、体育股</w:t>
      </w:r>
      <w:r>
        <w:rPr>
          <w:rFonts w:ascii="仿宋_GB2312" w:eastAsia="仿宋_GB2312" w:cs="DengXian-Regular" w:hint="eastAsia"/>
          <w:sz w:val="32"/>
          <w:szCs w:val="32"/>
        </w:rPr>
        <w:t>，主要职责有</w:t>
      </w:r>
      <w:r w:rsidR="003A1872">
        <w:rPr>
          <w:rFonts w:ascii="仿宋_GB2312" w:eastAsia="仿宋_GB2312" w:cs="DengXian-Regular" w:hint="eastAsia"/>
          <w:sz w:val="32"/>
          <w:szCs w:val="32"/>
        </w:rPr>
        <w:t>：</w:t>
      </w:r>
    </w:p>
    <w:p w:rsidR="00852C43" w:rsidRPr="00E70352" w:rsidRDefault="00E70352" w:rsidP="00E70352">
      <w:pPr>
        <w:spacing w:after="0" w:line="360" w:lineRule="auto"/>
        <w:ind w:firstLine="640"/>
        <w:jc w:val="both"/>
        <w:textAlignment w:val="baseline"/>
        <w:rPr>
          <w:rFonts w:ascii="仿宋_GB2312" w:eastAsia="仿宋_GB2312" w:cs="DengXian-Regular"/>
          <w:sz w:val="32"/>
          <w:szCs w:val="32"/>
        </w:rPr>
      </w:pPr>
      <w:r w:rsidRPr="00E70352">
        <w:rPr>
          <w:rFonts w:ascii="仿宋_GB2312" w:eastAsia="仿宋_GB2312" w:cs="DengXian-Regular" w:hint="eastAsia"/>
          <w:sz w:val="32"/>
          <w:szCs w:val="32"/>
        </w:rPr>
        <w:t>（一</w:t>
      </w:r>
      <w:r>
        <w:rPr>
          <w:rFonts w:ascii="仿宋_GB2312" w:eastAsia="仿宋_GB2312" w:cs="DengXian-Regular" w:hint="eastAsia"/>
          <w:sz w:val="32"/>
          <w:szCs w:val="32"/>
        </w:rPr>
        <w:t>）</w:t>
      </w:r>
      <w:r w:rsidR="0019202B" w:rsidRPr="00E70352">
        <w:rPr>
          <w:rFonts w:ascii="仿宋_GB2312" w:eastAsia="仿宋_GB2312" w:cs="DengXian-Regular" w:hint="eastAsia"/>
          <w:sz w:val="32"/>
          <w:szCs w:val="32"/>
        </w:rPr>
        <w:t>贯彻</w:t>
      </w:r>
      <w:r w:rsidR="0019202B" w:rsidRPr="00E70352">
        <w:rPr>
          <w:rFonts w:ascii="仿宋_GB2312" w:eastAsia="仿宋_GB2312" w:cs="DengXian-Regular"/>
          <w:sz w:val="32"/>
          <w:szCs w:val="32"/>
        </w:rPr>
        <w:t>落实教育和体育工作方针</w:t>
      </w:r>
      <w:r w:rsidRPr="00E70352">
        <w:rPr>
          <w:rFonts w:ascii="仿宋_GB2312" w:eastAsia="仿宋_GB2312" w:cs="DengXian-Regular" w:hint="eastAsia"/>
          <w:sz w:val="32"/>
          <w:szCs w:val="32"/>
        </w:rPr>
        <w:t>、政策、</w:t>
      </w:r>
      <w:r w:rsidRPr="00E70352">
        <w:rPr>
          <w:rFonts w:ascii="仿宋_GB2312" w:eastAsia="仿宋_GB2312" w:cs="DengXian-Regular"/>
          <w:sz w:val="32"/>
          <w:szCs w:val="32"/>
        </w:rPr>
        <w:t>法律、法规，负责教育体制、办学体制、学校管理体制及城乡教育综合改革的统筹规划和协调指导；</w:t>
      </w:r>
    </w:p>
    <w:p w:rsidR="00E70352" w:rsidRDefault="00E70352" w:rsidP="00E70352">
      <w:pPr>
        <w:ind w:firstLine="640"/>
        <w:rPr>
          <w:rFonts w:ascii="仿宋_GB2312" w:eastAsia="仿宋_GB2312" w:cs="DengXian-Regular"/>
          <w:sz w:val="32"/>
          <w:szCs w:val="32"/>
        </w:rPr>
      </w:pPr>
      <w:r w:rsidRPr="00E70352">
        <w:rPr>
          <w:rFonts w:ascii="仿宋_GB2312" w:eastAsia="仿宋_GB2312" w:cs="DengXian-Regular" w:hint="eastAsia"/>
          <w:sz w:val="32"/>
          <w:szCs w:val="32"/>
        </w:rPr>
        <w:t>（二）</w:t>
      </w:r>
      <w:r>
        <w:rPr>
          <w:rFonts w:ascii="仿宋_GB2312" w:eastAsia="仿宋_GB2312" w:cs="DengXian-Regular" w:hint="eastAsia"/>
          <w:sz w:val="32"/>
          <w:szCs w:val="32"/>
        </w:rPr>
        <w:t>研究</w:t>
      </w:r>
      <w:r>
        <w:rPr>
          <w:rFonts w:ascii="仿宋_GB2312" w:eastAsia="仿宋_GB2312" w:cs="DengXian-Regular"/>
          <w:sz w:val="32"/>
          <w:szCs w:val="32"/>
        </w:rPr>
        <w:t>制定全区教育和体育工作的发展规划</w:t>
      </w:r>
      <w:r>
        <w:rPr>
          <w:rFonts w:ascii="仿宋_GB2312" w:eastAsia="仿宋_GB2312" w:cs="DengXian-Regular" w:hint="eastAsia"/>
          <w:sz w:val="32"/>
          <w:szCs w:val="32"/>
        </w:rPr>
        <w:t>，</w:t>
      </w:r>
      <w:r>
        <w:rPr>
          <w:rFonts w:ascii="仿宋_GB2312" w:eastAsia="仿宋_GB2312" w:cs="DengXian-Regular"/>
          <w:sz w:val="32"/>
          <w:szCs w:val="32"/>
        </w:rPr>
        <w:t>统筹规划学校布局和体育事业发展；</w:t>
      </w:r>
    </w:p>
    <w:p w:rsidR="00E70352" w:rsidRDefault="00E70352"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（三）</w:t>
      </w:r>
      <w:r w:rsidR="000C0B80">
        <w:rPr>
          <w:rFonts w:ascii="仿宋_GB2312" w:eastAsia="仿宋_GB2312" w:cs="DengXian-Regular" w:hint="eastAsia"/>
          <w:sz w:val="32"/>
          <w:szCs w:val="32"/>
        </w:rPr>
        <w:t>全</w:t>
      </w:r>
      <w:r w:rsidR="000C0B80">
        <w:rPr>
          <w:rFonts w:ascii="仿宋_GB2312" w:eastAsia="仿宋_GB2312" w:cs="DengXian-Regular"/>
          <w:sz w:val="32"/>
          <w:szCs w:val="32"/>
        </w:rPr>
        <w:t>面实施素质教育，指导推动教育教学和教育科研工作；负责全区义务教育、学前教育、特殊教育、高中教育、职业技术教育、成人教育</w:t>
      </w:r>
      <w:r w:rsidR="000C0B80">
        <w:rPr>
          <w:rFonts w:ascii="仿宋_GB2312" w:eastAsia="仿宋_GB2312" w:cs="DengXian-Regular" w:hint="eastAsia"/>
          <w:sz w:val="32"/>
          <w:szCs w:val="32"/>
        </w:rPr>
        <w:t>的</w:t>
      </w:r>
      <w:r w:rsidR="000C0B80">
        <w:rPr>
          <w:rFonts w:ascii="仿宋_GB2312" w:eastAsia="仿宋_GB2312" w:cs="DengXian-Regular"/>
          <w:sz w:val="32"/>
          <w:szCs w:val="32"/>
        </w:rPr>
        <w:t>宏观指导、综合管理与服务，对全区教育</w:t>
      </w:r>
      <w:r w:rsidR="000C0B80">
        <w:rPr>
          <w:rFonts w:ascii="仿宋_GB2312" w:eastAsia="仿宋_GB2312" w:cs="DengXian-Regular" w:hint="eastAsia"/>
          <w:sz w:val="32"/>
          <w:szCs w:val="32"/>
        </w:rPr>
        <w:t>工</w:t>
      </w:r>
      <w:r w:rsidR="000C0B80">
        <w:rPr>
          <w:rFonts w:ascii="仿宋_GB2312" w:eastAsia="仿宋_GB2312" w:cs="DengXian-Regular"/>
          <w:sz w:val="32"/>
          <w:szCs w:val="32"/>
        </w:rPr>
        <w:t>作</w:t>
      </w:r>
      <w:r w:rsidR="000C0B80">
        <w:rPr>
          <w:rFonts w:ascii="仿宋_GB2312" w:eastAsia="仿宋_GB2312" w:cs="DengXian-Regular" w:hint="eastAsia"/>
          <w:sz w:val="32"/>
          <w:szCs w:val="32"/>
        </w:rPr>
        <w:t>状况</w:t>
      </w:r>
      <w:r w:rsidR="000C0B80">
        <w:rPr>
          <w:rFonts w:ascii="仿宋_GB2312" w:eastAsia="仿宋_GB2312" w:cs="DengXian-Regular"/>
          <w:sz w:val="32"/>
          <w:szCs w:val="32"/>
        </w:rPr>
        <w:t>及办学水平进行监督、检查、评估、验收；负责组织各类招生考试工作。</w:t>
      </w:r>
    </w:p>
    <w:p w:rsidR="00821640" w:rsidRDefault="00821640"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（四）负责</w:t>
      </w:r>
      <w:r>
        <w:rPr>
          <w:rFonts w:ascii="仿宋_GB2312" w:eastAsia="仿宋_GB2312" w:cs="DengXian-Regular"/>
          <w:sz w:val="32"/>
          <w:szCs w:val="32"/>
        </w:rPr>
        <w:t>全区教育和体育系统队伍建设工作，负责</w:t>
      </w:r>
      <w:r>
        <w:rPr>
          <w:rFonts w:ascii="仿宋_GB2312" w:eastAsia="仿宋_GB2312" w:cs="DengXian-Regular" w:hint="eastAsia"/>
          <w:sz w:val="32"/>
          <w:szCs w:val="32"/>
        </w:rPr>
        <w:t>人</w:t>
      </w:r>
      <w:r>
        <w:rPr>
          <w:rFonts w:ascii="仿宋_GB2312" w:eastAsia="仿宋_GB2312" w:cs="DengXian-Regular"/>
          <w:sz w:val="32"/>
          <w:szCs w:val="32"/>
        </w:rPr>
        <w:t>员招聘录用、工</w:t>
      </w:r>
      <w:r>
        <w:rPr>
          <w:rFonts w:ascii="仿宋_GB2312" w:eastAsia="仿宋_GB2312" w:cs="DengXian-Regular" w:hint="eastAsia"/>
          <w:sz w:val="32"/>
          <w:szCs w:val="32"/>
        </w:rPr>
        <w:t>作</w:t>
      </w:r>
      <w:r>
        <w:rPr>
          <w:rFonts w:ascii="仿宋_GB2312" w:eastAsia="仿宋_GB2312" w:cs="DengXian-Regular"/>
          <w:sz w:val="32"/>
          <w:szCs w:val="32"/>
        </w:rPr>
        <w:t>调配、教育培训、职称评</w:t>
      </w:r>
      <w:r>
        <w:rPr>
          <w:rFonts w:ascii="仿宋_GB2312" w:eastAsia="仿宋_GB2312" w:cs="DengXian-Regular" w:hint="eastAsia"/>
          <w:sz w:val="32"/>
          <w:szCs w:val="32"/>
        </w:rPr>
        <w:t>聘</w:t>
      </w:r>
      <w:r>
        <w:rPr>
          <w:rFonts w:ascii="仿宋_GB2312" w:eastAsia="仿宋_GB2312" w:cs="DengXian-Regular"/>
          <w:sz w:val="32"/>
          <w:szCs w:val="32"/>
        </w:rPr>
        <w:t>、评优评模、考核奖惩等工作；</w:t>
      </w:r>
      <w:r>
        <w:rPr>
          <w:rFonts w:ascii="仿宋_GB2312" w:eastAsia="仿宋_GB2312" w:cs="DengXian-Regular" w:hint="eastAsia"/>
          <w:sz w:val="32"/>
          <w:szCs w:val="32"/>
        </w:rPr>
        <w:t>负责</w:t>
      </w:r>
      <w:r>
        <w:rPr>
          <w:rFonts w:ascii="仿宋_GB2312" w:eastAsia="仿宋_GB2312" w:cs="DengXian-Regular"/>
          <w:sz w:val="32"/>
          <w:szCs w:val="32"/>
        </w:rPr>
        <w:t>实施教师资格制度工作；负责下属单位领导班子和领导干部的培养、考察、考核，任免和管理以及后备干部队伍建设工作</w:t>
      </w:r>
      <w:r>
        <w:rPr>
          <w:rFonts w:ascii="仿宋_GB2312" w:eastAsia="仿宋_GB2312" w:cs="DengXian-Regular" w:hint="eastAsia"/>
          <w:sz w:val="32"/>
          <w:szCs w:val="32"/>
        </w:rPr>
        <w:t>。</w:t>
      </w:r>
    </w:p>
    <w:p w:rsidR="00821640" w:rsidRDefault="00BD7EE3"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（五）负责</w:t>
      </w:r>
      <w:r>
        <w:rPr>
          <w:rFonts w:ascii="仿宋_GB2312" w:eastAsia="仿宋_GB2312" w:cs="DengXian-Regular"/>
          <w:sz w:val="32"/>
          <w:szCs w:val="32"/>
        </w:rPr>
        <w:t>教育和体育经</w:t>
      </w:r>
      <w:r>
        <w:rPr>
          <w:rFonts w:ascii="仿宋_GB2312" w:eastAsia="仿宋_GB2312" w:cs="DengXian-Regular" w:hint="eastAsia"/>
          <w:sz w:val="32"/>
          <w:szCs w:val="32"/>
        </w:rPr>
        <w:t>费</w:t>
      </w:r>
      <w:r>
        <w:rPr>
          <w:rFonts w:ascii="仿宋_GB2312" w:eastAsia="仿宋_GB2312" w:cs="DengXian-Regular"/>
          <w:sz w:val="32"/>
          <w:szCs w:val="32"/>
        </w:rPr>
        <w:t>统筹管理；负责教育和体育基建、设施设备及专项计划的审批和财务的管理、监督、审计工作；参与全年度教育和体育经费的预决算工作；做好计划统计工作；负责各</w:t>
      </w:r>
      <w:r>
        <w:rPr>
          <w:rFonts w:ascii="仿宋_GB2312" w:eastAsia="仿宋_GB2312" w:cs="DengXian-Regular" w:hint="eastAsia"/>
          <w:sz w:val="32"/>
          <w:szCs w:val="32"/>
        </w:rPr>
        <w:t>级</w:t>
      </w:r>
      <w:r>
        <w:rPr>
          <w:rFonts w:ascii="仿宋_GB2312" w:eastAsia="仿宋_GB2312" w:cs="DengXian-Regular"/>
          <w:sz w:val="32"/>
          <w:szCs w:val="32"/>
        </w:rPr>
        <w:t>助学政策和经费的落实</w:t>
      </w:r>
      <w:r>
        <w:rPr>
          <w:rFonts w:ascii="仿宋_GB2312" w:eastAsia="仿宋_GB2312" w:cs="DengXian-Regular" w:hint="eastAsia"/>
          <w:sz w:val="32"/>
          <w:szCs w:val="32"/>
        </w:rPr>
        <w:t>。</w:t>
      </w:r>
    </w:p>
    <w:p w:rsidR="00123964" w:rsidRDefault="00123964"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（六）指导</w:t>
      </w:r>
      <w:r>
        <w:rPr>
          <w:rFonts w:ascii="仿宋_GB2312" w:eastAsia="仿宋_GB2312" w:cs="DengXian-Regular"/>
          <w:sz w:val="32"/>
          <w:szCs w:val="32"/>
        </w:rPr>
        <w:t>全区学校的德育、智育、体育、美育、劳动、国防和安全教育工作；负责教育和体育系统党的建设工作，指导工</w:t>
      </w:r>
      <w:r>
        <w:rPr>
          <w:rFonts w:ascii="仿宋_GB2312" w:eastAsia="仿宋_GB2312" w:cs="DengXian-Regular" w:hint="eastAsia"/>
          <w:sz w:val="32"/>
          <w:szCs w:val="32"/>
        </w:rPr>
        <w:t>会</w:t>
      </w:r>
      <w:r>
        <w:rPr>
          <w:rFonts w:ascii="仿宋_GB2312" w:eastAsia="仿宋_GB2312" w:cs="DengXian-Regular"/>
          <w:sz w:val="32"/>
          <w:szCs w:val="32"/>
        </w:rPr>
        <w:t>、共青团、妇女工作；负责教育和体育系统的安全稳定</w:t>
      </w:r>
      <w:r>
        <w:rPr>
          <w:rFonts w:ascii="仿宋_GB2312" w:eastAsia="仿宋_GB2312" w:cs="DengXian-Regular" w:hint="eastAsia"/>
          <w:sz w:val="32"/>
          <w:szCs w:val="32"/>
        </w:rPr>
        <w:t>及</w:t>
      </w:r>
      <w:r>
        <w:rPr>
          <w:rFonts w:ascii="仿宋_GB2312" w:eastAsia="仿宋_GB2312" w:cs="DengXian-Regular"/>
          <w:sz w:val="32"/>
          <w:szCs w:val="32"/>
        </w:rPr>
        <w:t>综合治理工作。</w:t>
      </w:r>
    </w:p>
    <w:p w:rsidR="009938F4" w:rsidRDefault="009938F4"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（七）负责</w:t>
      </w:r>
      <w:r>
        <w:rPr>
          <w:rFonts w:ascii="仿宋_GB2312" w:eastAsia="仿宋_GB2312" w:cs="DengXian-Regular"/>
          <w:sz w:val="32"/>
          <w:szCs w:val="32"/>
        </w:rPr>
        <w:t>全区体育竞赛、竞</w:t>
      </w:r>
      <w:r w:rsidR="005B0A76">
        <w:rPr>
          <w:rFonts w:ascii="仿宋_GB2312" w:eastAsia="仿宋_GB2312" w:cs="DengXian-Regular" w:hint="eastAsia"/>
          <w:sz w:val="32"/>
          <w:szCs w:val="32"/>
        </w:rPr>
        <w:t>技</w:t>
      </w:r>
      <w:r w:rsidR="005B0A76">
        <w:rPr>
          <w:rFonts w:ascii="仿宋_GB2312" w:eastAsia="仿宋_GB2312" w:cs="DengXian-Regular"/>
          <w:sz w:val="32"/>
          <w:szCs w:val="32"/>
        </w:rPr>
        <w:t>运动项目的设置和布局；参与规划、实施区重点体育设施建设，负责公共体育设施的监督管理工作；加强体育公共服务、促进多元体育服务体系建设</w:t>
      </w:r>
      <w:r w:rsidR="005B0A76">
        <w:rPr>
          <w:rFonts w:ascii="仿宋_GB2312" w:eastAsia="仿宋_GB2312" w:cs="DengXian-Regular" w:hint="eastAsia"/>
          <w:sz w:val="32"/>
          <w:szCs w:val="32"/>
        </w:rPr>
        <w:t>等</w:t>
      </w:r>
      <w:r w:rsidR="005B0A76">
        <w:rPr>
          <w:rFonts w:ascii="仿宋_GB2312" w:eastAsia="仿宋_GB2312" w:cs="DengXian-Regular"/>
          <w:sz w:val="32"/>
          <w:szCs w:val="32"/>
        </w:rPr>
        <w:t>；</w:t>
      </w:r>
    </w:p>
    <w:p w:rsidR="005B0A76" w:rsidRDefault="005B0A76"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（八）负责</w:t>
      </w:r>
      <w:r>
        <w:rPr>
          <w:rFonts w:ascii="仿宋_GB2312" w:eastAsia="仿宋_GB2312" w:cs="DengXian-Regular"/>
          <w:sz w:val="32"/>
          <w:szCs w:val="32"/>
        </w:rPr>
        <w:t>全区语言文字工作，制订语言文字工作规划；组织协调并监督检查汉语和少数民族语言文字规范、标准的实施；指导推广普通话和普通话测试工作；负责社会用字规范管理。</w:t>
      </w:r>
    </w:p>
    <w:p w:rsidR="005B0A76" w:rsidRPr="00821640" w:rsidRDefault="005B0A76" w:rsidP="000C0B80">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（九）承办区</w:t>
      </w:r>
      <w:r>
        <w:rPr>
          <w:rFonts w:ascii="仿宋_GB2312" w:eastAsia="仿宋_GB2312" w:cs="DengXian-Regular"/>
          <w:sz w:val="32"/>
          <w:szCs w:val="32"/>
        </w:rPr>
        <w:t>委、区政府和上级教育行政部门交办的其他事项。</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绩效评价是制定科学合理的评价方法、评价标准和指标体系，对财政资金的使用及产生的效益进行客观、公正的评价。通过部门整体支出绩效评价工作了解部门绩效目标和指标的设置及完成情况；部门整体资金预算情况、实际收支及结转结余情况；部门履职对社会发展所带来的直接或间接影响及服务对象对部门履职效果的满意程度，促使相关部门根据绩效评价过程中发现的问题，及时整改并总结经验，提高部门管理水平，牢固树立预算绩效理念，强化部门支出责任，提高预算执行效率和财政资金使用效益。</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评价工作经过了前期准备、绩效评价实施方案和指标体系制定、组织实施、绩效评价报告撰写四个阶段。</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按照中共河北省委河北省人民政府《关于全面实施预算绩效管理的实施意见》的相关规定，以河北省财政厅《全面实施预算绩效管理推进工作方案》、《保定市徐水区部门预算绩效运行监控工作规程》中的相关工作要求作为评价标准，采取定量和定性评价相结合的方法，对资料进行审核、分析，实事求是、客观公正地完成了</w:t>
      </w:r>
      <w:r w:rsidR="003E056D">
        <w:rPr>
          <w:rFonts w:ascii="仿宋_GB2312" w:eastAsia="仿宋_GB2312" w:cs="DengXian-Regular" w:hint="eastAsia"/>
          <w:sz w:val="32"/>
          <w:szCs w:val="32"/>
        </w:rPr>
        <w:t>徐水</w:t>
      </w:r>
      <w:r w:rsidR="003E056D">
        <w:rPr>
          <w:rFonts w:ascii="仿宋_GB2312" w:eastAsia="仿宋_GB2312" w:cs="DengXian-Regular"/>
          <w:sz w:val="32"/>
          <w:szCs w:val="32"/>
        </w:rPr>
        <w:t>区教育和体育局</w:t>
      </w:r>
      <w:r w:rsidR="00FE44CF">
        <w:rPr>
          <w:rFonts w:ascii="仿宋_GB2312" w:eastAsia="仿宋_GB2312" w:cs="DengXian-Regular" w:hint="eastAsia"/>
          <w:sz w:val="32"/>
          <w:szCs w:val="32"/>
        </w:rPr>
        <w:t>2019</w:t>
      </w:r>
      <w:r>
        <w:rPr>
          <w:rFonts w:ascii="仿宋_GB2312" w:eastAsia="仿宋_GB2312" w:cs="DengXian-Regular" w:hint="eastAsia"/>
          <w:sz w:val="32"/>
          <w:szCs w:val="32"/>
        </w:rPr>
        <w:t>年部门整体支出绩效评价工作。</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proofErr w:type="gramStart"/>
      <w:r>
        <w:rPr>
          <w:rFonts w:ascii="仿宋_GB2312" w:eastAsia="仿宋_GB2312" w:cs="DengXian-Regular" w:hint="eastAsia"/>
          <w:sz w:val="32"/>
          <w:szCs w:val="32"/>
        </w:rPr>
        <w:lastRenderedPageBreak/>
        <w:t>区</w:t>
      </w:r>
      <w:r w:rsidR="003E056D">
        <w:rPr>
          <w:rFonts w:ascii="仿宋_GB2312" w:eastAsia="仿宋_GB2312" w:cs="DengXian-Regular" w:hint="eastAsia"/>
          <w:sz w:val="32"/>
          <w:szCs w:val="32"/>
        </w:rPr>
        <w:t>教体局</w:t>
      </w:r>
      <w:proofErr w:type="gramEnd"/>
      <w:r>
        <w:rPr>
          <w:rFonts w:ascii="仿宋_GB2312" w:eastAsia="仿宋_GB2312" w:cs="DengXian-Regular" w:hint="eastAsia"/>
          <w:sz w:val="32"/>
          <w:szCs w:val="32"/>
        </w:rPr>
        <w:t>201</w:t>
      </w:r>
      <w:r w:rsidR="00994737">
        <w:rPr>
          <w:rFonts w:ascii="仿宋_GB2312" w:eastAsia="仿宋_GB2312" w:cs="DengXian-Regular" w:hint="eastAsia"/>
          <w:sz w:val="32"/>
          <w:szCs w:val="32"/>
        </w:rPr>
        <w:t>9</w:t>
      </w:r>
      <w:r>
        <w:rPr>
          <w:rFonts w:ascii="仿宋_GB2312" w:eastAsia="仿宋_GB2312" w:cs="DengXian-Regular" w:hint="eastAsia"/>
          <w:sz w:val="32"/>
          <w:szCs w:val="32"/>
        </w:rPr>
        <w:t>年部门整体支出绩效评价指标体系共设置4个一级指标、7个二级指标、27个三级指标，从投入、过程、产出、效果四个方面对</w:t>
      </w:r>
      <w:r w:rsidR="00994737">
        <w:rPr>
          <w:rFonts w:ascii="仿宋_GB2312" w:eastAsia="仿宋_GB2312" w:cs="DengXian-Regular" w:hint="eastAsia"/>
          <w:sz w:val="32"/>
          <w:szCs w:val="32"/>
        </w:rPr>
        <w:t>区</w:t>
      </w:r>
      <w:proofErr w:type="gramStart"/>
      <w:r w:rsidR="003E056D">
        <w:rPr>
          <w:rFonts w:ascii="仿宋_GB2312" w:eastAsia="仿宋_GB2312" w:cs="DengXian-Regular" w:hint="eastAsia"/>
          <w:sz w:val="32"/>
          <w:szCs w:val="32"/>
        </w:rPr>
        <w:t>教体</w:t>
      </w:r>
      <w:r w:rsidR="003E056D">
        <w:rPr>
          <w:rFonts w:ascii="仿宋_GB2312" w:eastAsia="仿宋_GB2312" w:cs="DengXian-Regular"/>
          <w:sz w:val="32"/>
          <w:szCs w:val="32"/>
        </w:rPr>
        <w:t>局</w:t>
      </w:r>
      <w:r>
        <w:rPr>
          <w:rFonts w:ascii="仿宋_GB2312" w:eastAsia="仿宋_GB2312" w:cs="DengXian-Regular" w:hint="eastAsia"/>
          <w:sz w:val="32"/>
          <w:szCs w:val="32"/>
        </w:rPr>
        <w:t>部门整体</w:t>
      </w:r>
      <w:proofErr w:type="gramEnd"/>
      <w:r>
        <w:rPr>
          <w:rFonts w:ascii="仿宋_GB2312" w:eastAsia="仿宋_GB2312" w:cs="DengXian-Regular" w:hint="eastAsia"/>
          <w:sz w:val="32"/>
          <w:szCs w:val="32"/>
        </w:rPr>
        <w:t>支出情况评分定级。指标体系设定满分为100分，绩效评价分值≥90为“优”；80≤分值＜90为“良”；60≤分值＜80为“合格”；60分以下为“差”。</w:t>
      </w:r>
    </w:p>
    <w:p w:rsidR="00852C43" w:rsidRDefault="009947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区</w:t>
      </w:r>
      <w:r w:rsidR="003E056D">
        <w:rPr>
          <w:rFonts w:ascii="仿宋_GB2312" w:eastAsia="仿宋_GB2312" w:cs="DengXian-Regular" w:hint="eastAsia"/>
          <w:sz w:val="32"/>
          <w:szCs w:val="32"/>
        </w:rPr>
        <w:t>教育</w:t>
      </w:r>
      <w:r w:rsidR="003E056D">
        <w:rPr>
          <w:rFonts w:ascii="仿宋_GB2312" w:eastAsia="仿宋_GB2312" w:cs="DengXian-Regular"/>
          <w:sz w:val="32"/>
          <w:szCs w:val="32"/>
        </w:rPr>
        <w:t>和体育局</w:t>
      </w:r>
      <w:r w:rsidR="002F5BF5">
        <w:rPr>
          <w:rFonts w:ascii="仿宋_GB2312" w:eastAsia="仿宋_GB2312" w:cs="DengXian-Regular" w:hint="eastAsia"/>
          <w:sz w:val="32"/>
          <w:szCs w:val="32"/>
        </w:rPr>
        <w:t>201</w:t>
      </w:r>
      <w:r>
        <w:rPr>
          <w:rFonts w:ascii="仿宋_GB2312" w:eastAsia="仿宋_GB2312" w:cs="DengXian-Regular" w:hint="eastAsia"/>
          <w:sz w:val="32"/>
          <w:szCs w:val="32"/>
        </w:rPr>
        <w:t>9</w:t>
      </w:r>
      <w:r w:rsidR="002F5BF5">
        <w:rPr>
          <w:rFonts w:ascii="仿宋_GB2312" w:eastAsia="仿宋_GB2312" w:cs="DengXian-Regular" w:hint="eastAsia"/>
          <w:sz w:val="32"/>
          <w:szCs w:val="32"/>
        </w:rPr>
        <w:t>年部门整体支出综合评价得分为</w:t>
      </w:r>
      <w:r w:rsidR="0051727D">
        <w:rPr>
          <w:rFonts w:ascii="仿宋_GB2312" w:eastAsia="仿宋_GB2312" w:cs="DengXian-Regular"/>
          <w:sz w:val="32"/>
          <w:szCs w:val="32"/>
        </w:rPr>
        <w:t>93.12</w:t>
      </w:r>
      <w:r w:rsidR="002F5BF5">
        <w:rPr>
          <w:rFonts w:ascii="仿宋_GB2312" w:eastAsia="仿宋_GB2312" w:cs="DengXian-Regular" w:hint="eastAsia"/>
          <w:sz w:val="32"/>
          <w:szCs w:val="32"/>
        </w:rPr>
        <w:t>分，评价等级为</w:t>
      </w:r>
      <w:r w:rsidR="002F5BF5" w:rsidRPr="0051727D">
        <w:rPr>
          <w:rFonts w:ascii="仿宋_GB2312" w:eastAsia="仿宋_GB2312" w:cs="DengXian-Regular" w:hint="eastAsia"/>
          <w:sz w:val="32"/>
          <w:szCs w:val="32"/>
        </w:rPr>
        <w:t>“</w:t>
      </w:r>
      <w:r w:rsidR="0051727D" w:rsidRPr="0051727D">
        <w:rPr>
          <w:rFonts w:ascii="仿宋_GB2312" w:eastAsia="仿宋_GB2312" w:cs="DengXian-Regular" w:hint="eastAsia"/>
          <w:sz w:val="32"/>
          <w:szCs w:val="32"/>
        </w:rPr>
        <w:t>优</w:t>
      </w:r>
      <w:r w:rsidR="002F5BF5" w:rsidRPr="0051727D">
        <w:rPr>
          <w:rFonts w:ascii="仿宋_GB2312" w:eastAsia="仿宋_GB2312" w:cs="DengXian-Regular" w:hint="eastAsia"/>
          <w:sz w:val="32"/>
          <w:szCs w:val="32"/>
        </w:rPr>
        <w:t>”</w:t>
      </w:r>
      <w:r w:rsidR="002F5BF5">
        <w:rPr>
          <w:rFonts w:ascii="仿宋_GB2312" w:eastAsia="仿宋_GB2312" w:cs="DengXian-Regular" w:hint="eastAsia"/>
          <w:sz w:val="32"/>
          <w:szCs w:val="32"/>
        </w:rPr>
        <w:t>。</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经评价，</w:t>
      </w:r>
      <w:proofErr w:type="gramStart"/>
      <w:r w:rsidR="00994737">
        <w:rPr>
          <w:rFonts w:ascii="仿宋_GB2312" w:eastAsia="仿宋_GB2312" w:cs="DengXian-Regular" w:hint="eastAsia"/>
          <w:sz w:val="32"/>
          <w:szCs w:val="32"/>
        </w:rPr>
        <w:t>区</w:t>
      </w:r>
      <w:r w:rsidR="00BB04D7">
        <w:rPr>
          <w:rFonts w:ascii="仿宋_GB2312" w:eastAsia="仿宋_GB2312" w:cs="DengXian-Regular" w:hint="eastAsia"/>
          <w:sz w:val="32"/>
          <w:szCs w:val="32"/>
        </w:rPr>
        <w:t>教体</w:t>
      </w:r>
      <w:r w:rsidR="00BB04D7">
        <w:rPr>
          <w:rFonts w:ascii="仿宋_GB2312" w:eastAsia="仿宋_GB2312" w:cs="DengXian-Regular"/>
          <w:sz w:val="32"/>
          <w:szCs w:val="32"/>
        </w:rPr>
        <w:t>局</w:t>
      </w:r>
      <w:proofErr w:type="gramEnd"/>
      <w:r>
        <w:rPr>
          <w:rFonts w:ascii="仿宋_GB2312" w:eastAsia="仿宋_GB2312" w:cs="DengXian-Regular" w:hint="eastAsia"/>
          <w:sz w:val="32"/>
          <w:szCs w:val="32"/>
        </w:rPr>
        <w:t>201</w:t>
      </w:r>
      <w:r w:rsidR="00994737">
        <w:rPr>
          <w:rFonts w:ascii="仿宋_GB2312" w:eastAsia="仿宋_GB2312" w:cs="DengXian-Regular" w:hint="eastAsia"/>
          <w:sz w:val="32"/>
          <w:szCs w:val="32"/>
        </w:rPr>
        <w:t>9</w:t>
      </w:r>
      <w:r>
        <w:rPr>
          <w:rFonts w:ascii="仿宋_GB2312" w:eastAsia="仿宋_GB2312" w:cs="DengXian-Regular" w:hint="eastAsia"/>
          <w:sz w:val="32"/>
          <w:szCs w:val="32"/>
        </w:rPr>
        <w:t>年部门预算编制完整性、项目预算细化率、在职人员控制率、收入完成率、财政拨款支出完成率、“三公经费”控制率、资金使用合</w:t>
      </w:r>
      <w:proofErr w:type="gramStart"/>
      <w:r>
        <w:rPr>
          <w:rFonts w:ascii="仿宋_GB2312" w:eastAsia="仿宋_GB2312" w:cs="DengXian-Regular" w:hint="eastAsia"/>
          <w:sz w:val="32"/>
          <w:szCs w:val="32"/>
        </w:rPr>
        <w:t>规</w:t>
      </w:r>
      <w:proofErr w:type="gramEnd"/>
      <w:r>
        <w:rPr>
          <w:rFonts w:ascii="仿宋_GB2312" w:eastAsia="仿宋_GB2312" w:cs="DengXian-Regular" w:hint="eastAsia"/>
          <w:sz w:val="32"/>
          <w:szCs w:val="32"/>
        </w:rPr>
        <w:t>性、决算真实性、管理制度健全性、预决算信息公开、资产管理规范性、绩效自评覆盖率、绩效评价优等率、结转结余率、部门整体效益等指标完成情况较好。</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通过本次绩效评价工作，发现</w:t>
      </w:r>
      <w:r w:rsidR="00FE44CF">
        <w:rPr>
          <w:rFonts w:ascii="仿宋_GB2312" w:eastAsia="仿宋_GB2312" w:cs="DengXian-Regular" w:hint="eastAsia"/>
          <w:sz w:val="32"/>
          <w:szCs w:val="32"/>
        </w:rPr>
        <w:t>我</w:t>
      </w:r>
      <w:r w:rsidR="00994737">
        <w:rPr>
          <w:rFonts w:ascii="仿宋_GB2312" w:eastAsia="仿宋_GB2312" w:cs="DengXian-Regular" w:hint="eastAsia"/>
          <w:sz w:val="32"/>
          <w:szCs w:val="32"/>
        </w:rPr>
        <w:t>单位</w:t>
      </w:r>
      <w:r>
        <w:rPr>
          <w:rFonts w:ascii="仿宋_GB2312" w:eastAsia="仿宋_GB2312" w:cs="DengXian-Regular" w:hint="eastAsia"/>
          <w:sz w:val="32"/>
          <w:szCs w:val="32"/>
        </w:rPr>
        <w:t>在以下几个方面存在一些不足之处，具体如下：</w:t>
      </w:r>
    </w:p>
    <w:p w:rsidR="00852C43" w:rsidRDefault="007E28ED">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w:t>
      </w:r>
      <w:r w:rsidR="002F5BF5">
        <w:rPr>
          <w:rFonts w:ascii="仿宋_GB2312" w:eastAsia="仿宋_GB2312" w:cs="DengXian-Regular" w:hint="eastAsia"/>
          <w:sz w:val="32"/>
          <w:szCs w:val="32"/>
        </w:rPr>
        <w:t>.</w:t>
      </w:r>
      <w:r w:rsidR="00056E24">
        <w:rPr>
          <w:rFonts w:ascii="仿宋_GB2312" w:eastAsia="仿宋_GB2312" w:cs="DengXian-Regular" w:hint="eastAsia"/>
          <w:sz w:val="32"/>
          <w:szCs w:val="32"/>
        </w:rPr>
        <w:t>提高预算项目</w:t>
      </w:r>
      <w:r w:rsidR="00056E24">
        <w:rPr>
          <w:rFonts w:ascii="仿宋_GB2312" w:eastAsia="仿宋_GB2312" w:cs="DengXian-Regular"/>
          <w:sz w:val="32"/>
          <w:szCs w:val="32"/>
        </w:rPr>
        <w:t>细化率</w:t>
      </w:r>
    </w:p>
    <w:p w:rsidR="00852C43" w:rsidRDefault="007E28ED">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w:t>
      </w:r>
      <w:r w:rsidR="002F5BF5">
        <w:rPr>
          <w:rFonts w:ascii="仿宋_GB2312" w:eastAsia="仿宋_GB2312" w:cs="DengXian-Regular" w:hint="eastAsia"/>
          <w:sz w:val="32"/>
          <w:szCs w:val="32"/>
        </w:rPr>
        <w:t>.项目资金使用率</w:t>
      </w:r>
    </w:p>
    <w:p w:rsidR="00852C43" w:rsidRDefault="007E28ED">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w:t>
      </w:r>
      <w:r w:rsidR="002F5BF5">
        <w:rPr>
          <w:rFonts w:ascii="仿宋_GB2312" w:eastAsia="仿宋_GB2312" w:cs="DengXian-Regular" w:hint="eastAsia"/>
          <w:sz w:val="32"/>
          <w:szCs w:val="32"/>
        </w:rPr>
        <w:t>.部分基础数据信息</w:t>
      </w:r>
      <w:r w:rsidR="00FE44CF">
        <w:rPr>
          <w:rFonts w:ascii="仿宋_GB2312" w:eastAsia="仿宋_GB2312" w:cs="DengXian-Regular" w:hint="eastAsia"/>
          <w:sz w:val="32"/>
          <w:szCs w:val="32"/>
        </w:rPr>
        <w:t>方面</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针对此次绩效评价过程中发现的问题，</w:t>
      </w:r>
      <w:proofErr w:type="gramStart"/>
      <w:r w:rsidR="005C2278">
        <w:rPr>
          <w:rFonts w:ascii="仿宋_GB2312" w:eastAsia="仿宋_GB2312" w:cs="DengXian-Regular" w:hint="eastAsia"/>
          <w:sz w:val="32"/>
          <w:szCs w:val="32"/>
        </w:rPr>
        <w:t>我部门</w:t>
      </w:r>
      <w:proofErr w:type="gramEnd"/>
      <w:r w:rsidR="005C2278">
        <w:rPr>
          <w:rFonts w:ascii="仿宋_GB2312" w:eastAsia="仿宋_GB2312" w:cs="DengXian-Regular"/>
          <w:sz w:val="32"/>
          <w:szCs w:val="32"/>
        </w:rPr>
        <w:t>计划采取以下措施</w:t>
      </w:r>
      <w:r>
        <w:rPr>
          <w:rFonts w:ascii="仿宋_GB2312" w:eastAsia="仿宋_GB2312" w:cs="DengXian-Regular" w:hint="eastAsia"/>
          <w:sz w:val="32"/>
          <w:szCs w:val="32"/>
        </w:rPr>
        <w:t>：</w:t>
      </w:r>
    </w:p>
    <w:p w:rsidR="00852C43" w:rsidRDefault="007E28ED">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w:t>
      </w:r>
      <w:r w:rsidR="002F5BF5">
        <w:rPr>
          <w:rFonts w:ascii="仿宋_GB2312" w:eastAsia="仿宋_GB2312" w:cs="DengXian-Regular" w:hint="eastAsia"/>
          <w:sz w:val="32"/>
          <w:szCs w:val="32"/>
        </w:rPr>
        <w:t>.提高预算编制质量</w:t>
      </w:r>
    </w:p>
    <w:p w:rsidR="00852C43" w:rsidRDefault="002F5BF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部门预算编制工作要全面反映和体现部门职责，根据具体情况及时调整预算的编制，缩小预算与决算差额，减少中期预算追加，提高预算编制质量，发挥预算约束作用。</w:t>
      </w:r>
    </w:p>
    <w:p w:rsidR="00852C43" w:rsidRDefault="007E28ED">
      <w:pPr>
        <w:spacing w:after="0" w:line="360" w:lineRule="auto"/>
        <w:ind w:firstLineChars="200" w:firstLine="640"/>
        <w:jc w:val="both"/>
        <w:textAlignment w:val="baseline"/>
        <w:rPr>
          <w:rFonts w:ascii="仿宋_GB2312" w:eastAsia="仿宋_GB2312" w:cs="DengXian-Regular"/>
          <w:sz w:val="32"/>
          <w:szCs w:val="32"/>
        </w:rPr>
      </w:pPr>
      <w:bookmarkStart w:id="2" w:name="_Toc4346"/>
      <w:r>
        <w:rPr>
          <w:rFonts w:ascii="仿宋_GB2312" w:eastAsia="仿宋_GB2312" w:cs="DengXian-Regular" w:hint="eastAsia"/>
          <w:sz w:val="32"/>
          <w:szCs w:val="32"/>
        </w:rPr>
        <w:t>2</w:t>
      </w:r>
      <w:r w:rsidR="002F5BF5">
        <w:rPr>
          <w:rFonts w:ascii="仿宋_GB2312" w:eastAsia="仿宋_GB2312" w:cs="DengXian-Regular" w:hint="eastAsia"/>
          <w:sz w:val="32"/>
          <w:szCs w:val="32"/>
        </w:rPr>
        <w:t>.提高项目资金使用率</w:t>
      </w:r>
    </w:p>
    <w:p w:rsidR="00852C43" w:rsidRDefault="005C2278">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加强</w:t>
      </w:r>
      <w:r w:rsidR="002F5BF5">
        <w:rPr>
          <w:rFonts w:ascii="仿宋_GB2312" w:eastAsia="仿宋_GB2312" w:hAnsiTheme="minorEastAsia" w:cs="Times New Roman" w:hint="eastAsia"/>
          <w:sz w:val="32"/>
          <w:szCs w:val="32"/>
          <w:u w:color="000000"/>
        </w:rPr>
        <w:t>对项目资金</w:t>
      </w:r>
      <w:r>
        <w:rPr>
          <w:rFonts w:ascii="仿宋_GB2312" w:eastAsia="仿宋_GB2312" w:hAnsiTheme="minorEastAsia" w:cs="Times New Roman" w:hint="eastAsia"/>
          <w:sz w:val="32"/>
          <w:szCs w:val="32"/>
          <w:u w:color="000000"/>
        </w:rPr>
        <w:t>的</w:t>
      </w:r>
      <w:r w:rsidR="002F5BF5">
        <w:rPr>
          <w:rFonts w:ascii="仿宋_GB2312" w:eastAsia="仿宋_GB2312" w:hAnsiTheme="minorEastAsia" w:cs="Times New Roman" w:hint="eastAsia"/>
          <w:sz w:val="32"/>
          <w:szCs w:val="32"/>
          <w:u w:color="000000"/>
        </w:rPr>
        <w:t>梳理，督促项目进度和资金</w:t>
      </w:r>
      <w:r>
        <w:rPr>
          <w:rFonts w:ascii="仿宋_GB2312" w:eastAsia="仿宋_GB2312" w:hAnsiTheme="minorEastAsia" w:cs="Times New Roman" w:hint="eastAsia"/>
          <w:sz w:val="32"/>
          <w:szCs w:val="32"/>
          <w:u w:color="000000"/>
        </w:rPr>
        <w:t>支付</w:t>
      </w:r>
      <w:r w:rsidR="002F5BF5">
        <w:rPr>
          <w:rFonts w:ascii="仿宋_GB2312" w:eastAsia="仿宋_GB2312" w:hAnsiTheme="minorEastAsia" w:cs="Times New Roman" w:hint="eastAsia"/>
          <w:sz w:val="32"/>
          <w:szCs w:val="32"/>
          <w:u w:color="000000"/>
        </w:rPr>
        <w:t>进度，对于按规定可以结转至下年的中央及省级项目资金，在下年的项目安排时优先考虑。</w:t>
      </w:r>
    </w:p>
    <w:p w:rsidR="00852C43" w:rsidRDefault="007E28ED">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w:t>
      </w:r>
      <w:r w:rsidR="002F5BF5">
        <w:rPr>
          <w:rFonts w:ascii="仿宋_GB2312" w:eastAsia="仿宋_GB2312" w:cs="DengXian-Regular"/>
          <w:sz w:val="32"/>
          <w:szCs w:val="32"/>
        </w:rPr>
        <w:t>.完善基础信息管理</w:t>
      </w:r>
    </w:p>
    <w:p w:rsidR="00C362D5" w:rsidRDefault="002F5BF5" w:rsidP="00C362D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sz w:val="32"/>
          <w:szCs w:val="32"/>
        </w:rPr>
        <w:t>严格按照档案管理的相关规定对基础数据信息档案资料及时归档保存，保证项目资料的完整性和</w:t>
      </w:r>
      <w:proofErr w:type="gramStart"/>
      <w:r>
        <w:rPr>
          <w:rFonts w:ascii="仿宋_GB2312" w:eastAsia="仿宋_GB2312" w:cs="DengXian-Regular"/>
          <w:sz w:val="32"/>
          <w:szCs w:val="32"/>
        </w:rPr>
        <w:t>可</w:t>
      </w:r>
      <w:proofErr w:type="gramEnd"/>
      <w:r>
        <w:rPr>
          <w:rFonts w:ascii="仿宋_GB2312" w:eastAsia="仿宋_GB2312" w:cs="DengXian-Regular"/>
          <w:sz w:val="32"/>
          <w:szCs w:val="32"/>
        </w:rPr>
        <w:t>查阅性。</w:t>
      </w:r>
    </w:p>
    <w:p w:rsidR="00C362D5" w:rsidRPr="00C362D5" w:rsidRDefault="006A29DD" w:rsidP="006A29DD">
      <w:pPr>
        <w:adjustRightInd/>
        <w:snapToGrid/>
        <w:spacing w:after="0"/>
        <w:rPr>
          <w:rFonts w:ascii="仿宋_GB2312" w:eastAsia="仿宋_GB2312" w:cs="DengXian-Regular" w:hint="eastAsia"/>
          <w:sz w:val="32"/>
          <w:szCs w:val="32"/>
        </w:rPr>
      </w:pPr>
      <w:r>
        <w:rPr>
          <w:rFonts w:ascii="仿宋_GB2312" w:eastAsia="仿宋_GB2312" w:cs="DengXian-Regular"/>
          <w:sz w:val="32"/>
          <w:szCs w:val="32"/>
        </w:rPr>
        <w:br w:type="page"/>
      </w:r>
    </w:p>
    <w:p w:rsidR="00852C43" w:rsidRDefault="002F5BF5">
      <w:pPr>
        <w:pStyle w:val="2"/>
        <w:spacing w:line="540" w:lineRule="exact"/>
        <w:jc w:val="center"/>
        <w:rPr>
          <w:rFonts w:ascii="黑体" w:hAnsi="黑体"/>
          <w:b w:val="0"/>
        </w:rPr>
      </w:pPr>
      <w:r>
        <w:rPr>
          <w:rFonts w:ascii="黑体" w:hAnsi="黑体" w:hint="eastAsia"/>
          <w:b w:val="0"/>
        </w:rPr>
        <w:lastRenderedPageBreak/>
        <w:t>第二部分   绩效评价报告</w:t>
      </w:r>
      <w:bookmarkEnd w:id="2"/>
    </w:p>
    <w:p w:rsidR="00387237" w:rsidRPr="007D67FB" w:rsidRDefault="00387237" w:rsidP="00387237">
      <w:pPr>
        <w:pStyle w:val="2"/>
        <w:spacing w:before="0" w:after="0" w:line="360" w:lineRule="auto"/>
        <w:ind w:firstLineChars="200" w:firstLine="643"/>
        <w:rPr>
          <w:rFonts w:ascii="黑体"/>
        </w:rPr>
      </w:pPr>
      <w:bookmarkStart w:id="3" w:name="_Toc427"/>
      <w:bookmarkStart w:id="4" w:name="_Toc492652763"/>
      <w:r w:rsidRPr="007D67FB">
        <w:rPr>
          <w:rFonts w:ascii="黑体" w:hint="eastAsia"/>
        </w:rPr>
        <w:t>一、保定市徐水区</w:t>
      </w:r>
      <w:r w:rsidR="00E41C21" w:rsidRPr="007D67FB">
        <w:rPr>
          <w:rFonts w:ascii="黑体" w:hint="eastAsia"/>
        </w:rPr>
        <w:t>教育和</w:t>
      </w:r>
      <w:r w:rsidR="00E41C21" w:rsidRPr="007D67FB">
        <w:rPr>
          <w:rFonts w:ascii="黑体"/>
        </w:rPr>
        <w:t>体育局</w:t>
      </w:r>
      <w:r w:rsidRPr="007D67FB">
        <w:rPr>
          <w:rFonts w:ascii="黑体" w:hint="eastAsia"/>
        </w:rPr>
        <w:t>单位基本情况</w:t>
      </w:r>
      <w:bookmarkStart w:id="5" w:name="_Toc492652764"/>
      <w:bookmarkEnd w:id="3"/>
      <w:bookmarkEnd w:id="4"/>
    </w:p>
    <w:p w:rsidR="00387237" w:rsidRDefault="00387237" w:rsidP="00387237">
      <w:pPr>
        <w:pStyle w:val="3"/>
        <w:spacing w:before="0" w:after="0"/>
        <w:ind w:firstLineChars="200" w:firstLine="643"/>
        <w:jc w:val="both"/>
        <w:rPr>
          <w:rFonts w:ascii="仿宋_GB2312" w:hAnsi="Tahoma" w:cs="DengXian-Regular"/>
          <w:sz w:val="32"/>
        </w:rPr>
      </w:pPr>
      <w:bookmarkStart w:id="6" w:name="_Toc11473"/>
      <w:r>
        <w:rPr>
          <w:rFonts w:ascii="仿宋_GB2312" w:hAnsi="Tahoma" w:cs="DengXian-Regular" w:hint="eastAsia"/>
          <w:sz w:val="32"/>
        </w:rPr>
        <w:t>（一）部门职责和工作活动</w:t>
      </w:r>
      <w:bookmarkEnd w:id="5"/>
      <w:bookmarkEnd w:id="6"/>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根据中共保定市徐水区委办公室、保定市徐水区人民政府办公室关于印发《保定市徐水区</w:t>
      </w:r>
      <w:r w:rsidR="005445B2">
        <w:rPr>
          <w:rFonts w:ascii="仿宋_GB2312" w:eastAsia="仿宋_GB2312" w:cs="DengXian-Regular" w:hint="eastAsia"/>
          <w:sz w:val="32"/>
          <w:szCs w:val="32"/>
        </w:rPr>
        <w:t>教育和</w:t>
      </w:r>
      <w:r w:rsidR="005445B2">
        <w:rPr>
          <w:rFonts w:ascii="仿宋_GB2312" w:eastAsia="仿宋_GB2312" w:cs="DengXian-Regular"/>
          <w:sz w:val="32"/>
          <w:szCs w:val="32"/>
        </w:rPr>
        <w:t>体育局</w:t>
      </w:r>
      <w:r>
        <w:rPr>
          <w:rFonts w:ascii="仿宋_GB2312" w:eastAsia="仿宋_GB2312" w:cs="DengXian-Regular" w:hint="eastAsia"/>
          <w:sz w:val="32"/>
          <w:szCs w:val="32"/>
        </w:rPr>
        <w:t>职能配置</w:t>
      </w:r>
      <w:r w:rsidR="005445B2">
        <w:rPr>
          <w:rFonts w:ascii="仿宋_GB2312" w:eastAsia="仿宋_GB2312" w:cs="DengXian-Regular" w:hint="eastAsia"/>
          <w:sz w:val="32"/>
          <w:szCs w:val="32"/>
        </w:rPr>
        <w:t>、</w:t>
      </w:r>
      <w:r>
        <w:rPr>
          <w:rFonts w:ascii="仿宋_GB2312" w:eastAsia="仿宋_GB2312" w:cs="DengXian-Regular" w:hint="eastAsia"/>
          <w:sz w:val="32"/>
          <w:szCs w:val="32"/>
        </w:rPr>
        <w:t>内设机构和人员编制规定》的通知，</w:t>
      </w:r>
      <w:proofErr w:type="gramStart"/>
      <w:r>
        <w:rPr>
          <w:rFonts w:ascii="仿宋_GB2312" w:eastAsia="仿宋_GB2312" w:cs="DengXian-Regular" w:hint="eastAsia"/>
          <w:sz w:val="32"/>
          <w:szCs w:val="32"/>
        </w:rPr>
        <w:t>区</w:t>
      </w:r>
      <w:r w:rsidR="005445B2">
        <w:rPr>
          <w:rFonts w:ascii="仿宋_GB2312" w:eastAsia="仿宋_GB2312" w:cs="DengXian-Regular" w:hint="eastAsia"/>
          <w:sz w:val="32"/>
          <w:szCs w:val="32"/>
        </w:rPr>
        <w:t>教体</w:t>
      </w:r>
      <w:r w:rsidR="005445B2">
        <w:rPr>
          <w:rFonts w:ascii="仿宋_GB2312" w:eastAsia="仿宋_GB2312" w:cs="DengXian-Regular"/>
          <w:sz w:val="32"/>
          <w:szCs w:val="32"/>
        </w:rPr>
        <w:t>局</w:t>
      </w:r>
      <w:proofErr w:type="gramEnd"/>
      <w:r>
        <w:rPr>
          <w:rFonts w:ascii="仿宋_GB2312" w:eastAsia="仿宋_GB2312" w:cs="DengXian-Regular" w:hint="eastAsia"/>
          <w:sz w:val="32"/>
          <w:szCs w:val="32"/>
        </w:rPr>
        <w:t>为区</w:t>
      </w:r>
      <w:r w:rsidR="00D76390">
        <w:rPr>
          <w:rFonts w:ascii="仿宋_GB2312" w:eastAsia="仿宋_GB2312" w:cs="DengXian-Regular" w:hint="eastAsia"/>
          <w:sz w:val="32"/>
          <w:szCs w:val="32"/>
        </w:rPr>
        <w:t>全额</w:t>
      </w:r>
      <w:r w:rsidR="00D76390">
        <w:rPr>
          <w:rFonts w:ascii="仿宋_GB2312" w:eastAsia="仿宋_GB2312" w:cs="DengXian-Regular"/>
          <w:sz w:val="32"/>
          <w:szCs w:val="32"/>
        </w:rPr>
        <w:t>事业</w:t>
      </w:r>
      <w:r>
        <w:rPr>
          <w:rFonts w:ascii="仿宋_GB2312" w:eastAsia="仿宋_GB2312" w:cs="DengXian-Regular" w:hint="eastAsia"/>
          <w:sz w:val="32"/>
          <w:szCs w:val="32"/>
        </w:rPr>
        <w:t>单位，下设</w:t>
      </w:r>
      <w:r w:rsidR="00D76390">
        <w:rPr>
          <w:rFonts w:ascii="仿宋_GB2312" w:eastAsia="仿宋_GB2312" w:cs="DengXian-Regular"/>
          <w:sz w:val="32"/>
          <w:szCs w:val="32"/>
        </w:rPr>
        <w:t>6</w:t>
      </w:r>
      <w:r>
        <w:rPr>
          <w:rFonts w:ascii="仿宋_GB2312" w:eastAsia="仿宋_GB2312" w:cs="DengXian-Regular" w:hint="eastAsia"/>
          <w:sz w:val="32"/>
          <w:szCs w:val="32"/>
        </w:rPr>
        <w:t>个股室。</w:t>
      </w:r>
      <w:proofErr w:type="gramStart"/>
      <w:r w:rsidR="00D76390">
        <w:rPr>
          <w:rFonts w:ascii="仿宋_GB2312" w:eastAsia="仿宋_GB2312" w:cs="DengXian-Regular" w:hint="eastAsia"/>
          <w:sz w:val="32"/>
          <w:szCs w:val="32"/>
        </w:rPr>
        <w:t>教体</w:t>
      </w:r>
      <w:r w:rsidR="00D76390">
        <w:rPr>
          <w:rFonts w:ascii="仿宋_GB2312" w:eastAsia="仿宋_GB2312" w:cs="DengXian-Regular"/>
          <w:sz w:val="32"/>
          <w:szCs w:val="32"/>
        </w:rPr>
        <w:t>局</w:t>
      </w:r>
      <w:proofErr w:type="gramEnd"/>
      <w:r>
        <w:rPr>
          <w:rFonts w:ascii="仿宋_GB2312" w:eastAsia="仿宋_GB2312" w:cs="DengXian-Regular" w:hint="eastAsia"/>
          <w:sz w:val="32"/>
          <w:szCs w:val="32"/>
        </w:rPr>
        <w:t>根据绩效预算管理改革的相关要求，按照“部门职责—工作活动绩效目标”的层级设立了绩效预算架构，职责活动包括</w:t>
      </w:r>
      <w:r w:rsidR="00D415D4">
        <w:rPr>
          <w:rFonts w:ascii="仿宋_GB2312" w:eastAsia="仿宋_GB2312" w:cs="DengXian-Regular" w:hint="eastAsia"/>
          <w:sz w:val="32"/>
          <w:szCs w:val="32"/>
        </w:rPr>
        <w:t>学前</w:t>
      </w:r>
      <w:r w:rsidR="00D415D4">
        <w:rPr>
          <w:rFonts w:ascii="仿宋_GB2312" w:eastAsia="仿宋_GB2312" w:cs="DengXian-Regular"/>
          <w:sz w:val="32"/>
          <w:szCs w:val="32"/>
        </w:rPr>
        <w:t>教育、义务教育、</w:t>
      </w:r>
      <w:r w:rsidR="00D415D4">
        <w:rPr>
          <w:rFonts w:ascii="仿宋_GB2312" w:eastAsia="仿宋_GB2312" w:cs="DengXian-Regular" w:hint="eastAsia"/>
          <w:sz w:val="32"/>
          <w:szCs w:val="32"/>
        </w:rPr>
        <w:t>普通</w:t>
      </w:r>
      <w:r w:rsidR="00D415D4">
        <w:rPr>
          <w:rFonts w:ascii="仿宋_GB2312" w:eastAsia="仿宋_GB2312" w:cs="DengXian-Regular"/>
          <w:sz w:val="32"/>
          <w:szCs w:val="32"/>
        </w:rPr>
        <w:t>高中教育、</w:t>
      </w:r>
      <w:r w:rsidR="00D415D4">
        <w:rPr>
          <w:rFonts w:ascii="仿宋_GB2312" w:eastAsia="仿宋_GB2312" w:cs="DengXian-Regular" w:hint="eastAsia"/>
          <w:sz w:val="32"/>
          <w:szCs w:val="32"/>
        </w:rPr>
        <w:t>职</w:t>
      </w:r>
      <w:r w:rsidR="00D415D4">
        <w:rPr>
          <w:rFonts w:ascii="仿宋_GB2312" w:eastAsia="仿宋_GB2312" w:cs="DengXian-Regular"/>
          <w:sz w:val="32"/>
          <w:szCs w:val="32"/>
        </w:rPr>
        <w:t>业教育、</w:t>
      </w:r>
      <w:r w:rsidR="00D415D4">
        <w:rPr>
          <w:rFonts w:ascii="仿宋_GB2312" w:eastAsia="仿宋_GB2312" w:cs="DengXian-Regular" w:hint="eastAsia"/>
          <w:sz w:val="32"/>
          <w:szCs w:val="32"/>
        </w:rPr>
        <w:t>教师</w:t>
      </w:r>
      <w:r w:rsidR="00D415D4">
        <w:rPr>
          <w:rFonts w:ascii="仿宋_GB2312" w:eastAsia="仿宋_GB2312" w:cs="DengXian-Regular"/>
          <w:sz w:val="32"/>
          <w:szCs w:val="32"/>
        </w:rPr>
        <w:t>队伍建设</w:t>
      </w:r>
      <w:r w:rsidR="00D415D4">
        <w:rPr>
          <w:rFonts w:ascii="仿宋_GB2312" w:eastAsia="仿宋_GB2312" w:cs="DengXian-Regular" w:hint="eastAsia"/>
          <w:sz w:val="32"/>
          <w:szCs w:val="32"/>
        </w:rPr>
        <w:t>、</w:t>
      </w:r>
      <w:r w:rsidR="00D415D4">
        <w:rPr>
          <w:rFonts w:ascii="仿宋_GB2312" w:eastAsia="仿宋_GB2312" w:cs="DengXian-Regular"/>
          <w:sz w:val="32"/>
          <w:szCs w:val="32"/>
        </w:rPr>
        <w:t>社会体育管理等</w:t>
      </w:r>
      <w:r>
        <w:rPr>
          <w:rFonts w:ascii="仿宋_GB2312" w:eastAsia="仿宋_GB2312" w:cs="DengXian-Regular" w:hint="eastAsia"/>
          <w:sz w:val="32"/>
          <w:szCs w:val="32"/>
        </w:rPr>
        <w:t>。</w:t>
      </w:r>
      <w:bookmarkStart w:id="7" w:name="_Toc465149499"/>
      <w:bookmarkStart w:id="8" w:name="_Toc492652765"/>
    </w:p>
    <w:p w:rsidR="00387237" w:rsidRDefault="00387237" w:rsidP="00387237">
      <w:pPr>
        <w:pStyle w:val="3"/>
        <w:spacing w:before="0" w:after="0"/>
        <w:ind w:firstLineChars="200" w:firstLine="643"/>
        <w:jc w:val="both"/>
        <w:rPr>
          <w:rFonts w:ascii="仿宋_GB2312" w:hAnsi="Tahoma" w:cs="DengXian-Regular"/>
          <w:sz w:val="32"/>
        </w:rPr>
      </w:pPr>
      <w:bookmarkStart w:id="9" w:name="_Toc7075"/>
      <w:r>
        <w:rPr>
          <w:rFonts w:ascii="仿宋_GB2312" w:hAnsi="Tahoma" w:cs="DengXian-Regular" w:hint="eastAsia"/>
          <w:sz w:val="32"/>
        </w:rPr>
        <w:t>（二）</w:t>
      </w:r>
      <w:bookmarkEnd w:id="7"/>
      <w:r>
        <w:rPr>
          <w:rFonts w:ascii="仿宋_GB2312" w:hAnsi="Tahoma" w:cs="DengXian-Regular" w:hint="eastAsia"/>
          <w:sz w:val="32"/>
        </w:rPr>
        <w:t>部门年度发展规划总体目标和职责分类绩效目标</w:t>
      </w:r>
      <w:bookmarkEnd w:id="8"/>
      <w:bookmarkEnd w:id="9"/>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按照2019年绩效预算编制要求，</w:t>
      </w:r>
      <w:r w:rsidR="001F6C4C">
        <w:rPr>
          <w:rFonts w:ascii="仿宋_GB2312" w:eastAsia="仿宋_GB2312" w:cs="DengXian-Regular" w:hint="eastAsia"/>
          <w:sz w:val="32"/>
          <w:szCs w:val="32"/>
        </w:rPr>
        <w:t>区</w:t>
      </w:r>
      <w:r w:rsidR="003826F8">
        <w:rPr>
          <w:rFonts w:ascii="仿宋_GB2312" w:eastAsia="仿宋_GB2312" w:cs="DengXian-Regular" w:hint="eastAsia"/>
          <w:sz w:val="32"/>
          <w:szCs w:val="32"/>
        </w:rPr>
        <w:t>教体</w:t>
      </w:r>
      <w:r w:rsidR="003826F8">
        <w:rPr>
          <w:rFonts w:ascii="仿宋_GB2312" w:eastAsia="仿宋_GB2312" w:cs="DengXian-Regular"/>
          <w:sz w:val="32"/>
          <w:szCs w:val="32"/>
        </w:rPr>
        <w:t>局</w:t>
      </w:r>
      <w:r>
        <w:rPr>
          <w:rFonts w:ascii="仿宋_GB2312" w:eastAsia="仿宋_GB2312" w:cs="DengXian-Regular" w:hint="eastAsia"/>
          <w:sz w:val="32"/>
          <w:szCs w:val="32"/>
        </w:rPr>
        <w:t>设置的年度发展规划总体目标为：</w:t>
      </w:r>
    </w:p>
    <w:p w:rsidR="00AB6F8A"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负责贯彻执行党和国家关于制定</w:t>
      </w:r>
      <w:proofErr w:type="gramStart"/>
      <w:r w:rsidR="00026896">
        <w:rPr>
          <w:rFonts w:ascii="仿宋_GB2312" w:eastAsia="仿宋_GB2312" w:cs="DengXian-Regular" w:hint="eastAsia"/>
          <w:sz w:val="32"/>
          <w:szCs w:val="32"/>
        </w:rPr>
        <w:t>教体部门</w:t>
      </w:r>
      <w:proofErr w:type="gramEnd"/>
      <w:r>
        <w:rPr>
          <w:rFonts w:ascii="仿宋_GB2312" w:eastAsia="仿宋_GB2312" w:cs="DengXian-Regular" w:hint="eastAsia"/>
          <w:sz w:val="32"/>
          <w:szCs w:val="32"/>
        </w:rPr>
        <w:t>工作要点，并监督实施。指导全区</w:t>
      </w:r>
      <w:r w:rsidR="00026896">
        <w:rPr>
          <w:rFonts w:ascii="仿宋_GB2312" w:eastAsia="仿宋_GB2312" w:cs="DengXian-Regular" w:hint="eastAsia"/>
          <w:sz w:val="32"/>
          <w:szCs w:val="32"/>
        </w:rPr>
        <w:t>教育</w:t>
      </w:r>
      <w:r w:rsidR="00026896">
        <w:rPr>
          <w:rFonts w:ascii="仿宋_GB2312" w:eastAsia="仿宋_GB2312" w:cs="DengXian-Regular"/>
          <w:sz w:val="32"/>
          <w:szCs w:val="32"/>
        </w:rPr>
        <w:t>体育</w:t>
      </w:r>
      <w:r>
        <w:rPr>
          <w:rFonts w:ascii="仿宋_GB2312" w:eastAsia="仿宋_GB2312" w:cs="DengXian-Regular" w:hint="eastAsia"/>
          <w:sz w:val="32"/>
          <w:szCs w:val="32"/>
        </w:rPr>
        <w:t>工作。制定</w:t>
      </w:r>
      <w:r w:rsidR="003F28B0">
        <w:rPr>
          <w:rFonts w:ascii="仿宋_GB2312" w:eastAsia="仿宋_GB2312" w:cs="DengXian-Regular" w:hint="eastAsia"/>
          <w:sz w:val="32"/>
          <w:szCs w:val="32"/>
        </w:rPr>
        <w:t>教育体育</w:t>
      </w:r>
      <w:r>
        <w:rPr>
          <w:rFonts w:ascii="仿宋_GB2312" w:eastAsia="仿宋_GB2312" w:cs="DengXian-Regular" w:hint="eastAsia"/>
          <w:sz w:val="32"/>
          <w:szCs w:val="32"/>
        </w:rPr>
        <w:t>规划并组织实施，指导检查全区</w:t>
      </w:r>
      <w:r w:rsidR="003F28B0">
        <w:rPr>
          <w:rFonts w:ascii="仿宋_GB2312" w:eastAsia="仿宋_GB2312" w:cs="DengXian-Regular" w:hint="eastAsia"/>
          <w:sz w:val="32"/>
          <w:szCs w:val="32"/>
        </w:rPr>
        <w:t>教育和</w:t>
      </w:r>
      <w:r w:rsidR="003F28B0">
        <w:rPr>
          <w:rFonts w:ascii="仿宋_GB2312" w:eastAsia="仿宋_GB2312" w:cs="DengXian-Regular"/>
          <w:sz w:val="32"/>
          <w:szCs w:val="32"/>
        </w:rPr>
        <w:t>体育</w:t>
      </w:r>
      <w:r>
        <w:rPr>
          <w:rFonts w:ascii="仿宋_GB2312" w:eastAsia="仿宋_GB2312" w:cs="DengXian-Regular" w:hint="eastAsia"/>
          <w:sz w:val="32"/>
          <w:szCs w:val="32"/>
        </w:rPr>
        <w:t>工作。</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职责分类绩效目标为：</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w:t>
      </w:r>
      <w:r w:rsidR="00211CB4" w:rsidRPr="00211CB4">
        <w:rPr>
          <w:rFonts w:ascii="仿宋" w:eastAsia="仿宋" w:hAnsi="仿宋" w:cs="Times New Roman" w:hint="eastAsia"/>
          <w:sz w:val="32"/>
          <w:szCs w:val="32"/>
        </w:rPr>
        <w:t xml:space="preserve"> </w:t>
      </w:r>
      <w:r w:rsidR="00211CB4" w:rsidRPr="006A41A9">
        <w:rPr>
          <w:rFonts w:ascii="仿宋" w:eastAsia="仿宋" w:hAnsi="仿宋" w:cs="Times New Roman" w:hint="eastAsia"/>
          <w:sz w:val="32"/>
          <w:szCs w:val="32"/>
        </w:rPr>
        <w:t>扩大学前教育资源</w:t>
      </w:r>
      <w:r>
        <w:rPr>
          <w:rFonts w:ascii="仿宋_GB2312" w:eastAsia="仿宋_GB2312" w:cs="DengXian-Regular" w:hint="eastAsia"/>
          <w:sz w:val="32"/>
          <w:szCs w:val="32"/>
        </w:rPr>
        <w:t>。</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w:t>
      </w:r>
      <w:r w:rsidR="00211CB4" w:rsidRPr="00211CB4">
        <w:rPr>
          <w:rFonts w:ascii="仿宋" w:eastAsia="仿宋" w:hAnsi="仿宋" w:cs="Times New Roman" w:hint="eastAsia"/>
          <w:sz w:val="32"/>
          <w:szCs w:val="32"/>
        </w:rPr>
        <w:t xml:space="preserve"> </w:t>
      </w:r>
      <w:r w:rsidR="00211CB4" w:rsidRPr="006A41A9">
        <w:rPr>
          <w:rFonts w:ascii="仿宋" w:eastAsia="仿宋" w:hAnsi="仿宋" w:cs="Times New Roman" w:hint="eastAsia"/>
          <w:sz w:val="32"/>
          <w:szCs w:val="32"/>
        </w:rPr>
        <w:t>发展城乡义务教育</w:t>
      </w:r>
      <w:r w:rsidR="00211CB4">
        <w:rPr>
          <w:rFonts w:ascii="仿宋" w:eastAsia="仿宋" w:hAnsi="仿宋" w:cs="Times New Roman" w:hint="eastAsia"/>
          <w:sz w:val="32"/>
          <w:szCs w:val="32"/>
        </w:rPr>
        <w:t>、</w:t>
      </w:r>
      <w:r w:rsidR="00211CB4" w:rsidRPr="006A41A9">
        <w:rPr>
          <w:rFonts w:ascii="仿宋" w:eastAsia="仿宋" w:hAnsi="仿宋" w:cs="Times New Roman" w:hint="eastAsia"/>
          <w:sz w:val="32"/>
          <w:szCs w:val="32"/>
        </w:rPr>
        <w:t>改善薄弱学校办学条件</w:t>
      </w:r>
      <w:r>
        <w:rPr>
          <w:rFonts w:ascii="仿宋_GB2312" w:eastAsia="仿宋_GB2312" w:cs="DengXian-Regular" w:hint="eastAsia"/>
          <w:sz w:val="32"/>
          <w:szCs w:val="32"/>
        </w:rPr>
        <w:t>。</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w:t>
      </w:r>
      <w:r w:rsidR="00545CCC" w:rsidRPr="00545CCC">
        <w:rPr>
          <w:rFonts w:ascii="仿宋" w:eastAsia="仿宋" w:hAnsi="仿宋" w:cs="Times New Roman" w:hint="eastAsia"/>
          <w:sz w:val="32"/>
          <w:szCs w:val="32"/>
        </w:rPr>
        <w:t xml:space="preserve"> </w:t>
      </w:r>
      <w:r w:rsidR="00545CCC" w:rsidRPr="006A41A9">
        <w:rPr>
          <w:rFonts w:ascii="仿宋" w:eastAsia="仿宋" w:hAnsi="仿宋" w:cs="Times New Roman" w:hint="eastAsia"/>
          <w:sz w:val="32"/>
          <w:szCs w:val="32"/>
        </w:rPr>
        <w:t>改善普通高中办学条件和学生资助</w:t>
      </w:r>
      <w:r>
        <w:rPr>
          <w:rFonts w:ascii="仿宋_GB2312" w:eastAsia="仿宋_GB2312" w:cs="DengXian-Regular" w:hint="eastAsia"/>
          <w:sz w:val="32"/>
          <w:szCs w:val="32"/>
        </w:rPr>
        <w:t>。</w:t>
      </w:r>
      <w:bookmarkStart w:id="10" w:name="_Toc1678"/>
      <w:bookmarkStart w:id="11" w:name="_Toc465149500"/>
      <w:bookmarkStart w:id="12" w:name="_Toc492652766"/>
    </w:p>
    <w:p w:rsidR="00545CCC" w:rsidRDefault="00545CCC" w:rsidP="00387237">
      <w:pPr>
        <w:spacing w:after="0" w:line="360" w:lineRule="auto"/>
        <w:ind w:firstLineChars="200" w:firstLine="640"/>
        <w:jc w:val="both"/>
        <w:textAlignment w:val="baseline"/>
        <w:rPr>
          <w:rFonts w:ascii="仿宋" w:eastAsia="仿宋" w:hAnsi="仿宋" w:cs="Times New Roman"/>
          <w:sz w:val="32"/>
          <w:szCs w:val="32"/>
        </w:rPr>
      </w:pPr>
      <w:r>
        <w:rPr>
          <w:rFonts w:ascii="仿宋_GB2312" w:eastAsia="仿宋_GB2312" w:cs="DengXian-Regular" w:hint="eastAsia"/>
          <w:sz w:val="32"/>
          <w:szCs w:val="32"/>
        </w:rPr>
        <w:lastRenderedPageBreak/>
        <w:t>4.</w:t>
      </w:r>
      <w:r w:rsidRPr="00545CCC">
        <w:rPr>
          <w:rFonts w:ascii="仿宋" w:eastAsia="仿宋" w:hAnsi="仿宋" w:cs="Times New Roman" w:hint="eastAsia"/>
          <w:sz w:val="32"/>
          <w:szCs w:val="32"/>
        </w:rPr>
        <w:t xml:space="preserve"> </w:t>
      </w:r>
      <w:r w:rsidRPr="006A41A9">
        <w:rPr>
          <w:rFonts w:ascii="仿宋" w:eastAsia="仿宋" w:hAnsi="仿宋" w:cs="Times New Roman" w:hint="eastAsia"/>
          <w:sz w:val="32"/>
          <w:szCs w:val="32"/>
        </w:rPr>
        <w:t>提升中等职业教育质量</w:t>
      </w:r>
      <w:r>
        <w:rPr>
          <w:rFonts w:ascii="仿宋" w:eastAsia="仿宋" w:hAnsi="仿宋" w:cs="Times New Roman" w:hint="eastAsia"/>
          <w:sz w:val="32"/>
          <w:szCs w:val="32"/>
        </w:rPr>
        <w:t>、</w:t>
      </w:r>
      <w:r w:rsidRPr="006A41A9">
        <w:rPr>
          <w:rFonts w:ascii="仿宋" w:eastAsia="仿宋" w:hAnsi="仿宋" w:cs="Times New Roman" w:hint="eastAsia"/>
          <w:sz w:val="32"/>
          <w:szCs w:val="32"/>
        </w:rPr>
        <w:t>提升中等职业教育办学水平。</w:t>
      </w:r>
    </w:p>
    <w:p w:rsidR="00545CCC" w:rsidRDefault="00545CCC" w:rsidP="00387237">
      <w:pPr>
        <w:spacing w:after="0" w:line="360" w:lineRule="auto"/>
        <w:ind w:firstLineChars="200" w:firstLine="640"/>
        <w:jc w:val="both"/>
        <w:textAlignment w:val="baseline"/>
        <w:rPr>
          <w:rFonts w:ascii="仿宋" w:eastAsia="仿宋" w:hAnsi="仿宋" w:cs="Times New Roman"/>
          <w:sz w:val="32"/>
          <w:szCs w:val="32"/>
        </w:rPr>
      </w:pPr>
      <w:r>
        <w:rPr>
          <w:rFonts w:ascii="仿宋" w:eastAsia="仿宋" w:hAnsi="仿宋" w:cs="Times New Roman" w:hint="eastAsia"/>
          <w:sz w:val="32"/>
          <w:szCs w:val="32"/>
        </w:rPr>
        <w:t>5.</w:t>
      </w:r>
      <w:r w:rsidRPr="00545CCC">
        <w:rPr>
          <w:rFonts w:ascii="仿宋" w:eastAsia="仿宋" w:hAnsi="仿宋" w:cs="Times New Roman" w:hint="eastAsia"/>
          <w:sz w:val="32"/>
          <w:szCs w:val="32"/>
        </w:rPr>
        <w:t xml:space="preserve"> </w:t>
      </w:r>
      <w:r w:rsidRPr="006A41A9">
        <w:rPr>
          <w:rFonts w:ascii="仿宋" w:eastAsia="仿宋" w:hAnsi="仿宋" w:cs="Times New Roman" w:hint="eastAsia"/>
          <w:sz w:val="32"/>
          <w:szCs w:val="32"/>
        </w:rPr>
        <w:t>提升教师队伍素质。</w:t>
      </w:r>
    </w:p>
    <w:p w:rsidR="00210A89" w:rsidRDefault="00210A89" w:rsidP="00387237">
      <w:pPr>
        <w:spacing w:after="0" w:line="360" w:lineRule="auto"/>
        <w:ind w:firstLineChars="200" w:firstLine="640"/>
        <w:jc w:val="both"/>
        <w:textAlignment w:val="baseline"/>
        <w:rPr>
          <w:rFonts w:ascii="仿宋_GB2312" w:eastAsia="仿宋_GB2312" w:cs="DengXian-Regular"/>
          <w:sz w:val="32"/>
          <w:szCs w:val="32"/>
        </w:rPr>
      </w:pPr>
      <w:r>
        <w:rPr>
          <w:rFonts w:ascii="仿宋" w:eastAsia="仿宋" w:hAnsi="仿宋" w:cs="Times New Roman" w:hint="eastAsia"/>
          <w:sz w:val="32"/>
          <w:szCs w:val="32"/>
        </w:rPr>
        <w:t>6.</w:t>
      </w:r>
      <w:r w:rsidRPr="00210A89">
        <w:rPr>
          <w:rFonts w:ascii="仿宋" w:eastAsia="仿宋" w:hAnsi="仿宋" w:cs="Times New Roman" w:hint="eastAsia"/>
          <w:sz w:val="32"/>
          <w:szCs w:val="32"/>
        </w:rPr>
        <w:t xml:space="preserve"> </w:t>
      </w:r>
      <w:r>
        <w:rPr>
          <w:rFonts w:ascii="仿宋" w:eastAsia="仿宋" w:hAnsi="仿宋" w:cs="Times New Roman" w:hint="eastAsia"/>
          <w:sz w:val="32"/>
          <w:szCs w:val="32"/>
        </w:rPr>
        <w:t>做</w:t>
      </w:r>
      <w:r>
        <w:rPr>
          <w:rFonts w:ascii="仿宋" w:eastAsia="仿宋" w:hAnsi="仿宋" w:cs="Times New Roman"/>
          <w:sz w:val="32"/>
          <w:szCs w:val="32"/>
        </w:rPr>
        <w:t>好教育</w:t>
      </w:r>
      <w:r w:rsidRPr="006A41A9">
        <w:rPr>
          <w:rFonts w:ascii="仿宋" w:eastAsia="仿宋" w:hAnsi="仿宋" w:cs="Times New Roman" w:hint="eastAsia"/>
          <w:sz w:val="32"/>
          <w:szCs w:val="32"/>
        </w:rPr>
        <w:t>综合事务管理</w:t>
      </w:r>
      <w:r>
        <w:rPr>
          <w:rFonts w:ascii="仿宋" w:eastAsia="仿宋" w:hAnsi="仿宋" w:cs="Times New Roman" w:hint="eastAsia"/>
          <w:sz w:val="32"/>
          <w:szCs w:val="32"/>
        </w:rPr>
        <w:t>工</w:t>
      </w:r>
      <w:r>
        <w:rPr>
          <w:rFonts w:ascii="仿宋" w:eastAsia="仿宋" w:hAnsi="仿宋" w:cs="Times New Roman"/>
          <w:sz w:val="32"/>
          <w:szCs w:val="32"/>
        </w:rPr>
        <w:t>作</w:t>
      </w:r>
      <w:r w:rsidRPr="006A41A9">
        <w:rPr>
          <w:rFonts w:ascii="仿宋" w:eastAsia="仿宋" w:hAnsi="仿宋" w:cs="Times New Roman" w:hint="eastAsia"/>
          <w:sz w:val="32"/>
          <w:szCs w:val="32"/>
        </w:rPr>
        <w:t>。</w:t>
      </w:r>
    </w:p>
    <w:p w:rsidR="00387237" w:rsidRPr="002E797D" w:rsidRDefault="00387237" w:rsidP="00387237">
      <w:pPr>
        <w:spacing w:after="0" w:line="360" w:lineRule="auto"/>
        <w:ind w:firstLineChars="200" w:firstLine="643"/>
        <w:jc w:val="both"/>
        <w:textAlignment w:val="baseline"/>
        <w:rPr>
          <w:rFonts w:ascii="仿宋_GB2312" w:eastAsia="仿宋_GB2312" w:cs="DengXian-Regular"/>
          <w:b/>
          <w:bCs/>
          <w:sz w:val="32"/>
          <w:szCs w:val="32"/>
          <w:u w:color="000000"/>
        </w:rPr>
      </w:pPr>
      <w:r w:rsidRPr="002E797D">
        <w:rPr>
          <w:rFonts w:ascii="仿宋_GB2312" w:eastAsia="仿宋_GB2312" w:cs="DengXian-Regular" w:hint="eastAsia"/>
          <w:b/>
          <w:bCs/>
          <w:sz w:val="32"/>
          <w:szCs w:val="32"/>
          <w:u w:color="000000"/>
        </w:rPr>
        <w:t>（三）部门预算收入及决算收入</w:t>
      </w:r>
      <w:bookmarkEnd w:id="10"/>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2019年</w:t>
      </w:r>
      <w:r w:rsidR="001F6C4C">
        <w:rPr>
          <w:rFonts w:ascii="仿宋_GB2312" w:eastAsia="仿宋_GB2312" w:cs="DengXian-Regular" w:hint="eastAsia"/>
          <w:sz w:val="32"/>
          <w:szCs w:val="32"/>
        </w:rPr>
        <w:t>区</w:t>
      </w:r>
      <w:r w:rsidR="00031E56">
        <w:rPr>
          <w:rFonts w:ascii="仿宋_GB2312" w:eastAsia="仿宋_GB2312" w:cs="DengXian-Regular" w:hint="eastAsia"/>
          <w:sz w:val="32"/>
          <w:szCs w:val="32"/>
        </w:rPr>
        <w:t>教体</w:t>
      </w:r>
      <w:r w:rsidR="00031E56">
        <w:rPr>
          <w:rFonts w:ascii="仿宋_GB2312" w:eastAsia="仿宋_GB2312" w:cs="DengXian-Regular"/>
          <w:sz w:val="32"/>
          <w:szCs w:val="32"/>
        </w:rPr>
        <w:t>局</w:t>
      </w:r>
      <w:r>
        <w:rPr>
          <w:rFonts w:ascii="仿宋_GB2312" w:eastAsia="仿宋_GB2312" w:cs="DengXian-Regular" w:hint="eastAsia"/>
          <w:sz w:val="32"/>
          <w:szCs w:val="32"/>
        </w:rPr>
        <w:t>预算收入</w:t>
      </w:r>
      <w:r w:rsidR="00D2591B">
        <w:rPr>
          <w:rFonts w:ascii="仿宋_GB2312" w:eastAsia="仿宋_GB2312" w:cs="DengXian-Regular"/>
          <w:sz w:val="32"/>
          <w:szCs w:val="32"/>
        </w:rPr>
        <w:t>114</w:t>
      </w:r>
      <w:r w:rsidR="00D2591B" w:rsidRPr="00D2591B">
        <w:rPr>
          <w:rFonts w:ascii="仿宋_GB2312" w:eastAsia="仿宋_GB2312" w:cs="DengXian-Regular"/>
          <w:sz w:val="32"/>
          <w:szCs w:val="32"/>
        </w:rPr>
        <w:t>354.85</w:t>
      </w:r>
      <w:r w:rsidR="00D2591B">
        <w:rPr>
          <w:rFonts w:ascii="仿宋_GB2312" w:eastAsia="仿宋_GB2312" w:cs="DengXian-Regular" w:hint="eastAsia"/>
          <w:sz w:val="32"/>
          <w:szCs w:val="32"/>
        </w:rPr>
        <w:t>万</w:t>
      </w:r>
      <w:r w:rsidR="00D2591B">
        <w:rPr>
          <w:rFonts w:ascii="仿宋_GB2312" w:eastAsia="仿宋_GB2312" w:cs="DengXian-Regular"/>
          <w:sz w:val="32"/>
          <w:szCs w:val="32"/>
        </w:rPr>
        <w:t>元，</w:t>
      </w:r>
      <w:r w:rsidR="00D2591B">
        <w:rPr>
          <w:rFonts w:ascii="仿宋_GB2312" w:eastAsia="仿宋_GB2312" w:cs="DengXian-Regular" w:hint="eastAsia"/>
          <w:sz w:val="32"/>
          <w:szCs w:val="32"/>
        </w:rPr>
        <w:t>其</w:t>
      </w:r>
      <w:r w:rsidR="00D2591B">
        <w:rPr>
          <w:rFonts w:ascii="仿宋_GB2312" w:eastAsia="仿宋_GB2312" w:cs="DengXian-Regular"/>
          <w:sz w:val="32"/>
          <w:szCs w:val="32"/>
        </w:rPr>
        <w:t>中</w:t>
      </w:r>
      <w:r w:rsidR="00D2591B">
        <w:rPr>
          <w:rFonts w:ascii="仿宋_GB2312" w:eastAsia="仿宋_GB2312" w:cs="DengXian-Regular" w:hint="eastAsia"/>
          <w:sz w:val="32"/>
          <w:szCs w:val="32"/>
        </w:rPr>
        <w:t>一般公共预算拨款</w:t>
      </w:r>
      <w:r w:rsidR="00031E56">
        <w:rPr>
          <w:rFonts w:ascii="仿宋_GB2312" w:eastAsia="仿宋_GB2312" w:cs="DengXian-Regular"/>
          <w:sz w:val="32"/>
          <w:szCs w:val="32"/>
        </w:rPr>
        <w:t>112053.07</w:t>
      </w:r>
      <w:r>
        <w:rPr>
          <w:rFonts w:ascii="仿宋_GB2312" w:eastAsia="仿宋_GB2312" w:cs="DengXian-Regular" w:hint="eastAsia"/>
          <w:sz w:val="32"/>
          <w:szCs w:val="32"/>
        </w:rPr>
        <w:t>万元，</w:t>
      </w:r>
      <w:r w:rsidR="00D2591B">
        <w:rPr>
          <w:rFonts w:ascii="仿宋_GB2312" w:eastAsia="仿宋_GB2312" w:cs="DengXian-Regular" w:hint="eastAsia"/>
          <w:sz w:val="32"/>
          <w:szCs w:val="32"/>
        </w:rPr>
        <w:t>政府</w:t>
      </w:r>
      <w:r w:rsidR="00D2591B">
        <w:rPr>
          <w:rFonts w:ascii="仿宋_GB2312" w:eastAsia="仿宋_GB2312" w:cs="DengXian-Regular"/>
          <w:sz w:val="32"/>
          <w:szCs w:val="32"/>
        </w:rPr>
        <w:t>性基金</w:t>
      </w:r>
      <w:r w:rsidR="00D2591B">
        <w:rPr>
          <w:rFonts w:ascii="仿宋_GB2312" w:eastAsia="仿宋_GB2312" w:cs="DengXian-Regular" w:hint="eastAsia"/>
          <w:sz w:val="32"/>
          <w:szCs w:val="32"/>
        </w:rPr>
        <w:t>17万</w:t>
      </w:r>
      <w:r w:rsidR="00D2591B">
        <w:rPr>
          <w:rFonts w:ascii="仿宋_GB2312" w:eastAsia="仿宋_GB2312" w:cs="DengXian-Regular"/>
          <w:sz w:val="32"/>
          <w:szCs w:val="32"/>
        </w:rPr>
        <w:t>元</w:t>
      </w:r>
      <w:r>
        <w:rPr>
          <w:rFonts w:ascii="仿宋_GB2312" w:eastAsia="仿宋_GB2312" w:cs="DengXian-Regular" w:hint="eastAsia"/>
          <w:sz w:val="32"/>
          <w:szCs w:val="32"/>
        </w:rPr>
        <w:t>，</w:t>
      </w:r>
      <w:r w:rsidR="00D2591B">
        <w:rPr>
          <w:rFonts w:ascii="仿宋_GB2312" w:eastAsia="仿宋_GB2312" w:cs="DengXian-Regular" w:hint="eastAsia"/>
          <w:sz w:val="32"/>
          <w:szCs w:val="32"/>
        </w:rPr>
        <w:t>事</w:t>
      </w:r>
      <w:r w:rsidR="00D2591B">
        <w:rPr>
          <w:rFonts w:ascii="仿宋_GB2312" w:eastAsia="仿宋_GB2312" w:cs="DengXian-Regular"/>
          <w:sz w:val="32"/>
          <w:szCs w:val="32"/>
        </w:rPr>
        <w:t>业收入2284.78</w:t>
      </w:r>
      <w:r w:rsidR="00D2591B">
        <w:rPr>
          <w:rFonts w:ascii="仿宋_GB2312" w:eastAsia="仿宋_GB2312" w:cs="DengXian-Regular" w:hint="eastAsia"/>
          <w:sz w:val="32"/>
          <w:szCs w:val="32"/>
        </w:rPr>
        <w:t>万</w:t>
      </w:r>
      <w:r w:rsidR="00D2591B">
        <w:rPr>
          <w:rFonts w:ascii="仿宋_GB2312" w:eastAsia="仿宋_GB2312" w:cs="DengXian-Regular"/>
          <w:sz w:val="32"/>
          <w:szCs w:val="32"/>
        </w:rPr>
        <w:t>元。</w:t>
      </w:r>
      <w:r>
        <w:rPr>
          <w:rFonts w:ascii="仿宋_GB2312" w:eastAsia="仿宋_GB2312" w:cs="DengXian-Regular" w:hint="eastAsia"/>
          <w:sz w:val="32"/>
          <w:szCs w:val="32"/>
        </w:rPr>
        <w:t>其中：财政拨款</w:t>
      </w:r>
      <w:r w:rsidR="008D4BC4">
        <w:rPr>
          <w:rFonts w:ascii="仿宋_GB2312" w:eastAsia="仿宋_GB2312" w:cs="DengXian-Regular"/>
          <w:sz w:val="32"/>
          <w:szCs w:val="32"/>
        </w:rPr>
        <w:t>101897.24</w:t>
      </w:r>
      <w:r>
        <w:rPr>
          <w:rFonts w:ascii="仿宋_GB2312" w:eastAsia="仿宋_GB2312" w:cs="DengXian-Regular" w:hint="eastAsia"/>
          <w:sz w:val="32"/>
          <w:szCs w:val="32"/>
        </w:rPr>
        <w:t>万元，中央财政提前通知转移支付</w:t>
      </w:r>
      <w:r w:rsidR="00DA4129">
        <w:rPr>
          <w:rFonts w:ascii="仿宋_GB2312" w:eastAsia="仿宋_GB2312" w:cs="DengXian-Regular"/>
          <w:sz w:val="32"/>
          <w:szCs w:val="32"/>
        </w:rPr>
        <w:t>10172.83</w:t>
      </w:r>
      <w:r>
        <w:rPr>
          <w:rFonts w:ascii="仿宋_GB2312" w:eastAsia="仿宋_GB2312" w:cs="DengXian-Regular" w:hint="eastAsia"/>
          <w:sz w:val="32"/>
          <w:szCs w:val="32"/>
        </w:rPr>
        <w:t>万元。预算收入按功能分类包含：</w:t>
      </w:r>
      <w:r w:rsidR="00A216D7">
        <w:rPr>
          <w:rFonts w:ascii="仿宋_GB2312" w:eastAsia="仿宋_GB2312" w:cs="DengXian-Regular" w:hint="eastAsia"/>
          <w:sz w:val="32"/>
          <w:szCs w:val="32"/>
        </w:rPr>
        <w:t>教育</w:t>
      </w:r>
      <w:r>
        <w:rPr>
          <w:rFonts w:ascii="仿宋_GB2312" w:eastAsia="仿宋_GB2312" w:cs="DengXian-Regular" w:hint="eastAsia"/>
          <w:sz w:val="32"/>
          <w:szCs w:val="32"/>
        </w:rPr>
        <w:t>支出</w:t>
      </w:r>
      <w:r w:rsidR="00A216D7" w:rsidRPr="00A216D7">
        <w:rPr>
          <w:rFonts w:ascii="仿宋_GB2312" w:eastAsia="仿宋_GB2312" w:cs="DengXian-Regular"/>
          <w:sz w:val="32"/>
          <w:szCs w:val="32"/>
        </w:rPr>
        <w:t>93748.25</w:t>
      </w:r>
      <w:r>
        <w:rPr>
          <w:rFonts w:ascii="仿宋_GB2312" w:eastAsia="仿宋_GB2312" w:cs="DengXian-Regular" w:hint="eastAsia"/>
          <w:sz w:val="32"/>
          <w:szCs w:val="32"/>
        </w:rPr>
        <w:t>万元，社会保障和就业支出</w:t>
      </w:r>
      <w:r w:rsidR="00A216D7" w:rsidRPr="00A216D7">
        <w:rPr>
          <w:rFonts w:ascii="仿宋_GB2312" w:eastAsia="仿宋_GB2312" w:cs="DengXian-Regular"/>
          <w:sz w:val="32"/>
          <w:szCs w:val="32"/>
        </w:rPr>
        <w:t>10221.87</w:t>
      </w:r>
      <w:r>
        <w:rPr>
          <w:rFonts w:ascii="仿宋_GB2312" w:eastAsia="仿宋_GB2312" w:cs="DengXian-Regular" w:hint="eastAsia"/>
          <w:sz w:val="32"/>
          <w:szCs w:val="32"/>
        </w:rPr>
        <w:t>万元，医疗卫生与计划生育支出</w:t>
      </w:r>
      <w:r w:rsidR="00A216D7" w:rsidRPr="00A216D7">
        <w:rPr>
          <w:rFonts w:ascii="仿宋_GB2312" w:eastAsia="仿宋_GB2312" w:cs="DengXian-Regular"/>
          <w:sz w:val="32"/>
          <w:szCs w:val="32"/>
        </w:rPr>
        <w:t>3165.06</w:t>
      </w:r>
      <w:r>
        <w:rPr>
          <w:rFonts w:ascii="仿宋_GB2312" w:eastAsia="仿宋_GB2312" w:cs="DengXian-Regular" w:hint="eastAsia"/>
          <w:sz w:val="32"/>
          <w:szCs w:val="32"/>
        </w:rPr>
        <w:t>万元，住房保障支出</w:t>
      </w:r>
      <w:r w:rsidR="003D2774" w:rsidRPr="003D2774">
        <w:rPr>
          <w:rFonts w:ascii="仿宋_GB2312" w:eastAsia="仿宋_GB2312" w:cs="DengXian-Regular"/>
          <w:sz w:val="32"/>
          <w:szCs w:val="32"/>
        </w:rPr>
        <w:t>4862.89</w:t>
      </w:r>
      <w:r>
        <w:rPr>
          <w:rFonts w:ascii="仿宋_GB2312" w:eastAsia="仿宋_GB2312" w:cs="DengXian-Regular" w:hint="eastAsia"/>
          <w:sz w:val="32"/>
          <w:szCs w:val="32"/>
        </w:rPr>
        <w:t>万元。具体预算收入详见附件2。</w:t>
      </w:r>
    </w:p>
    <w:p w:rsidR="00AE7699" w:rsidRDefault="00387237" w:rsidP="0061245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2019年区</w:t>
      </w:r>
      <w:r w:rsidR="00B9710E">
        <w:rPr>
          <w:rFonts w:ascii="仿宋_GB2312" w:eastAsia="仿宋_GB2312" w:cs="DengXian-Regular" w:hint="eastAsia"/>
          <w:sz w:val="32"/>
          <w:szCs w:val="32"/>
        </w:rPr>
        <w:t>教体</w:t>
      </w:r>
      <w:r w:rsidR="00B9710E">
        <w:rPr>
          <w:rFonts w:ascii="仿宋_GB2312" w:eastAsia="仿宋_GB2312" w:cs="DengXian-Regular"/>
          <w:sz w:val="32"/>
          <w:szCs w:val="32"/>
        </w:rPr>
        <w:t>局</w:t>
      </w:r>
      <w:r>
        <w:rPr>
          <w:rFonts w:ascii="仿宋_GB2312" w:eastAsia="仿宋_GB2312" w:cs="DengXian-Regular" w:hint="eastAsia"/>
          <w:sz w:val="32"/>
          <w:szCs w:val="32"/>
        </w:rPr>
        <w:t>决算收入</w:t>
      </w:r>
      <w:r w:rsidR="00B9710E">
        <w:rPr>
          <w:rFonts w:ascii="仿宋_GB2312" w:eastAsia="仿宋_GB2312" w:cs="DengXian-Regular"/>
          <w:sz w:val="32"/>
          <w:szCs w:val="32"/>
        </w:rPr>
        <w:t>127</w:t>
      </w:r>
      <w:r w:rsidR="00B9710E" w:rsidRPr="00B9710E">
        <w:rPr>
          <w:rFonts w:ascii="仿宋_GB2312" w:eastAsia="仿宋_GB2312" w:cs="DengXian-Regular"/>
          <w:sz w:val="32"/>
          <w:szCs w:val="32"/>
        </w:rPr>
        <w:t>634.07</w:t>
      </w:r>
      <w:r>
        <w:rPr>
          <w:rFonts w:ascii="仿宋_GB2312" w:eastAsia="仿宋_GB2312" w:cs="DengXian-Regular" w:hint="eastAsia"/>
          <w:sz w:val="32"/>
          <w:szCs w:val="32"/>
        </w:rPr>
        <w:t>万元，其中：财政拨款收入</w:t>
      </w:r>
      <w:r w:rsidR="00B9710E">
        <w:rPr>
          <w:rFonts w:ascii="仿宋_GB2312" w:eastAsia="仿宋_GB2312" w:cs="DengXian-Regular"/>
          <w:sz w:val="32"/>
          <w:szCs w:val="32"/>
        </w:rPr>
        <w:t>125</w:t>
      </w:r>
      <w:r w:rsidR="00B9710E" w:rsidRPr="00B9710E">
        <w:rPr>
          <w:rFonts w:ascii="仿宋_GB2312" w:eastAsia="仿宋_GB2312" w:cs="DengXian-Regular"/>
          <w:sz w:val="32"/>
          <w:szCs w:val="32"/>
        </w:rPr>
        <w:t>602.73</w:t>
      </w:r>
      <w:r>
        <w:rPr>
          <w:rFonts w:ascii="仿宋_GB2312" w:eastAsia="仿宋_GB2312" w:cs="DengXian-Regular" w:hint="eastAsia"/>
          <w:sz w:val="32"/>
          <w:szCs w:val="32"/>
        </w:rPr>
        <w:t>万元，</w:t>
      </w:r>
      <w:r w:rsidR="00B9710E">
        <w:rPr>
          <w:rFonts w:ascii="仿宋_GB2312" w:eastAsia="仿宋_GB2312" w:cs="DengXian-Regular" w:hint="eastAsia"/>
          <w:sz w:val="32"/>
          <w:szCs w:val="32"/>
        </w:rPr>
        <w:t>事</w:t>
      </w:r>
      <w:r w:rsidR="00B9710E">
        <w:rPr>
          <w:rFonts w:ascii="仿宋_GB2312" w:eastAsia="仿宋_GB2312" w:cs="DengXian-Regular"/>
          <w:sz w:val="32"/>
          <w:szCs w:val="32"/>
        </w:rPr>
        <w:t>业收入</w:t>
      </w:r>
      <w:r w:rsidR="00B9710E">
        <w:rPr>
          <w:rFonts w:ascii="仿宋_GB2312" w:eastAsia="仿宋_GB2312" w:cs="DengXian-Regular" w:hint="eastAsia"/>
          <w:sz w:val="32"/>
          <w:szCs w:val="32"/>
        </w:rPr>
        <w:t>2020.72万</w:t>
      </w:r>
      <w:r w:rsidR="00B9710E">
        <w:rPr>
          <w:rFonts w:ascii="仿宋_GB2312" w:eastAsia="仿宋_GB2312" w:cs="DengXian-Regular"/>
          <w:sz w:val="32"/>
          <w:szCs w:val="32"/>
        </w:rPr>
        <w:t>元，</w:t>
      </w:r>
      <w:r>
        <w:rPr>
          <w:rFonts w:ascii="仿宋_GB2312" w:eastAsia="仿宋_GB2312" w:cs="DengXian-Regular" w:hint="eastAsia"/>
          <w:sz w:val="32"/>
          <w:szCs w:val="32"/>
        </w:rPr>
        <w:t>其他收入</w:t>
      </w:r>
      <w:r w:rsidR="00B9710E">
        <w:rPr>
          <w:rFonts w:ascii="仿宋_GB2312" w:eastAsia="仿宋_GB2312" w:cs="DengXian-Regular"/>
          <w:sz w:val="32"/>
          <w:szCs w:val="32"/>
        </w:rPr>
        <w:t>10.62</w:t>
      </w:r>
      <w:r>
        <w:rPr>
          <w:rFonts w:ascii="仿宋_GB2312" w:eastAsia="仿宋_GB2312" w:cs="DengXian-Regular" w:hint="eastAsia"/>
          <w:sz w:val="32"/>
          <w:szCs w:val="32"/>
        </w:rPr>
        <w:t>万元（全部为利息收入）。决算收入按功能分类包含：</w:t>
      </w:r>
      <w:r w:rsidR="00B9710E">
        <w:rPr>
          <w:rFonts w:ascii="仿宋_GB2312" w:eastAsia="仿宋_GB2312" w:cs="DengXian-Regular" w:hint="eastAsia"/>
          <w:sz w:val="32"/>
          <w:szCs w:val="32"/>
        </w:rPr>
        <w:t>教育</w:t>
      </w:r>
      <w:r>
        <w:rPr>
          <w:rFonts w:ascii="仿宋_GB2312" w:eastAsia="仿宋_GB2312" w:cs="DengXian-Regular" w:hint="eastAsia"/>
          <w:sz w:val="32"/>
          <w:szCs w:val="32"/>
        </w:rPr>
        <w:t>支出</w:t>
      </w:r>
      <w:r w:rsidR="00B9710E">
        <w:rPr>
          <w:rFonts w:ascii="仿宋_GB2312" w:eastAsia="仿宋_GB2312" w:cs="DengXian-Regular"/>
          <w:sz w:val="32"/>
          <w:szCs w:val="32"/>
        </w:rPr>
        <w:t>108629.25</w:t>
      </w:r>
      <w:r>
        <w:rPr>
          <w:rFonts w:ascii="仿宋_GB2312" w:eastAsia="仿宋_GB2312" w:cs="DengXian-Regular" w:hint="eastAsia"/>
          <w:sz w:val="32"/>
          <w:szCs w:val="32"/>
        </w:rPr>
        <w:t>万元，占比</w:t>
      </w:r>
      <w:r w:rsidR="00EC26AF">
        <w:rPr>
          <w:rFonts w:ascii="仿宋_GB2312" w:eastAsia="仿宋_GB2312" w:cs="DengXian-Regular"/>
          <w:sz w:val="32"/>
          <w:szCs w:val="32"/>
        </w:rPr>
        <w:t>85.11</w:t>
      </w:r>
      <w:r>
        <w:rPr>
          <w:rFonts w:ascii="仿宋_GB2312" w:eastAsia="仿宋_GB2312" w:cs="DengXian-Regular" w:hint="eastAsia"/>
          <w:sz w:val="32"/>
          <w:szCs w:val="32"/>
        </w:rPr>
        <w:t>%；社会保障和就业支出</w:t>
      </w:r>
      <w:r w:rsidR="00B9710E">
        <w:rPr>
          <w:rFonts w:ascii="仿宋_GB2312" w:eastAsia="仿宋_GB2312" w:cs="DengXian-Regular"/>
          <w:sz w:val="32"/>
          <w:szCs w:val="32"/>
        </w:rPr>
        <w:t>11</w:t>
      </w:r>
      <w:r w:rsidR="00B9710E" w:rsidRPr="00B9710E">
        <w:rPr>
          <w:rFonts w:ascii="仿宋_GB2312" w:eastAsia="仿宋_GB2312" w:cs="DengXian-Regular"/>
          <w:sz w:val="32"/>
          <w:szCs w:val="32"/>
        </w:rPr>
        <w:t>703.40</w:t>
      </w:r>
      <w:r>
        <w:rPr>
          <w:rFonts w:ascii="仿宋_GB2312" w:eastAsia="仿宋_GB2312" w:cs="DengXian-Regular" w:hint="eastAsia"/>
          <w:sz w:val="32"/>
          <w:szCs w:val="32"/>
        </w:rPr>
        <w:t>万元，占比</w:t>
      </w:r>
      <w:r w:rsidR="00EC26AF">
        <w:rPr>
          <w:rFonts w:ascii="仿宋_GB2312" w:eastAsia="仿宋_GB2312" w:cs="DengXian-Regular"/>
          <w:sz w:val="32"/>
          <w:szCs w:val="32"/>
        </w:rPr>
        <w:t>9.17</w:t>
      </w:r>
      <w:r>
        <w:rPr>
          <w:rFonts w:ascii="仿宋_GB2312" w:eastAsia="仿宋_GB2312" w:cs="DengXian-Regular" w:hint="eastAsia"/>
          <w:sz w:val="32"/>
          <w:szCs w:val="32"/>
        </w:rPr>
        <w:t>%；医疗卫生与计划生育支出</w:t>
      </w:r>
      <w:r w:rsidR="00B9710E">
        <w:rPr>
          <w:rFonts w:ascii="仿宋_GB2312" w:eastAsia="仿宋_GB2312" w:cs="DengXian-Regular"/>
          <w:sz w:val="32"/>
          <w:szCs w:val="32"/>
        </w:rPr>
        <w:t>2</w:t>
      </w:r>
      <w:r w:rsidR="00B9710E" w:rsidRPr="00B9710E">
        <w:rPr>
          <w:rFonts w:ascii="仿宋_GB2312" w:eastAsia="仿宋_GB2312" w:cs="DengXian-Regular"/>
          <w:sz w:val="32"/>
          <w:szCs w:val="32"/>
        </w:rPr>
        <w:t>443.68</w:t>
      </w:r>
      <w:r>
        <w:rPr>
          <w:rFonts w:ascii="仿宋_GB2312" w:eastAsia="仿宋_GB2312" w:cs="DengXian-Regular" w:hint="eastAsia"/>
          <w:sz w:val="32"/>
          <w:szCs w:val="32"/>
        </w:rPr>
        <w:t>万元，占比</w:t>
      </w:r>
      <w:r w:rsidR="00EC26AF">
        <w:rPr>
          <w:rFonts w:ascii="仿宋_GB2312" w:eastAsia="仿宋_GB2312" w:cs="DengXian-Regular"/>
          <w:sz w:val="32"/>
          <w:szCs w:val="32"/>
        </w:rPr>
        <w:t>1.91</w:t>
      </w:r>
      <w:r>
        <w:rPr>
          <w:rFonts w:ascii="仿宋_GB2312" w:eastAsia="仿宋_GB2312" w:cs="DengXian-Regular" w:hint="eastAsia"/>
          <w:sz w:val="32"/>
          <w:szCs w:val="32"/>
        </w:rPr>
        <w:t>%；住房保障支出</w:t>
      </w:r>
      <w:r w:rsidR="00B9710E">
        <w:rPr>
          <w:rFonts w:ascii="仿宋_GB2312" w:eastAsia="仿宋_GB2312" w:cs="DengXian-Regular"/>
          <w:sz w:val="32"/>
          <w:szCs w:val="32"/>
        </w:rPr>
        <w:t>4</w:t>
      </w:r>
      <w:r w:rsidR="00B9710E" w:rsidRPr="00B9710E">
        <w:rPr>
          <w:rFonts w:ascii="仿宋_GB2312" w:eastAsia="仿宋_GB2312" w:cs="DengXian-Regular"/>
          <w:sz w:val="32"/>
          <w:szCs w:val="32"/>
        </w:rPr>
        <w:t>857.74</w:t>
      </w:r>
      <w:r>
        <w:rPr>
          <w:rFonts w:ascii="仿宋_GB2312" w:eastAsia="仿宋_GB2312" w:cs="DengXian-Regular" w:hint="eastAsia"/>
          <w:sz w:val="32"/>
          <w:szCs w:val="32"/>
        </w:rPr>
        <w:t>万元，占比</w:t>
      </w:r>
      <w:r w:rsidR="00EC26AF">
        <w:rPr>
          <w:rFonts w:ascii="仿宋_GB2312" w:eastAsia="仿宋_GB2312" w:cs="DengXian-Regular"/>
          <w:sz w:val="32"/>
          <w:szCs w:val="32"/>
        </w:rPr>
        <w:t>3.81</w:t>
      </w:r>
      <w:r>
        <w:rPr>
          <w:rFonts w:ascii="仿宋_GB2312" w:eastAsia="仿宋_GB2312" w:cs="DengXian-Regular" w:hint="eastAsia"/>
          <w:sz w:val="32"/>
          <w:szCs w:val="32"/>
        </w:rPr>
        <w:t>%。具体决算收入详见附件</w:t>
      </w:r>
      <w:r w:rsidR="00AE7699">
        <w:rPr>
          <w:rFonts w:ascii="仿宋_GB2312" w:eastAsia="仿宋_GB2312" w:cs="DengXian-Regular" w:hint="eastAsia"/>
          <w:sz w:val="32"/>
          <w:szCs w:val="32"/>
        </w:rPr>
        <w:t>。</w:t>
      </w:r>
      <w:r>
        <w:rPr>
          <w:rFonts w:ascii="仿宋_GB2312" w:eastAsia="仿宋_GB2312" w:cs="DengXian-Regular" w:hint="eastAsia"/>
          <w:sz w:val="32"/>
          <w:szCs w:val="32"/>
        </w:rPr>
        <w:t>决算收入结构如图1。</w:t>
      </w:r>
    </w:p>
    <w:p w:rsidR="00387237" w:rsidRDefault="00AE7699" w:rsidP="00AE7699">
      <w:pPr>
        <w:spacing w:after="0" w:line="360" w:lineRule="auto"/>
        <w:jc w:val="center"/>
        <w:textAlignment w:val="baseline"/>
        <w:rPr>
          <w:rFonts w:ascii="仿宋_GB2312" w:eastAsia="仿宋_GB2312" w:cs="DengXian-Regular"/>
          <w:sz w:val="32"/>
          <w:szCs w:val="32"/>
        </w:rPr>
      </w:pPr>
      <w:r>
        <w:rPr>
          <w:noProof/>
        </w:rPr>
        <w:lastRenderedPageBreak/>
        <w:drawing>
          <wp:anchor distT="0" distB="0" distL="114300" distR="114300" simplePos="0" relativeHeight="251644928" behindDoc="0" locked="0" layoutInCell="1" allowOverlap="1" wp14:anchorId="19D3FB22" wp14:editId="745612A7">
            <wp:simplePos x="0" y="0"/>
            <wp:positionH relativeFrom="margin">
              <wp:align>right</wp:align>
            </wp:positionH>
            <wp:positionV relativeFrom="paragraph">
              <wp:posOffset>426305</wp:posOffset>
            </wp:positionV>
            <wp:extent cx="5229225" cy="2433320"/>
            <wp:effectExtent l="0" t="0" r="9525" b="5080"/>
            <wp:wrapTopAndBottom/>
            <wp:docPr id="1" name="图表 1" title="单位"/>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387237">
        <w:rPr>
          <w:rFonts w:asciiTheme="minorEastAsia" w:eastAsiaTheme="minorEastAsia" w:hAnsiTheme="minorEastAsia" w:cstheme="minorEastAsia" w:hint="eastAsia"/>
          <w:b/>
          <w:bCs/>
          <w:sz w:val="32"/>
          <w:szCs w:val="32"/>
        </w:rPr>
        <w:t>图1  2019年度区</w:t>
      </w:r>
      <w:r w:rsidR="002B092B" w:rsidRPr="002B092B">
        <w:rPr>
          <w:rFonts w:asciiTheme="minorEastAsia" w:eastAsiaTheme="minorEastAsia" w:hAnsiTheme="minorEastAsia" w:cstheme="minorEastAsia" w:hint="eastAsia"/>
          <w:b/>
          <w:bCs/>
          <w:sz w:val="32"/>
          <w:szCs w:val="32"/>
        </w:rPr>
        <w:t>教体局</w:t>
      </w:r>
      <w:r w:rsidR="00387237">
        <w:rPr>
          <w:rFonts w:asciiTheme="minorEastAsia" w:eastAsiaTheme="minorEastAsia" w:hAnsiTheme="minorEastAsia" w:cstheme="minorEastAsia" w:hint="eastAsia"/>
          <w:b/>
          <w:bCs/>
          <w:sz w:val="32"/>
          <w:szCs w:val="32"/>
        </w:rPr>
        <w:t>决算收入结构图</w:t>
      </w:r>
    </w:p>
    <w:p w:rsidR="00387237" w:rsidRDefault="0095774D" w:rsidP="00387237">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区</w:t>
      </w:r>
      <w:r w:rsidR="00B6343A">
        <w:rPr>
          <w:rFonts w:ascii="仿宋_GB2312" w:eastAsia="仿宋_GB2312" w:cs="DengXian-Regular" w:hint="eastAsia"/>
          <w:sz w:val="32"/>
          <w:szCs w:val="32"/>
        </w:rPr>
        <w:t>教体</w:t>
      </w:r>
      <w:r w:rsidR="00B6343A">
        <w:rPr>
          <w:rFonts w:ascii="仿宋_GB2312" w:eastAsia="仿宋_GB2312" w:cs="DengXian-Regular"/>
          <w:sz w:val="32"/>
          <w:szCs w:val="32"/>
        </w:rPr>
        <w:t>局</w:t>
      </w:r>
      <w:r w:rsidR="00387237">
        <w:rPr>
          <w:rFonts w:ascii="仿宋_GB2312" w:eastAsia="仿宋_GB2312" w:cs="DengXian-Regular" w:hint="eastAsia"/>
          <w:sz w:val="32"/>
          <w:szCs w:val="32"/>
        </w:rPr>
        <w:t>一般公共预算财政拨款决算收入比年初预算增加</w:t>
      </w:r>
      <w:r w:rsidR="0087326B">
        <w:rPr>
          <w:rFonts w:ascii="仿宋_GB2312" w:eastAsia="仿宋_GB2312" w:cs="DengXian-Regular" w:hint="eastAsia"/>
          <w:sz w:val="32"/>
          <w:szCs w:val="32"/>
        </w:rPr>
        <w:t>13507.66</w:t>
      </w:r>
      <w:r w:rsidR="00387237">
        <w:rPr>
          <w:rFonts w:ascii="仿宋_GB2312" w:eastAsia="仿宋_GB2312" w:cs="DengXian-Regular" w:hint="eastAsia"/>
          <w:sz w:val="32"/>
          <w:szCs w:val="32"/>
        </w:rPr>
        <w:t>万元，完成年初预算的</w:t>
      </w:r>
      <w:r w:rsidR="0087326B">
        <w:rPr>
          <w:rFonts w:ascii="仿宋_GB2312" w:eastAsia="仿宋_GB2312" w:cs="DengXian-Regular" w:hint="eastAsia"/>
          <w:sz w:val="32"/>
          <w:szCs w:val="32"/>
        </w:rPr>
        <w:t>112.05</w:t>
      </w:r>
      <w:r w:rsidR="00387237">
        <w:rPr>
          <w:rFonts w:ascii="仿宋_GB2312" w:eastAsia="仿宋_GB2312" w:cs="DengXian-Regular" w:hint="eastAsia"/>
          <w:sz w:val="32"/>
          <w:szCs w:val="32"/>
        </w:rPr>
        <w:t>%。决算收入大于预算收入的主要原因为2019年度区</w:t>
      </w:r>
      <w:r w:rsidR="007B2361">
        <w:rPr>
          <w:rFonts w:ascii="仿宋_GB2312" w:eastAsia="仿宋_GB2312" w:cs="DengXian-Regular" w:hint="eastAsia"/>
          <w:sz w:val="32"/>
          <w:szCs w:val="32"/>
        </w:rPr>
        <w:t>政府</w:t>
      </w:r>
      <w:r w:rsidR="007B2361">
        <w:rPr>
          <w:rFonts w:ascii="仿宋_GB2312" w:eastAsia="仿宋_GB2312" w:cs="DengXian-Regular"/>
          <w:sz w:val="32"/>
          <w:szCs w:val="32"/>
        </w:rPr>
        <w:t>加大教育投入力度</w:t>
      </w:r>
      <w:r w:rsidR="00387237">
        <w:rPr>
          <w:rFonts w:ascii="仿宋_GB2312" w:eastAsia="仿宋_GB2312" w:cs="DengXian-Regular" w:hint="eastAsia"/>
          <w:sz w:val="32"/>
          <w:szCs w:val="32"/>
        </w:rPr>
        <w:t>。预算收入与决算收入对比情况见图2。</w:t>
      </w:r>
    </w:p>
    <w:p w:rsidR="00387237" w:rsidRDefault="00F27AE8" w:rsidP="00612457">
      <w:pPr>
        <w:spacing w:after="0" w:line="360" w:lineRule="auto"/>
        <w:jc w:val="center"/>
        <w:rPr>
          <w:rFonts w:ascii="仿宋_GB2312" w:eastAsia="仿宋_GB2312" w:hAnsiTheme="minorEastAsia" w:cs="Times New Roman"/>
          <w:bCs/>
          <w:sz w:val="32"/>
          <w:szCs w:val="32"/>
          <w:u w:color="000000"/>
        </w:rPr>
      </w:pPr>
      <w:r>
        <w:rPr>
          <w:noProof/>
        </w:rPr>
        <w:drawing>
          <wp:anchor distT="0" distB="0" distL="114300" distR="114300" simplePos="0" relativeHeight="251659264" behindDoc="0" locked="0" layoutInCell="1" allowOverlap="1" wp14:anchorId="7D2F56D9" wp14:editId="1C23CC41">
            <wp:simplePos x="0" y="0"/>
            <wp:positionH relativeFrom="margin">
              <wp:align>right</wp:align>
            </wp:positionH>
            <wp:positionV relativeFrom="paragraph">
              <wp:posOffset>421005</wp:posOffset>
            </wp:positionV>
            <wp:extent cx="5243830" cy="3672205"/>
            <wp:effectExtent l="0" t="0" r="13970" b="444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387237">
        <w:rPr>
          <w:rFonts w:asciiTheme="minorEastAsia" w:eastAsiaTheme="minorEastAsia" w:hAnsiTheme="minorEastAsia" w:cstheme="minorEastAsia" w:hint="eastAsia"/>
          <w:b/>
          <w:sz w:val="32"/>
          <w:szCs w:val="32"/>
          <w:u w:color="000000"/>
        </w:rPr>
        <w:t>图2  2019</w:t>
      </w:r>
      <w:r w:rsidR="00CC2D7B">
        <w:rPr>
          <w:rFonts w:asciiTheme="minorEastAsia" w:eastAsiaTheme="minorEastAsia" w:hAnsiTheme="minorEastAsia" w:cstheme="minorEastAsia" w:hint="eastAsia"/>
          <w:b/>
          <w:sz w:val="32"/>
          <w:szCs w:val="32"/>
          <w:u w:color="000000"/>
        </w:rPr>
        <w:t>年度</w:t>
      </w:r>
      <w:r w:rsidR="00CC2D7B">
        <w:rPr>
          <w:rFonts w:asciiTheme="minorEastAsia" w:eastAsiaTheme="minorEastAsia" w:hAnsiTheme="minorEastAsia" w:cstheme="minorEastAsia" w:hint="eastAsia"/>
          <w:b/>
          <w:bCs/>
          <w:sz w:val="32"/>
          <w:szCs w:val="32"/>
        </w:rPr>
        <w:t>区</w:t>
      </w:r>
      <w:r w:rsidR="00CC2D7B" w:rsidRPr="002B092B">
        <w:rPr>
          <w:rFonts w:asciiTheme="minorEastAsia" w:eastAsiaTheme="minorEastAsia" w:hAnsiTheme="minorEastAsia" w:cstheme="minorEastAsia" w:hint="eastAsia"/>
          <w:b/>
          <w:bCs/>
          <w:sz w:val="32"/>
          <w:szCs w:val="32"/>
        </w:rPr>
        <w:t>教体局</w:t>
      </w:r>
      <w:r w:rsidR="00387237">
        <w:rPr>
          <w:rFonts w:asciiTheme="minorEastAsia" w:eastAsiaTheme="minorEastAsia" w:hAnsiTheme="minorEastAsia" w:cstheme="minorEastAsia" w:hint="eastAsia"/>
          <w:b/>
          <w:sz w:val="32"/>
          <w:szCs w:val="32"/>
          <w:u w:color="000000"/>
        </w:rPr>
        <w:t>预算收入与决算收入对比图</w:t>
      </w:r>
    </w:p>
    <w:p w:rsidR="00387237" w:rsidRDefault="00387237" w:rsidP="00387237">
      <w:pPr>
        <w:pStyle w:val="3"/>
        <w:spacing w:before="0" w:after="0"/>
        <w:ind w:firstLineChars="200" w:firstLine="643"/>
        <w:jc w:val="both"/>
        <w:rPr>
          <w:rFonts w:ascii="仿宋_GB2312" w:hAnsiTheme="minorEastAsia"/>
          <w:sz w:val="32"/>
        </w:rPr>
      </w:pPr>
      <w:bookmarkStart w:id="13" w:name="_Toc18197"/>
      <w:r>
        <w:rPr>
          <w:rFonts w:ascii="仿宋_GB2312" w:hAnsiTheme="minorEastAsia" w:hint="eastAsia"/>
          <w:sz w:val="32"/>
        </w:rPr>
        <w:lastRenderedPageBreak/>
        <w:t>（四）预算支出及决算</w:t>
      </w:r>
      <w:bookmarkEnd w:id="11"/>
      <w:bookmarkEnd w:id="12"/>
      <w:r>
        <w:rPr>
          <w:rFonts w:ascii="仿宋_GB2312" w:hAnsiTheme="minorEastAsia" w:hint="eastAsia"/>
          <w:sz w:val="32"/>
        </w:rPr>
        <w:t>支出</w:t>
      </w:r>
      <w:bookmarkEnd w:id="13"/>
    </w:p>
    <w:p w:rsidR="00387237" w:rsidRDefault="00387237" w:rsidP="00387237">
      <w:pPr>
        <w:spacing w:after="0" w:line="360" w:lineRule="auto"/>
        <w:ind w:firstLineChars="200" w:firstLine="640"/>
        <w:jc w:val="both"/>
        <w:rPr>
          <w:rFonts w:ascii="仿宋_GB2312" w:eastAsia="仿宋_GB2312" w:hAnsiTheme="minorEastAsia" w:cs="Times New Roman"/>
          <w:sz w:val="32"/>
          <w:szCs w:val="32"/>
          <w:u w:color="000000"/>
        </w:rPr>
      </w:pPr>
      <w:r>
        <w:rPr>
          <w:rFonts w:ascii="仿宋_GB2312" w:eastAsia="仿宋_GB2312" w:cs="DengXian-Regular" w:hint="eastAsia"/>
          <w:sz w:val="32"/>
          <w:szCs w:val="32"/>
        </w:rPr>
        <w:t>2019年度</w:t>
      </w:r>
      <w:r w:rsidR="001F6C4C">
        <w:rPr>
          <w:rFonts w:ascii="仿宋_GB2312" w:eastAsia="仿宋_GB2312" w:cs="DengXian-Regular" w:hint="eastAsia"/>
          <w:sz w:val="32"/>
          <w:szCs w:val="32"/>
        </w:rPr>
        <w:t>区</w:t>
      </w:r>
      <w:r w:rsidR="00316D20">
        <w:rPr>
          <w:rFonts w:ascii="仿宋_GB2312" w:eastAsia="仿宋_GB2312" w:cs="DengXian-Regular" w:hint="eastAsia"/>
          <w:sz w:val="32"/>
          <w:szCs w:val="32"/>
        </w:rPr>
        <w:t>教体</w:t>
      </w:r>
      <w:r w:rsidR="00316D20">
        <w:rPr>
          <w:rFonts w:ascii="仿宋_GB2312" w:eastAsia="仿宋_GB2312" w:cs="DengXian-Regular"/>
          <w:sz w:val="32"/>
          <w:szCs w:val="32"/>
        </w:rPr>
        <w:t>局</w:t>
      </w:r>
      <w:r>
        <w:rPr>
          <w:rFonts w:ascii="仿宋_GB2312" w:eastAsia="仿宋_GB2312" w:hAnsiTheme="minorEastAsia" w:cs="Times New Roman" w:hint="eastAsia"/>
          <w:sz w:val="32"/>
          <w:szCs w:val="32"/>
          <w:u w:color="000000"/>
        </w:rPr>
        <w:t>预算支出安排</w:t>
      </w:r>
      <w:r w:rsidR="00316D20">
        <w:rPr>
          <w:rFonts w:ascii="仿宋_GB2312" w:eastAsia="仿宋_GB2312" w:hAnsiTheme="minorEastAsia" w:cs="Times New Roman"/>
          <w:sz w:val="32"/>
          <w:szCs w:val="32"/>
          <w:u w:color="000000"/>
        </w:rPr>
        <w:t>114354.84</w:t>
      </w:r>
      <w:r>
        <w:rPr>
          <w:rFonts w:ascii="仿宋_GB2312" w:eastAsia="仿宋_GB2312" w:hAnsiTheme="minorEastAsia" w:cs="Times New Roman" w:hint="eastAsia"/>
          <w:sz w:val="32"/>
          <w:szCs w:val="32"/>
          <w:u w:color="000000"/>
        </w:rPr>
        <w:t>万元，其中：基本支出</w:t>
      </w:r>
      <w:r w:rsidR="00316D20">
        <w:rPr>
          <w:rFonts w:ascii="仿宋_GB2312" w:eastAsia="仿宋_GB2312" w:hAnsiTheme="minorEastAsia" w:cs="Times New Roman"/>
          <w:sz w:val="32"/>
          <w:szCs w:val="32"/>
          <w:u w:color="000000"/>
        </w:rPr>
        <w:t>92360.14</w:t>
      </w:r>
      <w:r>
        <w:rPr>
          <w:rFonts w:ascii="仿宋_GB2312" w:eastAsia="仿宋_GB2312" w:hAnsiTheme="minorEastAsia" w:cs="Times New Roman" w:hint="eastAsia"/>
          <w:sz w:val="32"/>
          <w:szCs w:val="32"/>
          <w:u w:color="000000"/>
        </w:rPr>
        <w:t>万元，项目支出</w:t>
      </w:r>
      <w:r w:rsidR="00316D20">
        <w:rPr>
          <w:rFonts w:ascii="仿宋_GB2312" w:eastAsia="仿宋_GB2312" w:hAnsiTheme="minorEastAsia" w:cs="Times New Roman"/>
          <w:sz w:val="32"/>
          <w:szCs w:val="32"/>
          <w:u w:color="000000"/>
        </w:rPr>
        <w:t>21994.7</w:t>
      </w:r>
      <w:r>
        <w:rPr>
          <w:rFonts w:ascii="仿宋_GB2312" w:eastAsia="仿宋_GB2312" w:hAnsiTheme="minorEastAsia" w:cs="Times New Roman" w:hint="eastAsia"/>
          <w:sz w:val="32"/>
          <w:szCs w:val="32"/>
          <w:u w:color="000000"/>
        </w:rPr>
        <w:t>万元。预算支出按功能分类包含：</w:t>
      </w:r>
      <w:r w:rsidR="00316D20">
        <w:rPr>
          <w:rFonts w:ascii="仿宋_GB2312" w:eastAsia="仿宋_GB2312" w:hAnsiTheme="minorEastAsia" w:cs="Times New Roman" w:hint="eastAsia"/>
          <w:sz w:val="32"/>
          <w:szCs w:val="32"/>
          <w:u w:color="000000"/>
        </w:rPr>
        <w:t>教育</w:t>
      </w:r>
      <w:r>
        <w:rPr>
          <w:rFonts w:ascii="仿宋_GB2312" w:eastAsia="仿宋_GB2312" w:hAnsiTheme="minorEastAsia" w:cs="Times New Roman" w:hint="eastAsia"/>
          <w:sz w:val="32"/>
          <w:szCs w:val="32"/>
          <w:u w:color="000000"/>
        </w:rPr>
        <w:t>支出</w:t>
      </w:r>
      <w:r w:rsidR="00316D20" w:rsidRPr="00316D20">
        <w:rPr>
          <w:rFonts w:ascii="仿宋_GB2312" w:eastAsia="仿宋_GB2312" w:hAnsiTheme="minorEastAsia" w:cs="Times New Roman"/>
          <w:sz w:val="32"/>
          <w:szCs w:val="32"/>
          <w:u w:color="000000"/>
        </w:rPr>
        <w:t>96033.02</w:t>
      </w:r>
      <w:r>
        <w:rPr>
          <w:rFonts w:ascii="仿宋_GB2312" w:eastAsia="仿宋_GB2312" w:hAnsiTheme="minorEastAsia" w:cs="Times New Roman" w:hint="eastAsia"/>
          <w:sz w:val="32"/>
          <w:szCs w:val="32"/>
          <w:u w:color="000000"/>
        </w:rPr>
        <w:t>万元，社会保障和就业支出</w:t>
      </w:r>
      <w:r w:rsidR="00316D20" w:rsidRPr="00316D20">
        <w:rPr>
          <w:rFonts w:ascii="仿宋_GB2312" w:eastAsia="仿宋_GB2312" w:hAnsiTheme="minorEastAsia" w:cs="Times New Roman"/>
          <w:sz w:val="32"/>
          <w:szCs w:val="32"/>
          <w:u w:color="000000"/>
        </w:rPr>
        <w:t>10221.87</w:t>
      </w:r>
      <w:r>
        <w:rPr>
          <w:rFonts w:ascii="仿宋_GB2312" w:eastAsia="仿宋_GB2312" w:hAnsiTheme="minorEastAsia" w:cs="Times New Roman" w:hint="eastAsia"/>
          <w:sz w:val="32"/>
          <w:szCs w:val="32"/>
          <w:u w:color="000000"/>
        </w:rPr>
        <w:t>万元，医疗卫生与计划教育支出</w:t>
      </w:r>
      <w:r w:rsidR="00316D20" w:rsidRPr="00316D20">
        <w:rPr>
          <w:rFonts w:ascii="仿宋_GB2312" w:eastAsia="仿宋_GB2312" w:hAnsiTheme="minorEastAsia" w:cs="Times New Roman"/>
          <w:sz w:val="32"/>
          <w:szCs w:val="32"/>
          <w:u w:color="000000"/>
        </w:rPr>
        <w:t>3165.06</w:t>
      </w:r>
      <w:r>
        <w:rPr>
          <w:rFonts w:ascii="仿宋_GB2312" w:eastAsia="仿宋_GB2312" w:hAnsiTheme="minorEastAsia" w:cs="Times New Roman" w:hint="eastAsia"/>
          <w:sz w:val="32"/>
          <w:szCs w:val="32"/>
          <w:u w:color="000000"/>
        </w:rPr>
        <w:t>万元，住房保障支出</w:t>
      </w:r>
      <w:r w:rsidR="00316D20" w:rsidRPr="00316D20">
        <w:rPr>
          <w:rFonts w:ascii="仿宋_GB2312" w:eastAsia="仿宋_GB2312" w:hAnsiTheme="minorEastAsia" w:cs="Times New Roman"/>
          <w:sz w:val="32"/>
          <w:szCs w:val="32"/>
          <w:u w:color="000000"/>
        </w:rPr>
        <w:t>4862.89</w:t>
      </w:r>
      <w:r>
        <w:rPr>
          <w:rFonts w:ascii="仿宋_GB2312" w:eastAsia="仿宋_GB2312" w:hAnsiTheme="minorEastAsia" w:cs="Times New Roman" w:hint="eastAsia"/>
          <w:sz w:val="32"/>
          <w:szCs w:val="32"/>
          <w:u w:color="000000"/>
        </w:rPr>
        <w:t>万元。具体预算支出详见附件2。</w:t>
      </w:r>
    </w:p>
    <w:p w:rsidR="00387237" w:rsidRDefault="00387237" w:rsidP="003C194D">
      <w:pPr>
        <w:spacing w:after="0" w:line="360" w:lineRule="auto"/>
        <w:ind w:firstLineChars="200" w:firstLine="640"/>
        <w:jc w:val="both"/>
        <w:rPr>
          <w:rFonts w:ascii="仿宋_GB2312" w:eastAsia="仿宋_GB2312" w:hAnsiTheme="minorEastAsia" w:cs="Times New Roman"/>
          <w:sz w:val="32"/>
          <w:szCs w:val="32"/>
          <w:u w:color="000000"/>
        </w:rPr>
      </w:pPr>
      <w:r>
        <w:rPr>
          <w:rFonts w:ascii="仿宋_GB2312" w:eastAsia="仿宋_GB2312" w:cs="DengXian-Regular" w:hint="eastAsia"/>
          <w:sz w:val="32"/>
          <w:szCs w:val="32"/>
        </w:rPr>
        <w:t>2019年度区</w:t>
      </w:r>
      <w:r w:rsidR="00F025DB">
        <w:rPr>
          <w:rFonts w:ascii="仿宋_GB2312" w:eastAsia="仿宋_GB2312" w:cs="DengXian-Regular" w:hint="eastAsia"/>
          <w:sz w:val="32"/>
          <w:szCs w:val="32"/>
        </w:rPr>
        <w:t>教体</w:t>
      </w:r>
      <w:r w:rsidR="00F025DB">
        <w:rPr>
          <w:rFonts w:ascii="仿宋_GB2312" w:eastAsia="仿宋_GB2312" w:cs="DengXian-Regular"/>
          <w:sz w:val="32"/>
          <w:szCs w:val="32"/>
        </w:rPr>
        <w:t>局</w:t>
      </w:r>
      <w:r>
        <w:rPr>
          <w:rFonts w:ascii="仿宋_GB2312" w:eastAsia="仿宋_GB2312" w:hAnsiTheme="minorEastAsia" w:cs="Times New Roman" w:hint="eastAsia"/>
          <w:sz w:val="32"/>
          <w:szCs w:val="32"/>
          <w:u w:color="000000"/>
        </w:rPr>
        <w:t>决算支出为</w:t>
      </w:r>
      <w:r w:rsidR="00F025DB">
        <w:rPr>
          <w:rFonts w:ascii="仿宋_GB2312" w:eastAsia="仿宋_GB2312" w:hAnsiTheme="minorEastAsia" w:cs="Times New Roman"/>
          <w:sz w:val="32"/>
          <w:szCs w:val="32"/>
          <w:u w:color="000000"/>
        </w:rPr>
        <w:t>124</w:t>
      </w:r>
      <w:r w:rsidR="00F025DB" w:rsidRPr="00F025DB">
        <w:rPr>
          <w:rFonts w:ascii="仿宋_GB2312" w:eastAsia="仿宋_GB2312" w:hAnsiTheme="minorEastAsia" w:cs="Times New Roman"/>
          <w:sz w:val="32"/>
          <w:szCs w:val="32"/>
          <w:u w:color="000000"/>
        </w:rPr>
        <w:t>518.74</w:t>
      </w:r>
      <w:r>
        <w:rPr>
          <w:rFonts w:ascii="仿宋_GB2312" w:eastAsia="仿宋_GB2312" w:hAnsiTheme="minorEastAsia" w:cs="Times New Roman" w:hint="eastAsia"/>
          <w:sz w:val="32"/>
          <w:szCs w:val="32"/>
          <w:u w:color="000000"/>
        </w:rPr>
        <w:t>万元，其中：基本支出</w:t>
      </w:r>
      <w:r w:rsidR="00F025DB">
        <w:rPr>
          <w:rFonts w:ascii="仿宋_GB2312" w:eastAsia="仿宋_GB2312" w:hAnsiTheme="minorEastAsia" w:cs="Times New Roman"/>
          <w:sz w:val="32"/>
          <w:szCs w:val="32"/>
          <w:u w:color="000000"/>
        </w:rPr>
        <w:t>97</w:t>
      </w:r>
      <w:r w:rsidR="00F025DB" w:rsidRPr="00F025DB">
        <w:rPr>
          <w:rFonts w:ascii="仿宋_GB2312" w:eastAsia="仿宋_GB2312" w:hAnsiTheme="minorEastAsia" w:cs="Times New Roman"/>
          <w:sz w:val="32"/>
          <w:szCs w:val="32"/>
          <w:u w:color="000000"/>
        </w:rPr>
        <w:t>775.01</w:t>
      </w:r>
      <w:r>
        <w:rPr>
          <w:rFonts w:ascii="仿宋_GB2312" w:eastAsia="仿宋_GB2312" w:hAnsiTheme="minorEastAsia" w:cs="Times New Roman" w:hint="eastAsia"/>
          <w:sz w:val="32"/>
          <w:szCs w:val="32"/>
          <w:u w:color="000000"/>
        </w:rPr>
        <w:t>万元，项目支出</w:t>
      </w:r>
      <w:r w:rsidR="00F025DB">
        <w:rPr>
          <w:rFonts w:ascii="仿宋_GB2312" w:eastAsia="仿宋_GB2312" w:hAnsiTheme="minorEastAsia" w:cs="Times New Roman"/>
          <w:sz w:val="32"/>
          <w:szCs w:val="32"/>
          <w:u w:color="000000"/>
        </w:rPr>
        <w:t>26</w:t>
      </w:r>
      <w:r w:rsidR="00F025DB" w:rsidRPr="00F025DB">
        <w:rPr>
          <w:rFonts w:ascii="仿宋_GB2312" w:eastAsia="仿宋_GB2312" w:hAnsiTheme="minorEastAsia" w:cs="Times New Roman"/>
          <w:sz w:val="32"/>
          <w:szCs w:val="32"/>
          <w:u w:color="000000"/>
        </w:rPr>
        <w:t>743.73</w:t>
      </w:r>
      <w:r>
        <w:rPr>
          <w:rFonts w:ascii="仿宋_GB2312" w:eastAsia="仿宋_GB2312" w:hAnsiTheme="minorEastAsia" w:cs="Times New Roman" w:hint="eastAsia"/>
          <w:sz w:val="32"/>
          <w:szCs w:val="32"/>
          <w:u w:color="000000"/>
        </w:rPr>
        <w:t>万元。决算支出按功能分类包含：</w:t>
      </w:r>
      <w:r w:rsidR="00F025DB">
        <w:rPr>
          <w:rFonts w:ascii="仿宋_GB2312" w:eastAsia="仿宋_GB2312" w:hAnsiTheme="minorEastAsia" w:cs="Times New Roman" w:hint="eastAsia"/>
          <w:sz w:val="32"/>
          <w:szCs w:val="32"/>
          <w:u w:color="000000"/>
        </w:rPr>
        <w:t>教育</w:t>
      </w:r>
      <w:r>
        <w:rPr>
          <w:rFonts w:ascii="仿宋_GB2312" w:eastAsia="仿宋_GB2312" w:hAnsiTheme="minorEastAsia" w:cs="Times New Roman" w:hint="eastAsia"/>
          <w:sz w:val="32"/>
          <w:szCs w:val="32"/>
          <w:u w:color="000000"/>
        </w:rPr>
        <w:t>支出</w:t>
      </w:r>
      <w:r w:rsidR="00F025DB">
        <w:rPr>
          <w:rFonts w:ascii="仿宋_GB2312" w:eastAsia="仿宋_GB2312" w:hAnsiTheme="minorEastAsia" w:cs="Times New Roman"/>
          <w:sz w:val="32"/>
          <w:szCs w:val="32"/>
          <w:u w:color="000000"/>
        </w:rPr>
        <w:t>105</w:t>
      </w:r>
      <w:r w:rsidR="00F025DB" w:rsidRPr="00F025DB">
        <w:rPr>
          <w:rFonts w:ascii="仿宋_GB2312" w:eastAsia="仿宋_GB2312" w:hAnsiTheme="minorEastAsia" w:cs="Times New Roman"/>
          <w:sz w:val="32"/>
          <w:szCs w:val="32"/>
          <w:u w:color="000000"/>
        </w:rPr>
        <w:t>461.51</w:t>
      </w:r>
      <w:r>
        <w:rPr>
          <w:rFonts w:ascii="仿宋_GB2312" w:eastAsia="仿宋_GB2312" w:hAnsiTheme="minorEastAsia" w:cs="Times New Roman" w:hint="eastAsia"/>
          <w:sz w:val="32"/>
          <w:szCs w:val="32"/>
          <w:u w:color="000000"/>
        </w:rPr>
        <w:t>万元，占比</w:t>
      </w:r>
      <w:r w:rsidR="00F025DB">
        <w:rPr>
          <w:rFonts w:ascii="仿宋_GB2312" w:eastAsia="仿宋_GB2312" w:hAnsiTheme="minorEastAsia" w:cs="Times New Roman"/>
          <w:sz w:val="32"/>
          <w:szCs w:val="32"/>
          <w:u w:color="000000"/>
        </w:rPr>
        <w:t>84.7</w:t>
      </w:r>
      <w:r>
        <w:rPr>
          <w:rFonts w:ascii="仿宋_GB2312" w:eastAsia="仿宋_GB2312" w:hAnsiTheme="minorEastAsia" w:cs="Times New Roman" w:hint="eastAsia"/>
          <w:sz w:val="32"/>
          <w:szCs w:val="32"/>
          <w:u w:color="000000"/>
        </w:rPr>
        <w:t>%；社会保障和就业支出</w:t>
      </w:r>
      <w:r w:rsidR="00F025DB" w:rsidRPr="00F025DB">
        <w:rPr>
          <w:rFonts w:ascii="仿宋_GB2312" w:eastAsia="仿宋_GB2312" w:hAnsiTheme="minorEastAsia" w:cs="Times New Roman"/>
          <w:sz w:val="32"/>
          <w:szCs w:val="32"/>
          <w:u w:color="000000"/>
        </w:rPr>
        <w:t>11703.40</w:t>
      </w:r>
      <w:r>
        <w:rPr>
          <w:rFonts w:ascii="仿宋_GB2312" w:eastAsia="仿宋_GB2312" w:hAnsiTheme="minorEastAsia" w:cs="Times New Roman" w:hint="eastAsia"/>
          <w:sz w:val="32"/>
          <w:szCs w:val="32"/>
          <w:u w:color="000000"/>
        </w:rPr>
        <w:t>万元，占比</w:t>
      </w:r>
      <w:r w:rsidR="00F025DB">
        <w:rPr>
          <w:rFonts w:ascii="仿宋_GB2312" w:eastAsia="仿宋_GB2312" w:hAnsiTheme="minorEastAsia" w:cs="Times New Roman"/>
          <w:sz w:val="32"/>
          <w:szCs w:val="32"/>
          <w:u w:color="000000"/>
        </w:rPr>
        <w:t>9.4</w:t>
      </w:r>
      <w:r>
        <w:rPr>
          <w:rFonts w:ascii="仿宋_GB2312" w:eastAsia="仿宋_GB2312" w:hAnsiTheme="minorEastAsia" w:cs="Times New Roman" w:hint="eastAsia"/>
          <w:sz w:val="32"/>
          <w:szCs w:val="32"/>
          <w:u w:color="000000"/>
        </w:rPr>
        <w:t>%；医疗卫生与计划教育支出</w:t>
      </w:r>
      <w:r w:rsidR="00F025DB">
        <w:rPr>
          <w:rFonts w:ascii="仿宋_GB2312" w:eastAsia="仿宋_GB2312" w:hAnsiTheme="minorEastAsia" w:cs="Times New Roman"/>
          <w:sz w:val="32"/>
          <w:szCs w:val="32"/>
          <w:u w:color="000000"/>
        </w:rPr>
        <w:t>2</w:t>
      </w:r>
      <w:r w:rsidR="00F025DB" w:rsidRPr="00F025DB">
        <w:rPr>
          <w:rFonts w:ascii="仿宋_GB2312" w:eastAsia="仿宋_GB2312" w:hAnsiTheme="minorEastAsia" w:cs="Times New Roman"/>
          <w:sz w:val="32"/>
          <w:szCs w:val="32"/>
          <w:u w:color="000000"/>
        </w:rPr>
        <w:t>443.68</w:t>
      </w:r>
      <w:r>
        <w:rPr>
          <w:rFonts w:ascii="仿宋_GB2312" w:eastAsia="仿宋_GB2312" w:hAnsiTheme="minorEastAsia" w:cs="Times New Roman" w:hint="eastAsia"/>
          <w:sz w:val="32"/>
          <w:szCs w:val="32"/>
          <w:u w:color="000000"/>
        </w:rPr>
        <w:t>万元，占比</w:t>
      </w:r>
      <w:r w:rsidR="00F025DB">
        <w:rPr>
          <w:rFonts w:ascii="仿宋_GB2312" w:eastAsia="仿宋_GB2312" w:hAnsiTheme="minorEastAsia" w:cs="Times New Roman"/>
          <w:sz w:val="32"/>
          <w:szCs w:val="32"/>
          <w:u w:color="000000"/>
        </w:rPr>
        <w:t>1.9</w:t>
      </w:r>
      <w:r w:rsidR="00081719">
        <w:rPr>
          <w:rFonts w:ascii="仿宋_GB2312" w:eastAsia="仿宋_GB2312" w:hAnsiTheme="minorEastAsia" w:cs="Times New Roman"/>
          <w:sz w:val="32"/>
          <w:szCs w:val="32"/>
          <w:u w:color="000000"/>
        </w:rPr>
        <w:t>7</w:t>
      </w:r>
      <w:r>
        <w:rPr>
          <w:rFonts w:ascii="仿宋_GB2312" w:eastAsia="仿宋_GB2312" w:hAnsiTheme="minorEastAsia" w:cs="Times New Roman" w:hint="eastAsia"/>
          <w:sz w:val="32"/>
          <w:szCs w:val="32"/>
          <w:u w:color="000000"/>
        </w:rPr>
        <w:t>%；住房保障支出</w:t>
      </w:r>
      <w:r w:rsidR="00F025DB">
        <w:rPr>
          <w:rFonts w:ascii="仿宋_GB2312" w:eastAsia="仿宋_GB2312" w:hAnsiTheme="minorEastAsia" w:cs="Times New Roman"/>
          <w:sz w:val="32"/>
          <w:szCs w:val="32"/>
          <w:u w:color="000000"/>
        </w:rPr>
        <w:t>4</w:t>
      </w:r>
      <w:r w:rsidR="00F025DB" w:rsidRPr="00F025DB">
        <w:rPr>
          <w:rFonts w:ascii="仿宋_GB2312" w:eastAsia="仿宋_GB2312" w:hAnsiTheme="minorEastAsia" w:cs="Times New Roman"/>
          <w:sz w:val="32"/>
          <w:szCs w:val="32"/>
          <w:u w:color="000000"/>
        </w:rPr>
        <w:t>857.74</w:t>
      </w:r>
      <w:r>
        <w:rPr>
          <w:rFonts w:ascii="仿宋_GB2312" w:eastAsia="仿宋_GB2312" w:hAnsiTheme="minorEastAsia" w:cs="Times New Roman" w:hint="eastAsia"/>
          <w:sz w:val="32"/>
          <w:szCs w:val="32"/>
          <w:u w:color="000000"/>
        </w:rPr>
        <w:t>万元，占比</w:t>
      </w:r>
      <w:r w:rsidR="00F025DB">
        <w:rPr>
          <w:rFonts w:ascii="仿宋_GB2312" w:eastAsia="仿宋_GB2312" w:hAnsiTheme="minorEastAsia" w:cs="Times New Roman"/>
          <w:sz w:val="32"/>
          <w:szCs w:val="32"/>
          <w:u w:color="000000"/>
        </w:rPr>
        <w:t>3.9</w:t>
      </w:r>
      <w:r w:rsidR="00081719">
        <w:rPr>
          <w:rFonts w:ascii="仿宋_GB2312" w:eastAsia="仿宋_GB2312" w:hAnsiTheme="minorEastAsia" w:cs="Times New Roman"/>
          <w:sz w:val="32"/>
          <w:szCs w:val="32"/>
          <w:u w:color="000000"/>
        </w:rPr>
        <w:t>1</w:t>
      </w:r>
      <w:r>
        <w:rPr>
          <w:rFonts w:ascii="仿宋_GB2312" w:eastAsia="仿宋_GB2312" w:hAnsiTheme="minorEastAsia" w:cs="Times New Roman" w:hint="eastAsia"/>
          <w:sz w:val="32"/>
          <w:szCs w:val="32"/>
          <w:u w:color="000000"/>
        </w:rPr>
        <w:t>%。具体决算支出详见附件2。决算支出结构如图3。</w:t>
      </w:r>
    </w:p>
    <w:p w:rsidR="00387237" w:rsidRDefault="00C362D5" w:rsidP="00387237">
      <w:pPr>
        <w:spacing w:after="0" w:line="360" w:lineRule="auto"/>
        <w:jc w:val="center"/>
        <w:rPr>
          <w:rFonts w:ascii="仿宋_GB2312" w:eastAsia="仿宋_GB2312" w:hAnsiTheme="minorEastAsia" w:cs="Times New Roman"/>
          <w:sz w:val="32"/>
          <w:szCs w:val="32"/>
          <w:u w:color="000000"/>
        </w:rPr>
      </w:pPr>
      <w:r>
        <w:rPr>
          <w:noProof/>
        </w:rPr>
        <w:drawing>
          <wp:anchor distT="0" distB="0" distL="114300" distR="114300" simplePos="0" relativeHeight="251671552" behindDoc="0" locked="0" layoutInCell="1" allowOverlap="1" wp14:anchorId="6D3D9FF2" wp14:editId="702DFA60">
            <wp:simplePos x="0" y="0"/>
            <wp:positionH relativeFrom="margin">
              <wp:align>left</wp:align>
            </wp:positionH>
            <wp:positionV relativeFrom="paragraph">
              <wp:posOffset>479278</wp:posOffset>
            </wp:positionV>
            <wp:extent cx="5357495" cy="2765425"/>
            <wp:effectExtent l="0" t="0" r="14605" b="15875"/>
            <wp:wrapTopAndBottom/>
            <wp:docPr id="3" name="图表 3" title="单位"/>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387237">
        <w:rPr>
          <w:rFonts w:asciiTheme="minorEastAsia" w:eastAsiaTheme="minorEastAsia" w:hAnsiTheme="minorEastAsia" w:cstheme="minorEastAsia" w:hint="eastAsia"/>
          <w:b/>
          <w:bCs/>
          <w:sz w:val="32"/>
          <w:szCs w:val="32"/>
          <w:u w:color="000000"/>
        </w:rPr>
        <w:t xml:space="preserve">图3  </w:t>
      </w:r>
      <w:r w:rsidR="00387237" w:rsidRPr="00ED714B">
        <w:rPr>
          <w:rFonts w:asciiTheme="minorEastAsia" w:eastAsiaTheme="minorEastAsia" w:hAnsiTheme="minorEastAsia" w:cstheme="minorEastAsia" w:hint="eastAsia"/>
          <w:b/>
          <w:bCs/>
          <w:sz w:val="32"/>
          <w:szCs w:val="32"/>
          <w:u w:color="000000"/>
        </w:rPr>
        <w:t>2019年度</w:t>
      </w:r>
      <w:r w:rsidR="00ED714B" w:rsidRPr="00ED714B">
        <w:rPr>
          <w:rFonts w:asciiTheme="minorEastAsia" w:eastAsiaTheme="minorEastAsia" w:hAnsiTheme="minorEastAsia" w:cstheme="minorEastAsia" w:hint="eastAsia"/>
          <w:b/>
          <w:bCs/>
          <w:sz w:val="32"/>
          <w:szCs w:val="32"/>
          <w:u w:color="000000"/>
        </w:rPr>
        <w:t>区教体局</w:t>
      </w:r>
      <w:r w:rsidR="00387237">
        <w:rPr>
          <w:rFonts w:asciiTheme="minorEastAsia" w:eastAsiaTheme="minorEastAsia" w:hAnsiTheme="minorEastAsia" w:cstheme="minorEastAsia" w:hint="eastAsia"/>
          <w:b/>
          <w:bCs/>
          <w:sz w:val="32"/>
          <w:szCs w:val="32"/>
          <w:u w:color="000000"/>
        </w:rPr>
        <w:t>决算支出结构图</w:t>
      </w:r>
    </w:p>
    <w:p w:rsidR="00387237" w:rsidRDefault="00387237" w:rsidP="00387237">
      <w:pPr>
        <w:spacing w:after="0" w:line="360" w:lineRule="auto"/>
        <w:ind w:firstLineChars="200" w:firstLine="640"/>
        <w:jc w:val="both"/>
        <w:rPr>
          <w:rFonts w:ascii="仿宋" w:eastAsia="仿宋" w:hAnsi="仿宋"/>
          <w:snapToGrid w:val="0"/>
          <w:sz w:val="32"/>
          <w:szCs w:val="32"/>
        </w:rPr>
      </w:pPr>
      <w:r>
        <w:rPr>
          <w:rFonts w:ascii="仿宋_GB2312" w:eastAsia="仿宋_GB2312" w:cs="DengXian-Regular" w:hint="eastAsia"/>
          <w:sz w:val="32"/>
          <w:szCs w:val="32"/>
        </w:rPr>
        <w:lastRenderedPageBreak/>
        <w:t>财政拨款决算支出比年初预算增加</w:t>
      </w:r>
      <w:r w:rsidR="00FF4E5E">
        <w:rPr>
          <w:rFonts w:ascii="仿宋_GB2312" w:eastAsia="仿宋_GB2312" w:cs="DengXian-Regular"/>
          <w:sz w:val="32"/>
          <w:szCs w:val="32"/>
        </w:rPr>
        <w:t>10421.43</w:t>
      </w:r>
      <w:r>
        <w:rPr>
          <w:rFonts w:ascii="仿宋_GB2312" w:eastAsia="仿宋_GB2312" w:cs="DengXian-Regular" w:hint="eastAsia"/>
          <w:sz w:val="32"/>
          <w:szCs w:val="32"/>
        </w:rPr>
        <w:t>万元。决算支出完成年初预算的</w:t>
      </w:r>
      <w:r w:rsidR="00FF4E5E">
        <w:rPr>
          <w:rFonts w:ascii="仿宋_GB2312" w:eastAsia="仿宋_GB2312" w:cs="DengXian-Regular"/>
          <w:sz w:val="32"/>
          <w:szCs w:val="32"/>
        </w:rPr>
        <w:t>109.3</w:t>
      </w:r>
      <w:r>
        <w:rPr>
          <w:rFonts w:ascii="仿宋_GB2312" w:eastAsia="仿宋_GB2312" w:cs="DengXian-Regular" w:hint="eastAsia"/>
          <w:sz w:val="32"/>
          <w:szCs w:val="32"/>
        </w:rPr>
        <w:t>%。</w:t>
      </w:r>
      <w:r>
        <w:rPr>
          <w:rFonts w:ascii="仿宋_GB2312" w:eastAsia="仿宋_GB2312" w:hAnsiTheme="minorEastAsia" w:cs="Times New Roman" w:hint="eastAsia"/>
          <w:sz w:val="32"/>
          <w:szCs w:val="32"/>
          <w:u w:color="000000"/>
        </w:rPr>
        <w:t>决算支出大于预算支出的</w:t>
      </w:r>
      <w:r>
        <w:rPr>
          <w:rFonts w:ascii="仿宋_GB2312" w:eastAsia="仿宋_GB2312" w:cs="DengXian-Regular" w:hint="eastAsia"/>
          <w:sz w:val="32"/>
          <w:szCs w:val="32"/>
        </w:rPr>
        <w:t>主要原因为</w:t>
      </w:r>
      <w:r w:rsidR="003F5385">
        <w:rPr>
          <w:rFonts w:ascii="仿宋_GB2312" w:eastAsia="仿宋_GB2312" w:cs="DengXian-Regular"/>
          <w:sz w:val="32"/>
          <w:szCs w:val="32"/>
        </w:rPr>
        <w:t>2019</w:t>
      </w:r>
      <w:r w:rsidR="003F5385">
        <w:rPr>
          <w:rFonts w:ascii="仿宋_GB2312" w:eastAsia="仿宋_GB2312" w:cs="DengXian-Regular" w:hint="eastAsia"/>
          <w:sz w:val="32"/>
          <w:szCs w:val="32"/>
        </w:rPr>
        <w:t>年</w:t>
      </w:r>
      <w:r w:rsidR="003F5385">
        <w:rPr>
          <w:rFonts w:ascii="仿宋_GB2312" w:eastAsia="仿宋_GB2312" w:cs="DengXian-Regular"/>
          <w:sz w:val="32"/>
          <w:szCs w:val="32"/>
        </w:rPr>
        <w:t>度发放</w:t>
      </w:r>
      <w:r w:rsidR="003F5385">
        <w:rPr>
          <w:rFonts w:ascii="仿宋_GB2312" w:eastAsia="仿宋_GB2312" w:cs="DengXian-Regular" w:hint="eastAsia"/>
          <w:sz w:val="32"/>
          <w:szCs w:val="32"/>
        </w:rPr>
        <w:t>精神</w:t>
      </w:r>
      <w:r w:rsidR="003F5385">
        <w:rPr>
          <w:rFonts w:ascii="仿宋_GB2312" w:eastAsia="仿宋_GB2312" w:cs="DengXian-Regular"/>
          <w:sz w:val="32"/>
          <w:szCs w:val="32"/>
        </w:rPr>
        <w:t>文明奖、绩</w:t>
      </w:r>
      <w:r w:rsidR="003F5385">
        <w:rPr>
          <w:rFonts w:ascii="仿宋_GB2312" w:eastAsia="仿宋_GB2312" w:cs="DengXian-Regular" w:hint="eastAsia"/>
          <w:sz w:val="32"/>
          <w:szCs w:val="32"/>
        </w:rPr>
        <w:t>效</w:t>
      </w:r>
      <w:r w:rsidR="003F5385">
        <w:rPr>
          <w:rFonts w:ascii="仿宋_GB2312" w:eastAsia="仿宋_GB2312" w:cs="DengXian-Regular"/>
          <w:sz w:val="32"/>
          <w:szCs w:val="32"/>
        </w:rPr>
        <w:t>目标奖</w:t>
      </w:r>
      <w:r w:rsidR="003F5385">
        <w:rPr>
          <w:rFonts w:ascii="仿宋_GB2312" w:eastAsia="仿宋_GB2312" w:cs="DengXian-Regular" w:hint="eastAsia"/>
          <w:sz w:val="32"/>
          <w:szCs w:val="32"/>
        </w:rPr>
        <w:t>等</w:t>
      </w:r>
      <w:r>
        <w:rPr>
          <w:rFonts w:ascii="仿宋" w:eastAsia="仿宋" w:hAnsi="仿宋" w:hint="eastAsia"/>
          <w:snapToGrid w:val="0"/>
          <w:sz w:val="32"/>
          <w:szCs w:val="32"/>
        </w:rPr>
        <w:t>。预算支出与决算支出对比情况如图4。</w:t>
      </w:r>
    </w:p>
    <w:p w:rsidR="00387237" w:rsidRDefault="00AE7699" w:rsidP="00387237">
      <w:pPr>
        <w:spacing w:after="0" w:line="360" w:lineRule="auto"/>
        <w:jc w:val="center"/>
        <w:rPr>
          <w:rFonts w:ascii="仿宋_GB2312" w:eastAsia="仿宋_GB2312" w:cs="DengXian-Regular"/>
          <w:sz w:val="32"/>
          <w:szCs w:val="32"/>
        </w:rPr>
      </w:pPr>
      <w:r>
        <w:rPr>
          <w:noProof/>
        </w:rPr>
        <w:drawing>
          <wp:anchor distT="0" distB="0" distL="114300" distR="114300" simplePos="0" relativeHeight="251676672" behindDoc="0" locked="0" layoutInCell="1" allowOverlap="1" wp14:anchorId="730370FF" wp14:editId="6612DF58">
            <wp:simplePos x="0" y="0"/>
            <wp:positionH relativeFrom="margin">
              <wp:align>right</wp:align>
            </wp:positionH>
            <wp:positionV relativeFrom="paragraph">
              <wp:posOffset>448955</wp:posOffset>
            </wp:positionV>
            <wp:extent cx="5266690" cy="3710305"/>
            <wp:effectExtent l="0" t="0" r="10160" b="4445"/>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00387237">
        <w:rPr>
          <w:rFonts w:asciiTheme="minorEastAsia" w:eastAsiaTheme="minorEastAsia" w:hAnsiTheme="minorEastAsia" w:cstheme="minorEastAsia" w:hint="eastAsia"/>
          <w:b/>
          <w:bCs/>
          <w:sz w:val="32"/>
          <w:szCs w:val="32"/>
        </w:rPr>
        <w:t xml:space="preserve">图4  </w:t>
      </w:r>
      <w:r w:rsidR="00387237" w:rsidRPr="00ED714B">
        <w:rPr>
          <w:rFonts w:asciiTheme="minorEastAsia" w:eastAsiaTheme="minorEastAsia" w:hAnsiTheme="minorEastAsia" w:cstheme="minorEastAsia" w:hint="eastAsia"/>
          <w:b/>
          <w:bCs/>
          <w:sz w:val="32"/>
          <w:szCs w:val="32"/>
        </w:rPr>
        <w:t>2019年度</w:t>
      </w:r>
      <w:r w:rsidR="00ED714B" w:rsidRPr="00ED714B">
        <w:rPr>
          <w:rFonts w:asciiTheme="minorEastAsia" w:eastAsiaTheme="minorEastAsia" w:hAnsiTheme="minorEastAsia" w:cstheme="minorEastAsia" w:hint="eastAsia"/>
          <w:b/>
          <w:bCs/>
          <w:sz w:val="32"/>
          <w:szCs w:val="32"/>
        </w:rPr>
        <w:t>区教体局</w:t>
      </w:r>
      <w:r w:rsidR="00387237">
        <w:rPr>
          <w:rFonts w:asciiTheme="minorEastAsia" w:eastAsiaTheme="minorEastAsia" w:hAnsiTheme="minorEastAsia" w:cstheme="minorEastAsia" w:hint="eastAsia"/>
          <w:b/>
          <w:bCs/>
          <w:sz w:val="32"/>
          <w:szCs w:val="32"/>
        </w:rPr>
        <w:t>预算支出与决算支出对比图</w:t>
      </w:r>
    </w:p>
    <w:p w:rsidR="00AE7699" w:rsidRDefault="00AE7699" w:rsidP="00387237">
      <w:pPr>
        <w:spacing w:after="0" w:line="360" w:lineRule="auto"/>
        <w:ind w:firstLineChars="200" w:firstLine="640"/>
        <w:jc w:val="both"/>
        <w:rPr>
          <w:rFonts w:ascii="仿宋_GB2312" w:eastAsia="仿宋_GB2312" w:cs="DengXian-Regular"/>
          <w:sz w:val="32"/>
          <w:szCs w:val="32"/>
        </w:rPr>
      </w:pPr>
    </w:p>
    <w:p w:rsidR="00387237" w:rsidRDefault="00387237" w:rsidP="00387237">
      <w:pPr>
        <w:spacing w:after="0" w:line="360" w:lineRule="auto"/>
        <w:ind w:firstLineChars="200" w:firstLine="640"/>
        <w:jc w:val="both"/>
        <w:rPr>
          <w:rFonts w:ascii="仿宋_GB2312" w:eastAsia="仿宋_GB2312" w:cs="DengXian-Regular"/>
          <w:sz w:val="32"/>
          <w:szCs w:val="32"/>
        </w:rPr>
      </w:pPr>
      <w:proofErr w:type="gramStart"/>
      <w:r>
        <w:rPr>
          <w:rFonts w:ascii="仿宋_GB2312" w:eastAsia="仿宋_GB2312" w:cs="DengXian-Regular" w:hint="eastAsia"/>
          <w:sz w:val="32"/>
          <w:szCs w:val="32"/>
        </w:rPr>
        <w:t>区</w:t>
      </w:r>
      <w:r w:rsidR="00AE2B6A">
        <w:rPr>
          <w:rFonts w:ascii="仿宋_GB2312" w:eastAsia="仿宋_GB2312" w:cs="DengXian-Regular" w:hint="eastAsia"/>
          <w:sz w:val="32"/>
          <w:szCs w:val="32"/>
        </w:rPr>
        <w:t>教体</w:t>
      </w:r>
      <w:r w:rsidR="00AE2B6A">
        <w:rPr>
          <w:rFonts w:ascii="仿宋_GB2312" w:eastAsia="仿宋_GB2312" w:cs="DengXian-Regular"/>
          <w:sz w:val="32"/>
          <w:szCs w:val="32"/>
        </w:rPr>
        <w:t>局</w:t>
      </w:r>
      <w:proofErr w:type="gramEnd"/>
      <w:r>
        <w:rPr>
          <w:rFonts w:ascii="仿宋_GB2312" w:eastAsia="仿宋_GB2312" w:cs="DengXian-Regular" w:hint="eastAsia"/>
          <w:sz w:val="32"/>
          <w:szCs w:val="32"/>
        </w:rPr>
        <w:t>2019年实际项目支出</w:t>
      </w:r>
      <w:r w:rsidR="00AE2B6A">
        <w:rPr>
          <w:rFonts w:ascii="仿宋_GB2312" w:eastAsia="仿宋_GB2312" w:cs="DengXian-Regular"/>
          <w:sz w:val="32"/>
          <w:szCs w:val="32"/>
        </w:rPr>
        <w:t>26</w:t>
      </w:r>
      <w:r w:rsidR="00AE2B6A" w:rsidRPr="00AE2B6A">
        <w:rPr>
          <w:rFonts w:ascii="仿宋_GB2312" w:eastAsia="仿宋_GB2312" w:cs="DengXian-Regular"/>
          <w:sz w:val="32"/>
          <w:szCs w:val="32"/>
        </w:rPr>
        <w:t>743.73</w:t>
      </w:r>
      <w:r>
        <w:rPr>
          <w:rFonts w:ascii="仿宋_GB2312" w:eastAsia="仿宋_GB2312" w:cs="DengXian-Regular" w:hint="eastAsia"/>
          <w:sz w:val="32"/>
          <w:szCs w:val="32"/>
        </w:rPr>
        <w:t>万元，决算报表</w:t>
      </w:r>
      <w:proofErr w:type="gramStart"/>
      <w:r>
        <w:rPr>
          <w:rFonts w:ascii="仿宋_GB2312" w:eastAsia="仿宋_GB2312" w:cs="DengXian-Regular" w:hint="eastAsia"/>
          <w:sz w:val="32"/>
          <w:szCs w:val="32"/>
        </w:rPr>
        <w:t>中项目</w:t>
      </w:r>
      <w:proofErr w:type="gramEnd"/>
      <w:r>
        <w:rPr>
          <w:rFonts w:ascii="仿宋_GB2312" w:eastAsia="仿宋_GB2312" w:cs="DengXian-Regular" w:hint="eastAsia"/>
          <w:sz w:val="32"/>
          <w:szCs w:val="32"/>
        </w:rPr>
        <w:t>支出</w:t>
      </w:r>
      <w:r w:rsidR="00AE2B6A">
        <w:rPr>
          <w:rFonts w:ascii="仿宋_GB2312" w:eastAsia="仿宋_GB2312" w:cs="DengXian-Regular"/>
          <w:sz w:val="32"/>
          <w:szCs w:val="32"/>
        </w:rPr>
        <w:t>26</w:t>
      </w:r>
      <w:r w:rsidR="00AE2B6A" w:rsidRPr="00AE2B6A">
        <w:rPr>
          <w:rFonts w:ascii="仿宋_GB2312" w:eastAsia="仿宋_GB2312" w:cs="DengXian-Regular"/>
          <w:sz w:val="32"/>
          <w:szCs w:val="32"/>
        </w:rPr>
        <w:t>743.73</w:t>
      </w:r>
      <w:r>
        <w:rPr>
          <w:rFonts w:ascii="仿宋_GB2312" w:eastAsia="仿宋_GB2312" w:cs="DengXian-Regular" w:hint="eastAsia"/>
          <w:sz w:val="32"/>
          <w:szCs w:val="32"/>
        </w:rPr>
        <w:t>万元，实际支出与决算报表差</w:t>
      </w:r>
      <w:r w:rsidR="00AE2B6A">
        <w:rPr>
          <w:rFonts w:ascii="仿宋_GB2312" w:eastAsia="仿宋_GB2312" w:cs="DengXian-Regular"/>
          <w:sz w:val="32"/>
          <w:szCs w:val="32"/>
        </w:rPr>
        <w:t>0</w:t>
      </w:r>
      <w:r>
        <w:rPr>
          <w:rFonts w:ascii="仿宋_GB2312" w:eastAsia="仿宋_GB2312" w:cs="DengXian-Regular" w:hint="eastAsia"/>
          <w:sz w:val="32"/>
          <w:szCs w:val="32"/>
        </w:rPr>
        <w:t>万元。</w:t>
      </w:r>
    </w:p>
    <w:p w:rsidR="00387237" w:rsidRDefault="00387237" w:rsidP="00387237">
      <w:pPr>
        <w:pStyle w:val="3"/>
        <w:spacing w:before="0" w:after="0"/>
        <w:ind w:firstLineChars="200" w:firstLine="643"/>
        <w:jc w:val="both"/>
        <w:rPr>
          <w:rFonts w:ascii="仿宋_GB2312" w:hAnsi="Tahoma" w:cs="DengXian-Regular"/>
          <w:sz w:val="32"/>
        </w:rPr>
      </w:pPr>
      <w:bookmarkStart w:id="14" w:name="_Toc492652769"/>
      <w:bookmarkStart w:id="15" w:name="_Toc465149503"/>
      <w:bookmarkStart w:id="16" w:name="_Toc19291"/>
      <w:r>
        <w:rPr>
          <w:rFonts w:ascii="仿宋_GB2312" w:hAnsi="Tahoma" w:cs="DengXian-Regular" w:hint="eastAsia"/>
          <w:sz w:val="32"/>
        </w:rPr>
        <w:t>（五）“三公”经费预算安排及支出情况</w:t>
      </w:r>
      <w:bookmarkEnd w:id="14"/>
      <w:bookmarkEnd w:id="15"/>
      <w:bookmarkEnd w:id="16"/>
    </w:p>
    <w:p w:rsidR="00387237" w:rsidRDefault="00387237" w:rsidP="00387237">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2019年区</w:t>
      </w:r>
      <w:r w:rsidR="00DF658A">
        <w:rPr>
          <w:rFonts w:ascii="仿宋_GB2312" w:eastAsia="仿宋_GB2312" w:cs="DengXian-Regular" w:hint="eastAsia"/>
          <w:sz w:val="32"/>
          <w:szCs w:val="32"/>
        </w:rPr>
        <w:t>教体</w:t>
      </w:r>
      <w:r w:rsidR="00DF658A">
        <w:rPr>
          <w:rFonts w:ascii="仿宋_GB2312" w:eastAsia="仿宋_GB2312" w:cs="DengXian-Regular"/>
          <w:sz w:val="32"/>
          <w:szCs w:val="32"/>
        </w:rPr>
        <w:t>局</w:t>
      </w:r>
      <w:r>
        <w:rPr>
          <w:rFonts w:ascii="仿宋_GB2312" w:eastAsia="仿宋_GB2312" w:cs="DengXian-Regular" w:hint="eastAsia"/>
          <w:sz w:val="32"/>
          <w:szCs w:val="32"/>
        </w:rPr>
        <w:t>“三公”经费预算</w:t>
      </w:r>
      <w:r w:rsidR="00DF658A">
        <w:rPr>
          <w:rFonts w:ascii="仿宋_GB2312" w:eastAsia="仿宋_GB2312" w:cs="DengXian-Regular"/>
          <w:sz w:val="32"/>
          <w:szCs w:val="32"/>
        </w:rPr>
        <w:t>53.3</w:t>
      </w:r>
      <w:r>
        <w:rPr>
          <w:rFonts w:ascii="仿宋_GB2312" w:eastAsia="仿宋_GB2312" w:cs="DengXian-Regular" w:hint="eastAsia"/>
          <w:sz w:val="32"/>
          <w:szCs w:val="32"/>
        </w:rPr>
        <w:t>万元（公务用车运行维护费</w:t>
      </w:r>
      <w:r w:rsidR="00DF658A">
        <w:rPr>
          <w:rFonts w:ascii="仿宋_GB2312" w:eastAsia="仿宋_GB2312" w:cs="DengXian-Regular"/>
          <w:sz w:val="32"/>
          <w:szCs w:val="32"/>
        </w:rPr>
        <w:t>39.5</w:t>
      </w:r>
      <w:r>
        <w:rPr>
          <w:rFonts w:ascii="仿宋_GB2312" w:eastAsia="仿宋_GB2312" w:cs="DengXian-Regular" w:hint="eastAsia"/>
          <w:sz w:val="32"/>
          <w:szCs w:val="32"/>
        </w:rPr>
        <w:t>万元，公务接待费</w:t>
      </w:r>
      <w:r w:rsidR="00DF658A">
        <w:rPr>
          <w:rFonts w:ascii="仿宋_GB2312" w:eastAsia="仿宋_GB2312" w:cs="DengXian-Regular"/>
          <w:sz w:val="32"/>
          <w:szCs w:val="32"/>
        </w:rPr>
        <w:t>13.8</w:t>
      </w:r>
      <w:r>
        <w:rPr>
          <w:rFonts w:ascii="仿宋_GB2312" w:eastAsia="仿宋_GB2312" w:cs="DengXian-Regular" w:hint="eastAsia"/>
          <w:sz w:val="32"/>
          <w:szCs w:val="32"/>
        </w:rPr>
        <w:t>万元），实际支出</w:t>
      </w:r>
      <w:r w:rsidR="00366831">
        <w:rPr>
          <w:rFonts w:ascii="仿宋_GB2312" w:eastAsia="仿宋_GB2312" w:cs="DengXian-Regular"/>
          <w:sz w:val="32"/>
          <w:szCs w:val="32"/>
        </w:rPr>
        <w:t>21.31</w:t>
      </w:r>
      <w:r>
        <w:rPr>
          <w:rFonts w:ascii="仿宋_GB2312" w:eastAsia="仿宋_GB2312" w:cs="DengXian-Regular" w:hint="eastAsia"/>
          <w:sz w:val="32"/>
          <w:szCs w:val="32"/>
        </w:rPr>
        <w:t>万元（公务用车运行维护费</w:t>
      </w:r>
      <w:r w:rsidR="00366831">
        <w:rPr>
          <w:rFonts w:ascii="仿宋_GB2312" w:eastAsia="仿宋_GB2312" w:cs="DengXian-Regular"/>
          <w:sz w:val="32"/>
          <w:szCs w:val="32"/>
        </w:rPr>
        <w:t>15.67</w:t>
      </w:r>
      <w:r>
        <w:rPr>
          <w:rFonts w:ascii="仿宋_GB2312" w:eastAsia="仿宋_GB2312" w:cs="DengXian-Regular" w:hint="eastAsia"/>
          <w:sz w:val="32"/>
          <w:szCs w:val="32"/>
        </w:rPr>
        <w:t>万元，公务接待</w:t>
      </w:r>
      <w:r>
        <w:rPr>
          <w:rFonts w:ascii="仿宋_GB2312" w:eastAsia="仿宋_GB2312" w:cs="DengXian-Regular" w:hint="eastAsia"/>
          <w:sz w:val="32"/>
          <w:szCs w:val="32"/>
        </w:rPr>
        <w:lastRenderedPageBreak/>
        <w:t>费</w:t>
      </w:r>
      <w:r w:rsidR="00366831">
        <w:rPr>
          <w:rFonts w:ascii="仿宋_GB2312" w:eastAsia="仿宋_GB2312" w:cs="DengXian-Regular"/>
          <w:sz w:val="32"/>
          <w:szCs w:val="32"/>
        </w:rPr>
        <w:t>5.64</w:t>
      </w:r>
      <w:r>
        <w:rPr>
          <w:rFonts w:ascii="仿宋_GB2312" w:eastAsia="仿宋_GB2312" w:cs="DengXian-Regular" w:hint="eastAsia"/>
          <w:sz w:val="32"/>
          <w:szCs w:val="32"/>
        </w:rPr>
        <w:t>万元），比预算减少</w:t>
      </w:r>
      <w:r w:rsidR="00366831">
        <w:rPr>
          <w:rFonts w:ascii="仿宋_GB2312" w:eastAsia="仿宋_GB2312" w:cs="DengXian-Regular"/>
          <w:sz w:val="32"/>
          <w:szCs w:val="32"/>
        </w:rPr>
        <w:t>31.99</w:t>
      </w:r>
      <w:r>
        <w:rPr>
          <w:rFonts w:ascii="仿宋_GB2312" w:eastAsia="仿宋_GB2312" w:cs="DengXian-Regular" w:hint="eastAsia"/>
          <w:sz w:val="32"/>
          <w:szCs w:val="32"/>
        </w:rPr>
        <w:t>万元，节约率</w:t>
      </w:r>
      <w:r w:rsidR="00366831">
        <w:rPr>
          <w:rFonts w:ascii="仿宋_GB2312" w:eastAsia="仿宋_GB2312" w:cs="DengXian-Regular"/>
          <w:sz w:val="32"/>
          <w:szCs w:val="32"/>
        </w:rPr>
        <w:t>60</w:t>
      </w:r>
      <w:r>
        <w:rPr>
          <w:rFonts w:ascii="仿宋_GB2312" w:eastAsia="仿宋_GB2312" w:cs="DengXian-Regular" w:hint="eastAsia"/>
          <w:sz w:val="32"/>
          <w:szCs w:val="32"/>
        </w:rPr>
        <w:t>%。2019年“三公”经费预算数与2018年预算数相比</w:t>
      </w:r>
      <w:r w:rsidR="00052CD5">
        <w:rPr>
          <w:rFonts w:ascii="仿宋_GB2312" w:eastAsia="仿宋_GB2312" w:cs="DengXian-Regular" w:hint="eastAsia"/>
          <w:sz w:val="32"/>
          <w:szCs w:val="32"/>
        </w:rPr>
        <w:t>增加2万</w:t>
      </w:r>
      <w:r w:rsidR="00052CD5">
        <w:rPr>
          <w:rFonts w:ascii="仿宋_GB2312" w:eastAsia="仿宋_GB2312" w:cs="DengXian-Regular"/>
          <w:sz w:val="32"/>
          <w:szCs w:val="32"/>
        </w:rPr>
        <w:t>元</w:t>
      </w:r>
      <w:r>
        <w:rPr>
          <w:rFonts w:ascii="仿宋_GB2312" w:eastAsia="仿宋_GB2312" w:cs="DengXian-Regular" w:hint="eastAsia"/>
          <w:sz w:val="32"/>
          <w:szCs w:val="32"/>
        </w:rPr>
        <w:t>，决算数与2018年实际支出相比，</w:t>
      </w:r>
      <w:r w:rsidR="003F5060">
        <w:rPr>
          <w:rFonts w:ascii="仿宋_GB2312" w:eastAsia="仿宋_GB2312" w:cs="DengXian-Regular" w:hint="eastAsia"/>
          <w:sz w:val="32"/>
          <w:szCs w:val="32"/>
        </w:rPr>
        <w:t>增加0.14</w:t>
      </w:r>
      <w:r>
        <w:rPr>
          <w:rFonts w:ascii="仿宋_GB2312" w:eastAsia="仿宋_GB2312" w:cs="DengXian-Regular" w:hint="eastAsia"/>
          <w:sz w:val="32"/>
          <w:szCs w:val="32"/>
        </w:rPr>
        <w:t>万元。具体详见表1。</w:t>
      </w:r>
    </w:p>
    <w:p w:rsidR="00387237" w:rsidRDefault="00387237" w:rsidP="00387237">
      <w:pPr>
        <w:spacing w:after="0" w:line="360" w:lineRule="auto"/>
        <w:ind w:firstLineChars="200" w:firstLine="643"/>
        <w:jc w:val="both"/>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 xml:space="preserve">表1  </w:t>
      </w:r>
      <w:proofErr w:type="gramStart"/>
      <w:r w:rsidR="00401BA6" w:rsidRPr="001F6C4C">
        <w:rPr>
          <w:rFonts w:asciiTheme="minorEastAsia" w:eastAsiaTheme="minorEastAsia" w:hAnsiTheme="minorEastAsia" w:cstheme="minorEastAsia" w:hint="eastAsia"/>
          <w:b/>
          <w:bCs/>
          <w:sz w:val="32"/>
          <w:szCs w:val="32"/>
        </w:rPr>
        <w:t>教体</w:t>
      </w:r>
      <w:r w:rsidR="00401BA6" w:rsidRPr="001F6C4C">
        <w:rPr>
          <w:rFonts w:asciiTheme="minorEastAsia" w:eastAsiaTheme="minorEastAsia" w:hAnsiTheme="minorEastAsia" w:cstheme="minorEastAsia"/>
          <w:b/>
          <w:bCs/>
          <w:sz w:val="32"/>
          <w:szCs w:val="32"/>
        </w:rPr>
        <w:t>局</w:t>
      </w:r>
      <w:proofErr w:type="gramEnd"/>
      <w:r>
        <w:rPr>
          <w:rFonts w:asciiTheme="minorEastAsia" w:eastAsiaTheme="minorEastAsia" w:hAnsiTheme="minorEastAsia" w:cstheme="minorEastAsia" w:hint="eastAsia"/>
          <w:b/>
          <w:bCs/>
          <w:sz w:val="32"/>
          <w:szCs w:val="32"/>
        </w:rPr>
        <w:t>“三公”经费预算及决算明细表</w:t>
      </w:r>
    </w:p>
    <w:p w:rsidR="00387237" w:rsidRDefault="00387237" w:rsidP="00387237">
      <w:pPr>
        <w:spacing w:after="0" w:line="540" w:lineRule="exact"/>
        <w:ind w:firstLineChars="200" w:firstLine="640"/>
        <w:jc w:val="both"/>
        <w:rPr>
          <w:rFonts w:asciiTheme="minorEastAsia" w:eastAsiaTheme="minorEastAsia" w:hAnsiTheme="minorEastAsia" w:cstheme="minorEastAsia"/>
          <w:sz w:val="21"/>
          <w:szCs w:val="21"/>
        </w:rPr>
      </w:pPr>
      <w:r>
        <w:rPr>
          <w:rFonts w:ascii="仿宋_GB2312" w:eastAsia="仿宋_GB2312" w:cs="DengXian-Regular" w:hint="eastAsia"/>
          <w:sz w:val="32"/>
          <w:szCs w:val="32"/>
        </w:rPr>
        <w:t xml:space="preserve">                                         </w:t>
      </w:r>
      <w:r>
        <w:rPr>
          <w:rFonts w:asciiTheme="minorEastAsia" w:eastAsiaTheme="minorEastAsia" w:hAnsiTheme="minorEastAsia" w:cstheme="minorEastAsia" w:hint="eastAsia"/>
          <w:sz w:val="21"/>
          <w:szCs w:val="21"/>
        </w:rPr>
        <w:t>单位：万元</w:t>
      </w:r>
    </w:p>
    <w:tbl>
      <w:tblPr>
        <w:tblW w:w="8565" w:type="dxa"/>
        <w:tblLayout w:type="fixed"/>
        <w:tblCellMar>
          <w:left w:w="0" w:type="dxa"/>
          <w:right w:w="0" w:type="dxa"/>
        </w:tblCellMar>
        <w:tblLook w:val="04A0" w:firstRow="1" w:lastRow="0" w:firstColumn="1" w:lastColumn="0" w:noHBand="0" w:noVBand="1"/>
      </w:tblPr>
      <w:tblGrid>
        <w:gridCol w:w="549"/>
        <w:gridCol w:w="1818"/>
        <w:gridCol w:w="993"/>
        <w:gridCol w:w="932"/>
        <w:gridCol w:w="1022"/>
        <w:gridCol w:w="947"/>
        <w:gridCol w:w="1149"/>
        <w:gridCol w:w="1155"/>
      </w:tblGrid>
      <w:tr w:rsidR="00387237" w:rsidTr="00B9710E">
        <w:trPr>
          <w:trHeight w:val="454"/>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序号</w:t>
            </w:r>
          </w:p>
        </w:tc>
        <w:tc>
          <w:tcPr>
            <w:tcW w:w="181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支出内容</w:t>
            </w:r>
          </w:p>
        </w:tc>
        <w:tc>
          <w:tcPr>
            <w:tcW w:w="192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87237" w:rsidRDefault="00387237" w:rsidP="00B9710E">
            <w:pPr>
              <w:spacing w:after="0"/>
              <w:ind w:firstLineChars="200" w:firstLine="422"/>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2018年</w:t>
            </w:r>
          </w:p>
        </w:tc>
        <w:tc>
          <w:tcPr>
            <w:tcW w:w="1969" w:type="dxa"/>
            <w:gridSpan w:val="2"/>
            <w:tcBorders>
              <w:top w:val="single" w:sz="4" w:space="0" w:color="000000"/>
              <w:left w:val="single" w:sz="4" w:space="0" w:color="auto"/>
              <w:bottom w:val="single" w:sz="4" w:space="0" w:color="000000"/>
              <w:right w:val="nil"/>
            </w:tcBorders>
            <w:shd w:val="clear" w:color="auto" w:fill="auto"/>
            <w:tcMar>
              <w:top w:w="15" w:type="dxa"/>
              <w:left w:w="15" w:type="dxa"/>
              <w:right w:w="15" w:type="dxa"/>
            </w:tcMar>
            <w:vAlign w:val="center"/>
          </w:tcPr>
          <w:p w:rsidR="00387237" w:rsidRDefault="00387237" w:rsidP="00B9710E">
            <w:pPr>
              <w:spacing w:after="0"/>
              <w:ind w:firstLineChars="200" w:firstLine="422"/>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2019年</w:t>
            </w:r>
          </w:p>
        </w:tc>
        <w:tc>
          <w:tcPr>
            <w:tcW w:w="230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237" w:rsidRDefault="00387237" w:rsidP="00B9710E">
            <w:pPr>
              <w:spacing w:after="0"/>
              <w:ind w:firstLineChars="200" w:firstLine="422"/>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环比情况</w:t>
            </w:r>
          </w:p>
        </w:tc>
      </w:tr>
      <w:tr w:rsidR="00387237" w:rsidTr="00B9710E">
        <w:trPr>
          <w:trHeight w:val="454"/>
        </w:trPr>
        <w:tc>
          <w:tcPr>
            <w:tcW w:w="549"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87237" w:rsidRDefault="00387237" w:rsidP="00B9710E">
            <w:pPr>
              <w:spacing w:after="0"/>
              <w:ind w:firstLineChars="200" w:firstLine="422"/>
              <w:jc w:val="center"/>
              <w:rPr>
                <w:rFonts w:ascii="宋体" w:eastAsia="宋体" w:hAnsi="宋体" w:cs="宋体"/>
                <w:b/>
                <w:bCs/>
                <w:color w:val="000000"/>
                <w:sz w:val="21"/>
                <w:szCs w:val="21"/>
              </w:rPr>
            </w:pPr>
          </w:p>
        </w:tc>
        <w:tc>
          <w:tcPr>
            <w:tcW w:w="181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87237" w:rsidRDefault="00387237" w:rsidP="00B9710E">
            <w:pPr>
              <w:spacing w:after="0"/>
              <w:ind w:firstLineChars="200" w:firstLine="422"/>
              <w:jc w:val="center"/>
              <w:rPr>
                <w:rFonts w:ascii="宋体" w:eastAsia="宋体" w:hAnsi="宋体" w:cs="宋体"/>
                <w:b/>
                <w:bCs/>
                <w:color w:val="000000"/>
                <w:sz w:val="21"/>
                <w:szCs w:val="21"/>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预算安排</w:t>
            </w:r>
          </w:p>
        </w:tc>
        <w:tc>
          <w:tcPr>
            <w:tcW w:w="932" w:type="dxa"/>
            <w:tcBorders>
              <w:top w:val="nil"/>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实际支出</w:t>
            </w:r>
          </w:p>
        </w:tc>
        <w:tc>
          <w:tcPr>
            <w:tcW w:w="102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预算安排</w:t>
            </w:r>
          </w:p>
        </w:tc>
        <w:tc>
          <w:tcPr>
            <w:tcW w:w="94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实际支出</w:t>
            </w:r>
          </w:p>
        </w:tc>
        <w:tc>
          <w:tcPr>
            <w:tcW w:w="114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较上年预算增减金额</w:t>
            </w:r>
          </w:p>
        </w:tc>
        <w:tc>
          <w:tcPr>
            <w:tcW w:w="115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宋体" w:eastAsia="宋体" w:hAnsi="宋体" w:cs="宋体"/>
                <w:b/>
                <w:bCs/>
                <w:color w:val="000000"/>
                <w:sz w:val="21"/>
                <w:szCs w:val="21"/>
              </w:rPr>
            </w:pPr>
            <w:r>
              <w:rPr>
                <w:rFonts w:ascii="宋体" w:eastAsia="宋体" w:hAnsi="宋体" w:cs="宋体" w:hint="eastAsia"/>
                <w:b/>
                <w:bCs/>
                <w:color w:val="000000"/>
                <w:sz w:val="21"/>
                <w:szCs w:val="21"/>
              </w:rPr>
              <w:t>较上年支出增减金额</w:t>
            </w:r>
          </w:p>
        </w:tc>
      </w:tr>
      <w:tr w:rsidR="00387237" w:rsidTr="00B9710E">
        <w:trPr>
          <w:trHeight w:val="454"/>
        </w:trPr>
        <w:tc>
          <w:tcPr>
            <w:tcW w:w="549"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w:t>
            </w:r>
          </w:p>
        </w:tc>
        <w:tc>
          <w:tcPr>
            <w:tcW w:w="1818" w:type="dxa"/>
            <w:tcBorders>
              <w:top w:val="single" w:sz="4" w:space="0" w:color="auto"/>
              <w:left w:val="single" w:sz="4" w:space="0" w:color="000000"/>
              <w:bottom w:val="single" w:sz="4" w:space="0" w:color="000000"/>
              <w:right w:val="nil"/>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因公出国（境）费</w:t>
            </w:r>
          </w:p>
        </w:tc>
        <w:tc>
          <w:tcPr>
            <w:tcW w:w="993"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401BA6"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w:t>
            </w:r>
          </w:p>
        </w:tc>
        <w:tc>
          <w:tcPr>
            <w:tcW w:w="9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401BA6"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1.86</w:t>
            </w:r>
          </w:p>
        </w:tc>
        <w:tc>
          <w:tcPr>
            <w:tcW w:w="10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387237"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p>
        </w:tc>
        <w:tc>
          <w:tcPr>
            <w:tcW w:w="947"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387237"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p>
        </w:tc>
        <w:tc>
          <w:tcPr>
            <w:tcW w:w="11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color w:val="000000"/>
                <w:sz w:val="21"/>
                <w:szCs w:val="21"/>
              </w:rPr>
              <w:t>-</w:t>
            </w:r>
            <w:r>
              <w:rPr>
                <w:rFonts w:asciiTheme="minorEastAsia" w:eastAsiaTheme="minorEastAsia" w:hAnsiTheme="minorEastAsia" w:cstheme="minorEastAsia" w:hint="eastAsia"/>
                <w:color w:val="000000"/>
                <w:sz w:val="21"/>
                <w:szCs w:val="21"/>
              </w:rPr>
              <w:t>2</w:t>
            </w:r>
          </w:p>
        </w:tc>
        <w:tc>
          <w:tcPr>
            <w:tcW w:w="115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color w:val="000000"/>
                <w:sz w:val="21"/>
                <w:szCs w:val="21"/>
              </w:rPr>
              <w:t>-</w:t>
            </w:r>
            <w:r>
              <w:rPr>
                <w:rFonts w:asciiTheme="minorEastAsia" w:eastAsiaTheme="minorEastAsia" w:hAnsiTheme="minorEastAsia" w:cstheme="minorEastAsia" w:hint="eastAsia"/>
                <w:color w:val="000000"/>
                <w:sz w:val="21"/>
                <w:szCs w:val="21"/>
              </w:rPr>
              <w:t>1.86</w:t>
            </w:r>
          </w:p>
        </w:tc>
      </w:tr>
      <w:tr w:rsidR="00387237" w:rsidTr="00B9710E">
        <w:trPr>
          <w:trHeight w:val="454"/>
        </w:trPr>
        <w:tc>
          <w:tcPr>
            <w:tcW w:w="5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w:t>
            </w:r>
          </w:p>
        </w:tc>
        <w:tc>
          <w:tcPr>
            <w:tcW w:w="1818"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公务用车购置及运维费</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2E4C61"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color w:val="000000"/>
                <w:sz w:val="21"/>
                <w:szCs w:val="21"/>
              </w:rPr>
              <w:t>39.5</w:t>
            </w:r>
          </w:p>
        </w:tc>
        <w:tc>
          <w:tcPr>
            <w:tcW w:w="9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401BA6"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14.35</w:t>
            </w:r>
          </w:p>
        </w:tc>
        <w:tc>
          <w:tcPr>
            <w:tcW w:w="10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2E4C61"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39.5</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2E4C61"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15.67</w:t>
            </w:r>
          </w:p>
        </w:tc>
        <w:tc>
          <w:tcPr>
            <w:tcW w:w="11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0</w:t>
            </w:r>
          </w:p>
        </w:tc>
        <w:tc>
          <w:tcPr>
            <w:tcW w:w="115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1.32</w:t>
            </w:r>
          </w:p>
        </w:tc>
      </w:tr>
      <w:tr w:rsidR="00387237" w:rsidTr="00B9710E">
        <w:trPr>
          <w:trHeight w:val="454"/>
        </w:trPr>
        <w:tc>
          <w:tcPr>
            <w:tcW w:w="5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3</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公务接待费</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401BA6"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13.8</w:t>
            </w:r>
          </w:p>
        </w:tc>
        <w:tc>
          <w:tcPr>
            <w:tcW w:w="9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401BA6"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4.95</w:t>
            </w:r>
          </w:p>
        </w:tc>
        <w:tc>
          <w:tcPr>
            <w:tcW w:w="10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2E4C61"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13.8</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2E4C61"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5.64</w:t>
            </w:r>
          </w:p>
        </w:tc>
        <w:tc>
          <w:tcPr>
            <w:tcW w:w="11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0</w:t>
            </w:r>
          </w:p>
        </w:tc>
        <w:tc>
          <w:tcPr>
            <w:tcW w:w="115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0.69</w:t>
            </w:r>
          </w:p>
        </w:tc>
      </w:tr>
      <w:tr w:rsidR="00387237" w:rsidTr="002A26F8">
        <w:trPr>
          <w:trHeight w:val="496"/>
        </w:trPr>
        <w:tc>
          <w:tcPr>
            <w:tcW w:w="5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4</w:t>
            </w:r>
          </w:p>
        </w:tc>
        <w:tc>
          <w:tcPr>
            <w:tcW w:w="1818"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合计</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EA5A84"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55.3</w:t>
            </w:r>
          </w:p>
        </w:tc>
        <w:tc>
          <w:tcPr>
            <w:tcW w:w="9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87237" w:rsidRDefault="00EA5A84"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53.3</w:t>
            </w:r>
          </w:p>
        </w:tc>
        <w:tc>
          <w:tcPr>
            <w:tcW w:w="947"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387237" w:rsidP="00B9710E">
            <w:pPr>
              <w:spacing w:after="0"/>
              <w:jc w:val="center"/>
              <w:textAlignment w:val="center"/>
              <w:rPr>
                <w:rFonts w:asciiTheme="minorEastAsia" w:eastAsiaTheme="minorEastAsia" w:hAnsiTheme="minorEastAsia" w:cstheme="minorEastAsia"/>
                <w:color w:val="000000"/>
                <w:sz w:val="21"/>
                <w:szCs w:val="21"/>
              </w:rPr>
            </w:pPr>
          </w:p>
        </w:tc>
        <w:tc>
          <w:tcPr>
            <w:tcW w:w="11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ind w:firstLineChars="200" w:firstLine="42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w:t>
            </w:r>
          </w:p>
        </w:tc>
        <w:tc>
          <w:tcPr>
            <w:tcW w:w="115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87237" w:rsidRDefault="00F84015" w:rsidP="00B9710E">
            <w:pPr>
              <w:spacing w:after="0"/>
              <w:jc w:val="center"/>
              <w:textAlignment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0.15</w:t>
            </w:r>
          </w:p>
        </w:tc>
      </w:tr>
    </w:tbl>
    <w:p w:rsidR="002A26F8" w:rsidRDefault="002A26F8" w:rsidP="00387237">
      <w:pPr>
        <w:spacing w:after="0" w:line="360" w:lineRule="auto"/>
        <w:ind w:firstLineChars="200" w:firstLine="640"/>
        <w:jc w:val="both"/>
        <w:rPr>
          <w:rFonts w:ascii="仿宋_GB2312" w:eastAsia="仿宋_GB2312" w:cs="DengXian-Regular"/>
          <w:sz w:val="32"/>
          <w:szCs w:val="32"/>
        </w:rPr>
      </w:pPr>
    </w:p>
    <w:p w:rsidR="00387237" w:rsidRDefault="00387237" w:rsidP="00387237">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1、公务用车：2019年底区</w:t>
      </w:r>
      <w:r w:rsidR="00CE1E76">
        <w:rPr>
          <w:rFonts w:ascii="仿宋_GB2312" w:eastAsia="仿宋_GB2312" w:cs="DengXian-Regular" w:hint="eastAsia"/>
          <w:sz w:val="32"/>
          <w:szCs w:val="32"/>
        </w:rPr>
        <w:t>教体</w:t>
      </w:r>
      <w:r w:rsidR="00CE1E76">
        <w:rPr>
          <w:rFonts w:ascii="仿宋_GB2312" w:eastAsia="仿宋_GB2312" w:cs="DengXian-Regular"/>
          <w:sz w:val="32"/>
          <w:szCs w:val="32"/>
        </w:rPr>
        <w:t>局</w:t>
      </w:r>
      <w:r>
        <w:rPr>
          <w:rFonts w:ascii="仿宋_GB2312" w:eastAsia="仿宋_GB2312" w:cs="DengXian-Regular" w:hint="eastAsia"/>
          <w:sz w:val="32"/>
          <w:szCs w:val="32"/>
        </w:rPr>
        <w:t>车辆合计</w:t>
      </w:r>
      <w:r w:rsidR="00CE1E76">
        <w:rPr>
          <w:rFonts w:ascii="仿宋_GB2312" w:eastAsia="仿宋_GB2312" w:cs="DengXian-Regular"/>
          <w:sz w:val="32"/>
          <w:szCs w:val="32"/>
        </w:rPr>
        <w:t>14</w:t>
      </w:r>
      <w:r>
        <w:rPr>
          <w:rFonts w:ascii="仿宋_GB2312" w:eastAsia="仿宋_GB2312" w:cs="DengXian-Regular" w:hint="eastAsia"/>
          <w:sz w:val="32"/>
          <w:szCs w:val="32"/>
        </w:rPr>
        <w:t>辆，</w:t>
      </w:r>
      <w:r w:rsidR="00CE1E76">
        <w:rPr>
          <w:rFonts w:ascii="仿宋_GB2312" w:eastAsia="仿宋_GB2312" w:cs="DengXian-Regular" w:hint="eastAsia"/>
          <w:sz w:val="32"/>
          <w:szCs w:val="32"/>
        </w:rPr>
        <w:t>全部</w:t>
      </w:r>
      <w:r w:rsidR="00CE1E76">
        <w:rPr>
          <w:rFonts w:ascii="仿宋_GB2312" w:eastAsia="仿宋_GB2312" w:cs="DengXian-Regular"/>
          <w:sz w:val="32"/>
          <w:szCs w:val="32"/>
        </w:rPr>
        <w:t>为</w:t>
      </w:r>
      <w:r>
        <w:rPr>
          <w:rFonts w:ascii="仿宋_GB2312" w:eastAsia="仿宋_GB2312" w:cs="DengXian-Regular" w:hint="eastAsia"/>
          <w:sz w:val="32"/>
          <w:szCs w:val="32"/>
        </w:rPr>
        <w:t>其他用车。2019年公务用车购置及运维费年初预算</w:t>
      </w:r>
      <w:r w:rsidR="00CE1E76">
        <w:rPr>
          <w:rFonts w:ascii="仿宋_GB2312" w:eastAsia="仿宋_GB2312" w:cs="DengXian-Regular"/>
          <w:sz w:val="32"/>
          <w:szCs w:val="32"/>
        </w:rPr>
        <w:t>39.5</w:t>
      </w:r>
      <w:r>
        <w:rPr>
          <w:rFonts w:ascii="仿宋_GB2312" w:eastAsia="仿宋_GB2312" w:cs="DengXian-Regular" w:hint="eastAsia"/>
          <w:sz w:val="32"/>
          <w:szCs w:val="32"/>
        </w:rPr>
        <w:t>万元，全部为公务用车运行维护费，实际支出</w:t>
      </w:r>
      <w:r w:rsidR="00CE1E76">
        <w:rPr>
          <w:rFonts w:ascii="仿宋_GB2312" w:eastAsia="仿宋_GB2312" w:cs="DengXian-Regular"/>
          <w:sz w:val="32"/>
          <w:szCs w:val="32"/>
        </w:rPr>
        <w:t>15.67</w:t>
      </w:r>
      <w:r>
        <w:rPr>
          <w:rFonts w:ascii="仿宋_GB2312" w:eastAsia="仿宋_GB2312" w:cs="DengXian-Regular" w:hint="eastAsia"/>
          <w:sz w:val="32"/>
          <w:szCs w:val="32"/>
        </w:rPr>
        <w:t>万元，比预算减少</w:t>
      </w:r>
      <w:r w:rsidR="00CE1E76">
        <w:rPr>
          <w:rFonts w:ascii="仿宋_GB2312" w:eastAsia="仿宋_GB2312" w:cs="DengXian-Regular"/>
          <w:sz w:val="32"/>
          <w:szCs w:val="32"/>
        </w:rPr>
        <w:t>23.83</w:t>
      </w:r>
      <w:r>
        <w:rPr>
          <w:rFonts w:ascii="仿宋_GB2312" w:eastAsia="仿宋_GB2312" w:cs="DengXian-Regular" w:hint="eastAsia"/>
          <w:sz w:val="32"/>
          <w:szCs w:val="32"/>
        </w:rPr>
        <w:t>万元，节约率</w:t>
      </w:r>
      <w:r w:rsidR="00CE1E76">
        <w:rPr>
          <w:rFonts w:ascii="仿宋_GB2312" w:eastAsia="仿宋_GB2312" w:cs="DengXian-Regular"/>
          <w:sz w:val="32"/>
          <w:szCs w:val="32"/>
        </w:rPr>
        <w:t>60.33</w:t>
      </w:r>
      <w:r>
        <w:rPr>
          <w:rFonts w:ascii="仿宋_GB2312" w:eastAsia="仿宋_GB2312" w:cs="DengXian-Regular" w:hint="eastAsia"/>
          <w:sz w:val="32"/>
          <w:szCs w:val="32"/>
        </w:rPr>
        <w:t>%。2019年预算数与2018年预算相</w:t>
      </w:r>
      <w:r w:rsidR="006312F7">
        <w:rPr>
          <w:rFonts w:ascii="仿宋_GB2312" w:eastAsia="仿宋_GB2312" w:cs="DengXian-Regular" w:hint="eastAsia"/>
          <w:sz w:val="32"/>
          <w:szCs w:val="32"/>
        </w:rPr>
        <w:t>比无</w:t>
      </w:r>
      <w:r w:rsidR="006312F7">
        <w:rPr>
          <w:rFonts w:ascii="仿宋_GB2312" w:eastAsia="仿宋_GB2312" w:cs="DengXian-Regular"/>
          <w:sz w:val="32"/>
          <w:szCs w:val="32"/>
        </w:rPr>
        <w:t>变化</w:t>
      </w:r>
      <w:r>
        <w:rPr>
          <w:rFonts w:ascii="仿宋_GB2312" w:eastAsia="仿宋_GB2312" w:cs="DengXian-Regular" w:hint="eastAsia"/>
          <w:sz w:val="32"/>
          <w:szCs w:val="32"/>
        </w:rPr>
        <w:t>，决算数与2018年实际支出相比，</w:t>
      </w:r>
      <w:r w:rsidR="00140A4C">
        <w:rPr>
          <w:rFonts w:ascii="仿宋_GB2312" w:eastAsia="仿宋_GB2312" w:cs="DengXian-Regular" w:hint="eastAsia"/>
          <w:sz w:val="32"/>
          <w:szCs w:val="32"/>
        </w:rPr>
        <w:t>增加</w:t>
      </w:r>
      <w:r w:rsidR="006312F7">
        <w:rPr>
          <w:rFonts w:ascii="仿宋_GB2312" w:eastAsia="仿宋_GB2312" w:cs="DengXian-Regular"/>
          <w:sz w:val="32"/>
          <w:szCs w:val="32"/>
        </w:rPr>
        <w:t>1.32</w:t>
      </w:r>
      <w:r>
        <w:rPr>
          <w:rFonts w:ascii="仿宋_GB2312" w:eastAsia="仿宋_GB2312" w:cs="DengXian-Regular" w:hint="eastAsia"/>
          <w:sz w:val="32"/>
          <w:szCs w:val="32"/>
        </w:rPr>
        <w:t>万元。</w:t>
      </w:r>
    </w:p>
    <w:p w:rsidR="002E797D" w:rsidRDefault="00387237" w:rsidP="002A26F8">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2、公务接待：2019年</w:t>
      </w:r>
      <w:proofErr w:type="gramStart"/>
      <w:r w:rsidR="006312F7">
        <w:rPr>
          <w:rFonts w:ascii="仿宋_GB2312" w:eastAsia="仿宋_GB2312" w:cs="DengXian-Regular" w:hint="eastAsia"/>
          <w:sz w:val="32"/>
          <w:szCs w:val="32"/>
        </w:rPr>
        <w:t>区教体</w:t>
      </w:r>
      <w:r w:rsidR="006312F7">
        <w:rPr>
          <w:rFonts w:ascii="仿宋_GB2312" w:eastAsia="仿宋_GB2312" w:cs="DengXian-Regular"/>
          <w:sz w:val="32"/>
          <w:szCs w:val="32"/>
        </w:rPr>
        <w:t>局</w:t>
      </w:r>
      <w:proofErr w:type="gramEnd"/>
      <w:r>
        <w:rPr>
          <w:rFonts w:ascii="仿宋_GB2312" w:eastAsia="仿宋_GB2312" w:cs="DengXian-Regular" w:hint="eastAsia"/>
          <w:sz w:val="32"/>
          <w:szCs w:val="32"/>
        </w:rPr>
        <w:t>公务接待费年初预算</w:t>
      </w:r>
      <w:r w:rsidR="006312F7">
        <w:rPr>
          <w:rFonts w:ascii="仿宋_GB2312" w:eastAsia="仿宋_GB2312" w:cs="DengXian-Regular"/>
          <w:sz w:val="32"/>
          <w:szCs w:val="32"/>
        </w:rPr>
        <w:t>13.8</w:t>
      </w:r>
      <w:r>
        <w:rPr>
          <w:rFonts w:ascii="仿宋_GB2312" w:eastAsia="仿宋_GB2312" w:cs="DengXian-Regular" w:hint="eastAsia"/>
          <w:sz w:val="32"/>
          <w:szCs w:val="32"/>
        </w:rPr>
        <w:t>万元，实际支出</w:t>
      </w:r>
      <w:r w:rsidR="006312F7">
        <w:rPr>
          <w:rFonts w:ascii="仿宋_GB2312" w:eastAsia="仿宋_GB2312" w:cs="DengXian-Regular"/>
          <w:sz w:val="32"/>
          <w:szCs w:val="32"/>
        </w:rPr>
        <w:t>5.64</w:t>
      </w:r>
      <w:r>
        <w:rPr>
          <w:rFonts w:ascii="仿宋_GB2312" w:eastAsia="仿宋_GB2312" w:cs="DengXian-Regular" w:hint="eastAsia"/>
          <w:sz w:val="32"/>
          <w:szCs w:val="32"/>
        </w:rPr>
        <w:t>万元，比预算减少了</w:t>
      </w:r>
      <w:r w:rsidR="006312F7">
        <w:rPr>
          <w:rFonts w:ascii="仿宋_GB2312" w:eastAsia="仿宋_GB2312" w:cs="DengXian-Regular"/>
          <w:sz w:val="32"/>
          <w:szCs w:val="32"/>
        </w:rPr>
        <w:t>8.16</w:t>
      </w:r>
      <w:r>
        <w:rPr>
          <w:rFonts w:ascii="仿宋_GB2312" w:eastAsia="仿宋_GB2312" w:cs="DengXian-Regular" w:hint="eastAsia"/>
          <w:sz w:val="32"/>
          <w:szCs w:val="32"/>
        </w:rPr>
        <w:t>万元，节约率</w:t>
      </w:r>
      <w:r w:rsidR="006312F7">
        <w:rPr>
          <w:rFonts w:ascii="仿宋_GB2312" w:eastAsia="仿宋_GB2312" w:cs="DengXian-Regular"/>
          <w:sz w:val="32"/>
          <w:szCs w:val="32"/>
        </w:rPr>
        <w:t>59.13</w:t>
      </w:r>
      <w:r>
        <w:rPr>
          <w:rFonts w:ascii="仿宋_GB2312" w:eastAsia="仿宋_GB2312" w:cs="DengXian-Regular" w:hint="eastAsia"/>
          <w:sz w:val="32"/>
          <w:szCs w:val="32"/>
        </w:rPr>
        <w:t>%。2019年预算数与2018年预算相比无变化，决算数与2018年实际支出相比，增加</w:t>
      </w:r>
      <w:r w:rsidR="00C03964">
        <w:rPr>
          <w:rFonts w:ascii="仿宋_GB2312" w:eastAsia="仿宋_GB2312" w:cs="DengXian-Regular"/>
          <w:sz w:val="32"/>
          <w:szCs w:val="32"/>
        </w:rPr>
        <w:t>0.69</w:t>
      </w:r>
      <w:r>
        <w:rPr>
          <w:rFonts w:ascii="仿宋_GB2312" w:eastAsia="仿宋_GB2312" w:cs="DengXian-Regular" w:hint="eastAsia"/>
          <w:sz w:val="32"/>
          <w:szCs w:val="32"/>
        </w:rPr>
        <w:t>万元。</w:t>
      </w:r>
      <w:bookmarkStart w:id="17" w:name="_Toc492652770"/>
      <w:bookmarkStart w:id="18" w:name="_Toc20454"/>
      <w:bookmarkStart w:id="19" w:name="_Toc465149504"/>
    </w:p>
    <w:p w:rsidR="00387237" w:rsidRPr="00F40C31" w:rsidRDefault="00387237" w:rsidP="00387237">
      <w:pPr>
        <w:pStyle w:val="2"/>
        <w:spacing w:before="0" w:after="0" w:line="360" w:lineRule="auto"/>
        <w:ind w:firstLineChars="200" w:firstLine="643"/>
        <w:rPr>
          <w:rFonts w:ascii="黑体" w:hAnsiTheme="minorEastAsia"/>
          <w:u w:color="000000"/>
        </w:rPr>
      </w:pPr>
      <w:r w:rsidRPr="00F40C31">
        <w:rPr>
          <w:rFonts w:ascii="黑体" w:hint="eastAsia"/>
        </w:rPr>
        <w:lastRenderedPageBreak/>
        <w:t>二、部门整体支出绩效评价指标体系设定情况</w:t>
      </w:r>
      <w:bookmarkEnd w:id="17"/>
      <w:bookmarkEnd w:id="18"/>
    </w:p>
    <w:p w:rsidR="00387237" w:rsidRDefault="00387237" w:rsidP="00387237">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根据绩效预算管理改革的有关政策和文件规定，绩效评价工作组以绩效预算架构为指导，以部门预算文本及相关资料为基础，制定了部门整体支出绩效评价指标体系。</w:t>
      </w:r>
    </w:p>
    <w:p w:rsidR="00387237" w:rsidRDefault="00387237" w:rsidP="00387237">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部门整体支出绩效评价指标体系设置一级指标4个，二级指标7个，三级指标27个（详见附件3）。指标体系设定满分100分，绩效评价分值≥90为“优”；80≤分值＜90为“良”；60≤分值＜80为“中”；60分以下为“差”。评价指标体系具体构成如下：</w:t>
      </w:r>
      <w:bookmarkStart w:id="20" w:name="_Toc492652771"/>
      <w:bookmarkStart w:id="21" w:name="_Toc9569"/>
    </w:p>
    <w:p w:rsidR="00387237" w:rsidRDefault="00387237" w:rsidP="00387237">
      <w:pPr>
        <w:spacing w:after="0" w:line="360" w:lineRule="auto"/>
        <w:ind w:firstLineChars="200" w:firstLine="643"/>
        <w:jc w:val="both"/>
        <w:rPr>
          <w:rFonts w:ascii="楷体_GB2312" w:eastAsia="楷体_GB2312" w:hAnsiTheme="minorEastAsia" w:cs="Times New Roman"/>
          <w:b/>
          <w:bCs/>
          <w:kern w:val="2"/>
          <w:sz w:val="32"/>
          <w:szCs w:val="32"/>
          <w:u w:color="000000"/>
        </w:rPr>
      </w:pPr>
      <w:r>
        <w:rPr>
          <w:rFonts w:ascii="楷体_GB2312" w:eastAsia="楷体_GB2312" w:hAnsiTheme="minorEastAsia" w:cs="Times New Roman" w:hint="eastAsia"/>
          <w:b/>
          <w:bCs/>
          <w:kern w:val="2"/>
          <w:sz w:val="32"/>
          <w:szCs w:val="32"/>
          <w:u w:color="000000"/>
        </w:rPr>
        <w:t>（一）投入（12分）</w:t>
      </w:r>
      <w:bookmarkEnd w:id="20"/>
      <w:bookmarkEnd w:id="21"/>
    </w:p>
    <w:p w:rsidR="00387237" w:rsidRDefault="00387237" w:rsidP="00387237">
      <w:pPr>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主要反映绩效目标设定是否合理、科学，绩效指标的制定是否清晰、可衡量，预算编制是否完整，项目预算是否细化及在职人员控制情况。</w:t>
      </w:r>
    </w:p>
    <w:p w:rsidR="00387237" w:rsidRDefault="00387237" w:rsidP="00387237">
      <w:pPr>
        <w:keepNext/>
        <w:widowControl w:val="0"/>
        <w:spacing w:after="0" w:line="360" w:lineRule="auto"/>
        <w:ind w:firstLineChars="200" w:firstLine="640"/>
        <w:jc w:val="both"/>
        <w:rPr>
          <w:rFonts w:ascii="仿宋_GB2312" w:eastAsia="仿宋_GB2312" w:cs="DengXian-Regular"/>
          <w:sz w:val="32"/>
          <w:szCs w:val="32"/>
        </w:rPr>
      </w:pPr>
      <w:r>
        <w:rPr>
          <w:rFonts w:ascii="仿宋_GB2312" w:eastAsia="仿宋_GB2312" w:cs="DengXian-Regular" w:hint="eastAsia"/>
          <w:sz w:val="32"/>
          <w:szCs w:val="32"/>
        </w:rPr>
        <w:t>投入</w:t>
      </w:r>
      <w:proofErr w:type="gramStart"/>
      <w:r>
        <w:rPr>
          <w:rFonts w:ascii="仿宋_GB2312" w:eastAsia="仿宋_GB2312" w:cs="DengXian-Regular" w:hint="eastAsia"/>
          <w:sz w:val="32"/>
          <w:szCs w:val="32"/>
        </w:rPr>
        <w:t>指标指标</w:t>
      </w:r>
      <w:proofErr w:type="gramEnd"/>
      <w:r>
        <w:rPr>
          <w:rFonts w:ascii="仿宋_GB2312" w:eastAsia="仿宋_GB2312" w:cs="DengXian-Regular" w:hint="eastAsia"/>
          <w:sz w:val="32"/>
          <w:szCs w:val="32"/>
        </w:rPr>
        <w:t>分值为12分，下设2个二级指标：绩效目标设定和预算配置，6个三级指标：绩效目标合理性、绩效目标科学性、绩效指标明确性、预算编制完整性、项目预算细化率、在职人员控制率。</w:t>
      </w:r>
    </w:p>
    <w:p w:rsidR="00387237" w:rsidRDefault="00387237" w:rsidP="00387237">
      <w:pPr>
        <w:pStyle w:val="3"/>
        <w:spacing w:before="0" w:after="0"/>
        <w:ind w:firstLineChars="200" w:firstLine="643"/>
        <w:jc w:val="both"/>
        <w:rPr>
          <w:rFonts w:ascii="楷体" w:eastAsia="楷体" w:hAnsi="楷体"/>
          <w:sz w:val="32"/>
        </w:rPr>
      </w:pPr>
      <w:bookmarkStart w:id="22" w:name="_Toc492652772"/>
      <w:bookmarkStart w:id="23" w:name="_Toc30221"/>
      <w:r>
        <w:rPr>
          <w:rFonts w:ascii="楷体" w:eastAsia="楷体" w:hAnsi="楷体" w:hint="eastAsia"/>
          <w:kern w:val="2"/>
          <w:sz w:val="32"/>
        </w:rPr>
        <w:t>（二）过程（48分）</w:t>
      </w:r>
      <w:bookmarkEnd w:id="22"/>
      <w:bookmarkEnd w:id="23"/>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主要反映预算调整、收入及支出完成情况，“三公”经费、政府采购执行情况，财务管理是否规范、资金使用是否合</w:t>
      </w:r>
      <w:proofErr w:type="gramStart"/>
      <w:r>
        <w:rPr>
          <w:rFonts w:ascii="仿宋_GB2312" w:eastAsia="仿宋_GB2312" w:cs="DengXian-Regular" w:hint="eastAsia"/>
          <w:sz w:val="32"/>
          <w:szCs w:val="32"/>
        </w:rPr>
        <w:t>规</w:t>
      </w:r>
      <w:proofErr w:type="gramEnd"/>
      <w:r>
        <w:rPr>
          <w:rFonts w:ascii="仿宋_GB2312" w:eastAsia="仿宋_GB2312" w:cs="DengXian-Regular" w:hint="eastAsia"/>
          <w:sz w:val="32"/>
          <w:szCs w:val="32"/>
        </w:rPr>
        <w:t>，决算真实性。</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过程</w:t>
      </w:r>
      <w:proofErr w:type="gramStart"/>
      <w:r>
        <w:rPr>
          <w:rFonts w:ascii="仿宋_GB2312" w:eastAsia="仿宋_GB2312" w:cs="DengXian-Regular" w:hint="eastAsia"/>
          <w:sz w:val="32"/>
          <w:szCs w:val="32"/>
        </w:rPr>
        <w:t>指标指标</w:t>
      </w:r>
      <w:proofErr w:type="gramEnd"/>
      <w:r>
        <w:rPr>
          <w:rFonts w:ascii="仿宋_GB2312" w:eastAsia="仿宋_GB2312" w:cs="DengXian-Regular" w:hint="eastAsia"/>
          <w:sz w:val="32"/>
          <w:szCs w:val="32"/>
        </w:rPr>
        <w:t>分值为48分，下设3个二级指标：预算执行、预算管理和绩效评价，14个三级指标：预算收入调整率、收入完成率、预算支出调整率、财政拨款支出完成率、“三公”经费控制率、政府采购执行率、资金使用合</w:t>
      </w:r>
      <w:proofErr w:type="gramStart"/>
      <w:r>
        <w:rPr>
          <w:rFonts w:ascii="仿宋_GB2312" w:eastAsia="仿宋_GB2312" w:cs="DengXian-Regular" w:hint="eastAsia"/>
          <w:sz w:val="32"/>
          <w:szCs w:val="32"/>
        </w:rPr>
        <w:t>规</w:t>
      </w:r>
      <w:proofErr w:type="gramEnd"/>
      <w:r>
        <w:rPr>
          <w:rFonts w:ascii="仿宋_GB2312" w:eastAsia="仿宋_GB2312" w:cs="DengXian-Regular" w:hint="eastAsia"/>
          <w:sz w:val="32"/>
          <w:szCs w:val="32"/>
        </w:rPr>
        <w:t>性、决算真实性、管理制度健全性、预决算信息公开性、基础信息完整性、资产管理规范性、绩效自评覆盖率、绩效评价优等率。</w:t>
      </w:r>
    </w:p>
    <w:p w:rsidR="00387237" w:rsidRDefault="00387237" w:rsidP="00387237">
      <w:pPr>
        <w:pStyle w:val="3"/>
        <w:spacing w:before="0" w:after="0"/>
        <w:ind w:firstLineChars="200" w:firstLine="643"/>
        <w:jc w:val="both"/>
        <w:rPr>
          <w:rFonts w:ascii="楷体" w:eastAsia="楷体" w:hAnsi="楷体"/>
          <w:kern w:val="2"/>
          <w:sz w:val="32"/>
        </w:rPr>
      </w:pPr>
      <w:bookmarkStart w:id="24" w:name="_Toc492652773"/>
      <w:bookmarkStart w:id="25" w:name="_Toc24932"/>
      <w:r>
        <w:rPr>
          <w:rFonts w:ascii="楷体" w:eastAsia="楷体" w:hAnsi="楷体" w:hint="eastAsia"/>
          <w:kern w:val="2"/>
          <w:sz w:val="32"/>
        </w:rPr>
        <w:t>（三）产出（25分）</w:t>
      </w:r>
      <w:bookmarkEnd w:id="24"/>
      <w:bookmarkEnd w:id="25"/>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26" w:name="_Toc492652774"/>
      <w:r>
        <w:rPr>
          <w:rFonts w:ascii="仿宋_GB2312" w:eastAsia="仿宋_GB2312" w:cs="DengXian-Regular" w:hint="eastAsia"/>
          <w:sz w:val="32"/>
          <w:szCs w:val="32"/>
        </w:rPr>
        <w:t>主要反映结转结余率，项目资金使用率，实施素质教育率，教师素质提高率，体育项目完成率。</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产出</w:t>
      </w:r>
      <w:proofErr w:type="gramStart"/>
      <w:r>
        <w:rPr>
          <w:rFonts w:ascii="仿宋_GB2312" w:eastAsia="仿宋_GB2312" w:cs="DengXian-Regular" w:hint="eastAsia"/>
          <w:sz w:val="32"/>
          <w:szCs w:val="32"/>
        </w:rPr>
        <w:t>指标指标</w:t>
      </w:r>
      <w:proofErr w:type="gramEnd"/>
      <w:r>
        <w:rPr>
          <w:rFonts w:ascii="仿宋_GB2312" w:eastAsia="仿宋_GB2312" w:cs="DengXian-Regular" w:hint="eastAsia"/>
          <w:sz w:val="32"/>
          <w:szCs w:val="32"/>
        </w:rPr>
        <w:t>分值为25分，下设1个二级指标：责任履行，5个三级指标：结转结余率、项目资金使用率、实施素质教育率、教师素质提高率、体育项目完成率。</w:t>
      </w:r>
    </w:p>
    <w:p w:rsidR="00387237" w:rsidRDefault="00387237" w:rsidP="00387237">
      <w:pPr>
        <w:pStyle w:val="3"/>
        <w:spacing w:before="0" w:after="0"/>
        <w:ind w:firstLineChars="200" w:firstLine="643"/>
        <w:jc w:val="both"/>
        <w:rPr>
          <w:rFonts w:ascii="楷体_GB2312" w:eastAsia="楷体_GB2312" w:hAnsiTheme="minorEastAsia"/>
          <w:sz w:val="32"/>
        </w:rPr>
      </w:pPr>
      <w:bookmarkStart w:id="27" w:name="_Toc21821"/>
      <w:r>
        <w:rPr>
          <w:rFonts w:ascii="楷体_GB2312" w:eastAsia="楷体_GB2312" w:hAnsiTheme="minorEastAsia" w:hint="eastAsia"/>
          <w:kern w:val="2"/>
          <w:sz w:val="32"/>
        </w:rPr>
        <w:t>（四）效果（15分）</w:t>
      </w:r>
      <w:bookmarkEnd w:id="26"/>
      <w:bookmarkEnd w:id="27"/>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28" w:name="_Toc492652775"/>
      <w:r>
        <w:rPr>
          <w:rFonts w:ascii="仿宋_GB2312" w:eastAsia="仿宋_GB2312" w:cs="DengXian-Regular" w:hint="eastAsia"/>
          <w:sz w:val="32"/>
          <w:szCs w:val="32"/>
        </w:rPr>
        <w:t>主要反映部门履行职责对社会发展所带来的直接或间接效益及社会公众或部门的服务对象对部门履职效果的满意程度。</w:t>
      </w:r>
    </w:p>
    <w:p w:rsidR="002E797D" w:rsidRDefault="00387237" w:rsidP="00C362D5">
      <w:pPr>
        <w:spacing w:after="0" w:line="360" w:lineRule="auto"/>
        <w:ind w:firstLineChars="200" w:firstLine="640"/>
        <w:jc w:val="both"/>
        <w:textAlignment w:val="baseline"/>
        <w:rPr>
          <w:rFonts w:ascii="黑体"/>
        </w:rPr>
      </w:pPr>
      <w:r>
        <w:rPr>
          <w:rFonts w:ascii="仿宋_GB2312" w:eastAsia="仿宋_GB2312" w:cs="DengXian-Regular" w:hint="eastAsia"/>
          <w:sz w:val="32"/>
          <w:szCs w:val="32"/>
        </w:rPr>
        <w:t>效果</w:t>
      </w:r>
      <w:proofErr w:type="gramStart"/>
      <w:r>
        <w:rPr>
          <w:rFonts w:ascii="仿宋_GB2312" w:eastAsia="仿宋_GB2312" w:cs="DengXian-Regular" w:hint="eastAsia"/>
          <w:sz w:val="32"/>
          <w:szCs w:val="32"/>
        </w:rPr>
        <w:t>指标指标</w:t>
      </w:r>
      <w:proofErr w:type="gramEnd"/>
      <w:r>
        <w:rPr>
          <w:rFonts w:ascii="仿宋_GB2312" w:eastAsia="仿宋_GB2312" w:cs="DengXian-Regular" w:hint="eastAsia"/>
          <w:sz w:val="32"/>
          <w:szCs w:val="32"/>
        </w:rPr>
        <w:t>分值15分，下设1个二级指标：履职效率，2个三级指标：部门整体效益和考核满意度。</w:t>
      </w:r>
      <w:bookmarkStart w:id="29" w:name="_Toc11842"/>
    </w:p>
    <w:p w:rsidR="000858A5" w:rsidRDefault="00387237" w:rsidP="000858A5">
      <w:pPr>
        <w:pStyle w:val="2"/>
        <w:spacing w:before="0" w:after="0" w:line="360" w:lineRule="auto"/>
        <w:ind w:firstLineChars="200" w:firstLine="643"/>
        <w:rPr>
          <w:rFonts w:ascii="黑体"/>
        </w:rPr>
      </w:pPr>
      <w:r>
        <w:rPr>
          <w:rFonts w:ascii="黑体" w:hint="eastAsia"/>
        </w:rPr>
        <w:lastRenderedPageBreak/>
        <w:t>三、综合绩效评价工作情况</w:t>
      </w:r>
      <w:bookmarkStart w:id="30" w:name="_Toc492652776"/>
      <w:bookmarkStart w:id="31" w:name="_Toc465149505"/>
      <w:bookmarkStart w:id="32" w:name="_Toc17138"/>
      <w:bookmarkEnd w:id="19"/>
      <w:bookmarkEnd w:id="28"/>
      <w:bookmarkEnd w:id="29"/>
    </w:p>
    <w:p w:rsidR="00387237" w:rsidRPr="000858A5" w:rsidRDefault="00387237" w:rsidP="000858A5">
      <w:pPr>
        <w:pStyle w:val="2"/>
        <w:spacing w:before="0" w:after="0" w:line="360" w:lineRule="auto"/>
        <w:ind w:firstLineChars="200" w:firstLine="643"/>
        <w:rPr>
          <w:rFonts w:ascii="黑体"/>
        </w:rPr>
      </w:pPr>
      <w:r>
        <w:rPr>
          <w:rFonts w:ascii="楷体_GB2312" w:eastAsia="楷体_GB2312" w:hAnsiTheme="minorEastAsia" w:hint="eastAsia"/>
        </w:rPr>
        <w:t>（一）绩效评价目的</w:t>
      </w:r>
      <w:bookmarkEnd w:id="30"/>
      <w:bookmarkEnd w:id="31"/>
      <w:bookmarkEnd w:id="32"/>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33" w:name="_Toc465149506"/>
      <w:bookmarkStart w:id="34" w:name="_Toc492652777"/>
      <w:r>
        <w:rPr>
          <w:rFonts w:ascii="仿宋_GB2312" w:eastAsia="仿宋_GB2312" w:cs="DengXian-Regular" w:hint="eastAsia"/>
          <w:sz w:val="32"/>
          <w:szCs w:val="32"/>
        </w:rPr>
        <w:t>通过对本部门2019年部门整体支出绩效自评，了解部门整体资金预算情况、实际收支情况及结转结余情况；绩效目标和指标的设置及完成情况；部门履职对社会发展所带来的直接或间接影响及服务对象对部门履职效果的满意程度。</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部门整体支出绩效评价工作促使相关部门根据绩效评价过程中发现的问题，及时整改并总结经验，提高部门管理水平，牢固树立预算绩效理念，强化部门支出责任，提高预算执行效率和财政资金使用效益。</w:t>
      </w:r>
    </w:p>
    <w:p w:rsidR="00387237" w:rsidRDefault="00387237" w:rsidP="00387237">
      <w:pPr>
        <w:pStyle w:val="3"/>
        <w:spacing w:before="0" w:after="0"/>
        <w:ind w:firstLineChars="200" w:firstLine="643"/>
        <w:jc w:val="both"/>
        <w:rPr>
          <w:rFonts w:ascii="楷体_GB2312" w:eastAsia="楷体_GB2312" w:hAnsiTheme="minorEastAsia"/>
          <w:kern w:val="2"/>
          <w:sz w:val="32"/>
        </w:rPr>
      </w:pPr>
      <w:bookmarkStart w:id="35" w:name="_Toc11607"/>
      <w:r>
        <w:rPr>
          <w:rFonts w:ascii="楷体_GB2312" w:eastAsia="楷体_GB2312" w:hAnsiTheme="minorEastAsia" w:hint="eastAsia"/>
          <w:kern w:val="2"/>
          <w:sz w:val="32"/>
        </w:rPr>
        <w:t>（二）绩效评价依据</w:t>
      </w:r>
      <w:bookmarkEnd w:id="33"/>
      <w:bookmarkEnd w:id="34"/>
      <w:bookmarkEnd w:id="35"/>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36" w:name="_Toc465149507"/>
      <w:r>
        <w:rPr>
          <w:rFonts w:ascii="仿宋_GB2312" w:eastAsia="仿宋_GB2312" w:cs="DengXian-Regular" w:hint="eastAsia"/>
          <w:sz w:val="32"/>
          <w:szCs w:val="32"/>
        </w:rPr>
        <w:t>1.</w:t>
      </w:r>
      <w:r>
        <w:rPr>
          <w:rFonts w:ascii="仿宋_GB2312" w:eastAsia="仿宋_GB2312" w:cs="DengXian-Regular"/>
          <w:sz w:val="32"/>
          <w:szCs w:val="32"/>
        </w:rPr>
        <w:t>《中华人民共和国预算法》；</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2.中共中央国务院《关于全面实施预算绩效管理的意见》（中发〔2018〕34号）；</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w:t>
      </w:r>
      <w:r>
        <w:rPr>
          <w:rFonts w:ascii="仿宋_GB2312" w:eastAsia="仿宋_GB2312" w:cs="DengXian-Regular"/>
          <w:sz w:val="32"/>
          <w:szCs w:val="32"/>
        </w:rPr>
        <w:t>《河北省财政支出绩效评价管理办法》（冀财预</w:t>
      </w:r>
      <w:r>
        <w:rPr>
          <w:rFonts w:ascii="仿宋_GB2312" w:eastAsia="仿宋_GB2312" w:cs="DengXian-Regular" w:hint="eastAsia"/>
          <w:sz w:val="32"/>
          <w:szCs w:val="32"/>
        </w:rPr>
        <w:t xml:space="preserve">〔2011〕68号）； </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4.中共河北省委河北省人民政府</w:t>
      </w:r>
      <w:r>
        <w:rPr>
          <w:rFonts w:ascii="仿宋_GB2312" w:eastAsia="仿宋_GB2312" w:cs="DengXian-Regular"/>
          <w:sz w:val="32"/>
          <w:szCs w:val="32"/>
        </w:rPr>
        <w:t>《</w:t>
      </w:r>
      <w:r>
        <w:rPr>
          <w:rFonts w:ascii="仿宋_GB2312" w:eastAsia="仿宋_GB2312" w:cs="DengXian-Regular" w:hint="eastAsia"/>
          <w:sz w:val="32"/>
          <w:szCs w:val="32"/>
        </w:rPr>
        <w:t>关于全面实施预算绩效管理的实施意见</w:t>
      </w:r>
      <w:r>
        <w:rPr>
          <w:rFonts w:ascii="仿宋_GB2312" w:eastAsia="仿宋_GB2312" w:cs="DengXian-Regular"/>
          <w:sz w:val="32"/>
          <w:szCs w:val="32"/>
        </w:rPr>
        <w:t>》（</w:t>
      </w:r>
      <w:proofErr w:type="gramStart"/>
      <w:r>
        <w:rPr>
          <w:rFonts w:ascii="仿宋_GB2312" w:eastAsia="仿宋_GB2312" w:cs="DengXian-Regular"/>
          <w:sz w:val="32"/>
          <w:szCs w:val="32"/>
        </w:rPr>
        <w:t>冀</w:t>
      </w:r>
      <w:r>
        <w:rPr>
          <w:rFonts w:ascii="仿宋_GB2312" w:eastAsia="仿宋_GB2312" w:cs="DengXian-Regular" w:hint="eastAsia"/>
          <w:sz w:val="32"/>
          <w:szCs w:val="32"/>
        </w:rPr>
        <w:t>发〔2018〕</w:t>
      </w:r>
      <w:proofErr w:type="gramEnd"/>
      <w:r>
        <w:rPr>
          <w:rFonts w:ascii="仿宋_GB2312" w:eastAsia="仿宋_GB2312" w:cs="DengXian-Regular" w:hint="eastAsia"/>
          <w:sz w:val="32"/>
          <w:szCs w:val="32"/>
        </w:rPr>
        <w:t>54</w:t>
      </w:r>
      <w:r>
        <w:rPr>
          <w:rFonts w:ascii="仿宋_GB2312" w:eastAsia="仿宋_GB2312" w:cs="DengXian-Regular"/>
          <w:sz w:val="32"/>
          <w:szCs w:val="32"/>
        </w:rPr>
        <w:t>号）</w:t>
      </w:r>
      <w:r>
        <w:rPr>
          <w:rFonts w:ascii="仿宋_GB2312" w:eastAsia="仿宋_GB2312" w:cs="DengXian-Regular" w:hint="eastAsia"/>
          <w:sz w:val="32"/>
          <w:szCs w:val="32"/>
        </w:rPr>
        <w:t>；</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5.保定市徐水区财政局《关于印发绩效评价工作规划（2016-2020年）的通知》（徐政财字〔2016〕45号）；</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6.保定市徐水区财政局《关于印发&lt;全面实施预算绩效管理推进工作方案&gt;的通知》（徐政财字〔2019〕33号）；</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7.</w:t>
      </w:r>
      <w:r w:rsidRPr="00684443">
        <w:rPr>
          <w:rFonts w:hint="eastAsia"/>
        </w:rPr>
        <w:t xml:space="preserve"> </w:t>
      </w:r>
      <w:r w:rsidRPr="00684443">
        <w:rPr>
          <w:rFonts w:ascii="仿宋_GB2312" w:eastAsia="仿宋_GB2312" w:cs="DengXian-Regular" w:hint="eastAsia"/>
          <w:sz w:val="32"/>
          <w:szCs w:val="32"/>
        </w:rPr>
        <w:t>保定市徐水区财政局《关于印发保定市徐水区区级部门预算项目绩效自评价管理办法的通知》（徐政财字[2020]9号）；</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8．其他与部门绩效评价工作相关的文件。</w:t>
      </w:r>
      <w:bookmarkStart w:id="37" w:name="_Toc492652778"/>
    </w:p>
    <w:p w:rsidR="00387237" w:rsidRDefault="00387237" w:rsidP="00387237">
      <w:pPr>
        <w:pStyle w:val="3"/>
        <w:spacing w:before="0" w:after="0"/>
        <w:ind w:firstLineChars="200" w:firstLine="643"/>
        <w:jc w:val="both"/>
        <w:rPr>
          <w:rFonts w:ascii="楷体_GB2312" w:eastAsia="楷体_GB2312" w:hAnsiTheme="minorEastAsia"/>
          <w:kern w:val="2"/>
          <w:sz w:val="32"/>
        </w:rPr>
      </w:pPr>
      <w:bookmarkStart w:id="38" w:name="_Toc7609"/>
      <w:r>
        <w:rPr>
          <w:rFonts w:ascii="楷体_GB2312" w:eastAsia="楷体_GB2312" w:hAnsiTheme="minorEastAsia" w:hint="eastAsia"/>
          <w:kern w:val="2"/>
          <w:sz w:val="32"/>
        </w:rPr>
        <w:t>（三）绩效评价</w:t>
      </w:r>
      <w:bookmarkEnd w:id="37"/>
      <w:r>
        <w:rPr>
          <w:rFonts w:ascii="楷体_GB2312" w:eastAsia="楷体_GB2312" w:hAnsiTheme="minorEastAsia" w:hint="eastAsia"/>
          <w:kern w:val="2"/>
          <w:sz w:val="32"/>
        </w:rPr>
        <w:t>内容</w:t>
      </w:r>
      <w:bookmarkEnd w:id="38"/>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39" w:name="_Toc465149508"/>
      <w:bookmarkStart w:id="40" w:name="_Toc492652779"/>
      <w:bookmarkEnd w:id="36"/>
      <w:r w:rsidRPr="0011604C">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2019年部门整体支出绩效目标和指标的设置及完成情况；资金预算情况、实际收支情况及结转结余情况；部门履职对社会发展所带来的直接或间接影响及服务对象对部门履职效果的满意程度。</w:t>
      </w:r>
    </w:p>
    <w:p w:rsidR="00387237" w:rsidRDefault="00387237" w:rsidP="00387237">
      <w:pPr>
        <w:pStyle w:val="3"/>
        <w:spacing w:before="0" w:after="0"/>
        <w:ind w:firstLineChars="200" w:firstLine="643"/>
        <w:jc w:val="both"/>
        <w:rPr>
          <w:rFonts w:ascii="楷体_GB2312" w:eastAsia="楷体_GB2312" w:hAnsiTheme="minorEastAsia"/>
          <w:kern w:val="2"/>
          <w:sz w:val="32"/>
        </w:rPr>
      </w:pPr>
      <w:bookmarkStart w:id="41" w:name="_Toc789"/>
      <w:r>
        <w:rPr>
          <w:rFonts w:ascii="楷体_GB2312" w:eastAsia="楷体_GB2312" w:hAnsiTheme="minorEastAsia" w:hint="eastAsia"/>
          <w:kern w:val="2"/>
          <w:sz w:val="32"/>
        </w:rPr>
        <w:t>（四）绩效评价原则</w:t>
      </w:r>
      <w:bookmarkEnd w:id="41"/>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1.价值导向原则：财政支出绩效评价体系应能够反映财政支出的经济性、效益性、有效性原则，体现财政部门和项目主管部门的价值导向。</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2.重要性原则：根据指标在整个指标体系中的地位和作用进行筛选，选择最具代表性、最能反映评价要求的指标。</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3.综合性原则：将定性指标和定量指标相结合，定性分析是定量分析的基础，定量分析是定性分析的深化，两者相结合系统反映财政支出所产生的社会效益。</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4.经济性原则：指标的选取要考虑现实条件及可操作性，数据的获得应符合成本效益原则，在合理成本的基础上收集信息。</w:t>
      </w:r>
    </w:p>
    <w:p w:rsidR="00387237" w:rsidRDefault="00387237" w:rsidP="00387237">
      <w:pPr>
        <w:pStyle w:val="3"/>
        <w:spacing w:before="0" w:after="0"/>
        <w:ind w:firstLineChars="200" w:firstLine="643"/>
        <w:jc w:val="both"/>
        <w:rPr>
          <w:rFonts w:ascii="楷体_GB2312" w:eastAsia="楷体_GB2312" w:hAnsiTheme="minorEastAsia"/>
          <w:kern w:val="2"/>
          <w:sz w:val="32"/>
        </w:rPr>
      </w:pPr>
      <w:bookmarkStart w:id="42" w:name="_Toc8171"/>
      <w:r>
        <w:rPr>
          <w:rFonts w:ascii="楷体_GB2312" w:eastAsia="楷体_GB2312" w:hAnsiTheme="minorEastAsia" w:hint="eastAsia"/>
          <w:kern w:val="2"/>
          <w:sz w:val="32"/>
        </w:rPr>
        <w:t>（五）</w:t>
      </w:r>
      <w:bookmarkStart w:id="43" w:name="_Toc465149509"/>
      <w:bookmarkEnd w:id="39"/>
      <w:r>
        <w:rPr>
          <w:rFonts w:ascii="楷体_GB2312" w:eastAsia="楷体_GB2312" w:hAnsiTheme="minorEastAsia" w:hint="eastAsia"/>
          <w:kern w:val="2"/>
          <w:sz w:val="32"/>
        </w:rPr>
        <w:t>绩效评价方法</w:t>
      </w:r>
      <w:bookmarkEnd w:id="40"/>
      <w:bookmarkEnd w:id="42"/>
      <w:bookmarkEnd w:id="43"/>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44" w:name="_Toc422314152"/>
      <w:bookmarkStart w:id="45" w:name="_Toc421623217"/>
      <w:bookmarkStart w:id="46" w:name="_Toc465149510"/>
      <w:bookmarkStart w:id="47" w:name="_Toc492652780"/>
      <w:r>
        <w:rPr>
          <w:rFonts w:ascii="仿宋_GB2312" w:eastAsia="仿宋_GB2312" w:cs="DengXian-Regular"/>
          <w:sz w:val="32"/>
          <w:szCs w:val="32"/>
        </w:rPr>
        <w:t>本次评价采取</w:t>
      </w:r>
      <w:r>
        <w:rPr>
          <w:rFonts w:ascii="仿宋_GB2312" w:eastAsia="仿宋_GB2312" w:cs="DengXian-Regular" w:hint="eastAsia"/>
          <w:sz w:val="32"/>
          <w:szCs w:val="32"/>
        </w:rPr>
        <w:t>目标比较法、</w:t>
      </w:r>
      <w:r>
        <w:rPr>
          <w:rFonts w:ascii="仿宋_GB2312" w:eastAsia="仿宋_GB2312" w:cs="DengXian-Regular"/>
          <w:sz w:val="32"/>
          <w:szCs w:val="32"/>
        </w:rPr>
        <w:t>定量和定性评价相结合和综合评价相结合</w:t>
      </w:r>
      <w:r>
        <w:rPr>
          <w:rFonts w:ascii="仿宋_GB2312" w:eastAsia="仿宋_GB2312" w:cs="DengXian-Regular" w:hint="eastAsia"/>
          <w:sz w:val="32"/>
          <w:szCs w:val="32"/>
        </w:rPr>
        <w:t>的方式</w:t>
      </w:r>
      <w:r>
        <w:rPr>
          <w:rFonts w:ascii="仿宋_GB2312" w:eastAsia="仿宋_GB2312" w:cs="DengXian-Regular"/>
          <w:sz w:val="32"/>
          <w:szCs w:val="32"/>
        </w:rPr>
        <w:t>，运用审查、</w:t>
      </w:r>
      <w:r>
        <w:rPr>
          <w:rFonts w:ascii="仿宋_GB2312" w:eastAsia="仿宋_GB2312" w:cs="DengXian-Regular" w:hint="eastAsia"/>
          <w:sz w:val="32"/>
          <w:szCs w:val="32"/>
        </w:rPr>
        <w:t>询问查证和问卷调查</w:t>
      </w:r>
      <w:r>
        <w:rPr>
          <w:rFonts w:ascii="仿宋_GB2312" w:eastAsia="仿宋_GB2312" w:cs="DengXian-Regular"/>
          <w:sz w:val="32"/>
          <w:szCs w:val="32"/>
        </w:rPr>
        <w:t>等方法开展</w:t>
      </w:r>
      <w:r>
        <w:rPr>
          <w:rFonts w:ascii="仿宋_GB2312" w:eastAsia="仿宋_GB2312" w:cs="DengXian-Regular" w:hint="eastAsia"/>
          <w:sz w:val="32"/>
          <w:szCs w:val="32"/>
        </w:rPr>
        <w:t>绩效</w:t>
      </w:r>
      <w:r>
        <w:rPr>
          <w:rFonts w:ascii="仿宋_GB2312" w:eastAsia="仿宋_GB2312" w:cs="DengXian-Regular"/>
          <w:sz w:val="32"/>
          <w:szCs w:val="32"/>
        </w:rPr>
        <w:t>评价工作。</w:t>
      </w:r>
      <w:bookmarkEnd w:id="44"/>
      <w:bookmarkEnd w:id="45"/>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48" w:name="_Toc422314153"/>
      <w:bookmarkStart w:id="49" w:name="_Toc421623218"/>
      <w:r>
        <w:rPr>
          <w:rFonts w:ascii="仿宋_GB2312" w:eastAsia="仿宋_GB2312" w:cs="DengXian-Regular"/>
          <w:sz w:val="32"/>
          <w:szCs w:val="32"/>
        </w:rPr>
        <w:t>1</w:t>
      </w:r>
      <w:r>
        <w:rPr>
          <w:rFonts w:ascii="仿宋_GB2312" w:eastAsia="仿宋_GB2312" w:cs="DengXian-Regular" w:hint="eastAsia"/>
          <w:sz w:val="32"/>
          <w:szCs w:val="32"/>
        </w:rPr>
        <w:t>.</w:t>
      </w:r>
      <w:r>
        <w:rPr>
          <w:rFonts w:ascii="仿宋_GB2312" w:eastAsia="仿宋_GB2312" w:cs="DengXian-Regular"/>
          <w:sz w:val="32"/>
          <w:szCs w:val="32"/>
        </w:rPr>
        <w:t>审查法：通过审查被评价单位的</w:t>
      </w:r>
      <w:r>
        <w:rPr>
          <w:rFonts w:ascii="仿宋_GB2312" w:eastAsia="仿宋_GB2312" w:cs="DengXian-Regular" w:hint="eastAsia"/>
          <w:sz w:val="32"/>
          <w:szCs w:val="32"/>
        </w:rPr>
        <w:t>预算文本</w:t>
      </w:r>
      <w:r>
        <w:rPr>
          <w:rFonts w:ascii="仿宋_GB2312" w:eastAsia="仿宋_GB2312" w:cs="DengXian-Regular"/>
          <w:sz w:val="32"/>
          <w:szCs w:val="32"/>
        </w:rPr>
        <w:t>、</w:t>
      </w:r>
      <w:r>
        <w:rPr>
          <w:rFonts w:ascii="仿宋_GB2312" w:eastAsia="仿宋_GB2312" w:cs="DengXian-Regular" w:hint="eastAsia"/>
          <w:sz w:val="32"/>
          <w:szCs w:val="32"/>
        </w:rPr>
        <w:t>决算文本</w:t>
      </w:r>
      <w:r>
        <w:rPr>
          <w:rFonts w:ascii="仿宋_GB2312" w:eastAsia="仿宋_GB2312" w:cs="DengXian-Regular"/>
          <w:sz w:val="32"/>
          <w:szCs w:val="32"/>
        </w:rPr>
        <w:t>、</w:t>
      </w:r>
      <w:r>
        <w:rPr>
          <w:rFonts w:ascii="仿宋_GB2312" w:eastAsia="仿宋_GB2312" w:cs="DengXian-Regular" w:hint="eastAsia"/>
          <w:sz w:val="32"/>
          <w:szCs w:val="32"/>
        </w:rPr>
        <w:t>会计账簿、支出凭证、项目完成情况</w:t>
      </w:r>
      <w:r>
        <w:rPr>
          <w:rFonts w:ascii="仿宋_GB2312" w:eastAsia="仿宋_GB2312" w:cs="DengXian-Regular"/>
          <w:sz w:val="32"/>
          <w:szCs w:val="32"/>
        </w:rPr>
        <w:t>等</w:t>
      </w:r>
      <w:r>
        <w:rPr>
          <w:rFonts w:ascii="仿宋_GB2312" w:eastAsia="仿宋_GB2312" w:cs="DengXian-Regular" w:hint="eastAsia"/>
          <w:sz w:val="32"/>
          <w:szCs w:val="32"/>
        </w:rPr>
        <w:t>相关</w:t>
      </w:r>
      <w:r>
        <w:rPr>
          <w:rFonts w:ascii="仿宋_GB2312" w:eastAsia="仿宋_GB2312" w:cs="DengXian-Regular"/>
          <w:sz w:val="32"/>
          <w:szCs w:val="32"/>
        </w:rPr>
        <w:t>资料，分析资金</w:t>
      </w:r>
      <w:r>
        <w:rPr>
          <w:rFonts w:ascii="仿宋_GB2312" w:eastAsia="仿宋_GB2312" w:cs="DengXian-Regular" w:hint="eastAsia"/>
          <w:sz w:val="32"/>
          <w:szCs w:val="32"/>
        </w:rPr>
        <w:t>收</w:t>
      </w:r>
      <w:r>
        <w:rPr>
          <w:rFonts w:ascii="仿宋_GB2312" w:eastAsia="仿宋_GB2312" w:cs="DengXian-Regular"/>
          <w:sz w:val="32"/>
          <w:szCs w:val="32"/>
        </w:rPr>
        <w:t>支的合理性</w:t>
      </w:r>
      <w:r>
        <w:rPr>
          <w:rFonts w:ascii="仿宋_GB2312" w:eastAsia="仿宋_GB2312" w:cs="DengXian-Regular" w:hint="eastAsia"/>
          <w:sz w:val="32"/>
          <w:szCs w:val="32"/>
        </w:rPr>
        <w:t>和</w:t>
      </w:r>
      <w:r>
        <w:rPr>
          <w:rFonts w:ascii="仿宋_GB2312" w:eastAsia="仿宋_GB2312" w:cs="DengXian-Regular"/>
          <w:sz w:val="32"/>
          <w:szCs w:val="32"/>
        </w:rPr>
        <w:t>合</w:t>
      </w:r>
      <w:proofErr w:type="gramStart"/>
      <w:r>
        <w:rPr>
          <w:rFonts w:ascii="仿宋_GB2312" w:eastAsia="仿宋_GB2312" w:cs="DengXian-Regular"/>
          <w:sz w:val="32"/>
          <w:szCs w:val="32"/>
        </w:rPr>
        <w:t>规</w:t>
      </w:r>
      <w:proofErr w:type="gramEnd"/>
      <w:r>
        <w:rPr>
          <w:rFonts w:ascii="仿宋_GB2312" w:eastAsia="仿宋_GB2312" w:cs="DengXian-Regular"/>
          <w:sz w:val="32"/>
          <w:szCs w:val="32"/>
        </w:rPr>
        <w:t>性</w:t>
      </w:r>
      <w:r>
        <w:rPr>
          <w:rFonts w:ascii="仿宋_GB2312" w:eastAsia="仿宋_GB2312" w:cs="DengXian-Regular" w:hint="eastAsia"/>
          <w:sz w:val="32"/>
          <w:szCs w:val="32"/>
        </w:rPr>
        <w:t>、预算执行及管理情况、绩效目标和指标的设置及完成情况、部门整体效益</w:t>
      </w:r>
      <w:r>
        <w:rPr>
          <w:rFonts w:ascii="仿宋_GB2312" w:eastAsia="仿宋_GB2312" w:cs="DengXian-Regular"/>
          <w:sz w:val="32"/>
          <w:szCs w:val="32"/>
        </w:rPr>
        <w:t>。</w:t>
      </w:r>
      <w:bookmarkEnd w:id="48"/>
      <w:bookmarkEnd w:id="49"/>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50" w:name="_Toc422314155"/>
      <w:bookmarkStart w:id="51" w:name="_Toc421623220"/>
      <w:r>
        <w:rPr>
          <w:rFonts w:ascii="仿宋_GB2312" w:eastAsia="仿宋_GB2312" w:cs="DengXian-Regular" w:hint="eastAsia"/>
          <w:sz w:val="32"/>
          <w:szCs w:val="32"/>
        </w:rPr>
        <w:t>2.询问查证</w:t>
      </w:r>
      <w:r>
        <w:rPr>
          <w:rFonts w:ascii="仿宋_GB2312" w:eastAsia="仿宋_GB2312" w:cs="DengXian-Regular"/>
          <w:sz w:val="32"/>
          <w:szCs w:val="32"/>
        </w:rPr>
        <w:t>法：</w:t>
      </w:r>
      <w:r>
        <w:rPr>
          <w:rFonts w:ascii="仿宋_GB2312" w:eastAsia="仿宋_GB2312" w:cs="DengXian-Regular" w:hint="eastAsia"/>
          <w:sz w:val="32"/>
          <w:szCs w:val="32"/>
        </w:rPr>
        <w:t>在比较分析相关资料的基础上，通过询问的形式，核查项目资料是否真实、合理，从而对部门整体支出情况</w:t>
      </w:r>
      <w:proofErr w:type="gramStart"/>
      <w:r>
        <w:rPr>
          <w:rFonts w:ascii="仿宋_GB2312" w:eastAsia="仿宋_GB2312" w:cs="DengXian-Regular" w:hint="eastAsia"/>
          <w:sz w:val="32"/>
          <w:szCs w:val="32"/>
        </w:rPr>
        <w:t>作出</w:t>
      </w:r>
      <w:proofErr w:type="gramEnd"/>
      <w:r>
        <w:rPr>
          <w:rFonts w:ascii="仿宋_GB2312" w:eastAsia="仿宋_GB2312" w:cs="DengXian-Regular" w:hint="eastAsia"/>
          <w:sz w:val="32"/>
          <w:szCs w:val="32"/>
        </w:rPr>
        <w:t>初步的判断和评价</w:t>
      </w:r>
      <w:r>
        <w:rPr>
          <w:rFonts w:ascii="仿宋_GB2312" w:eastAsia="仿宋_GB2312" w:cs="DengXian-Regular"/>
          <w:sz w:val="32"/>
          <w:szCs w:val="32"/>
        </w:rPr>
        <w:t>。</w:t>
      </w:r>
      <w:bookmarkEnd w:id="50"/>
      <w:bookmarkEnd w:id="51"/>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52" w:name="_Toc421623221"/>
      <w:bookmarkStart w:id="53" w:name="_Toc422314156"/>
      <w:r>
        <w:rPr>
          <w:rFonts w:ascii="仿宋_GB2312" w:eastAsia="仿宋_GB2312" w:cs="DengXian-Regular" w:hint="eastAsia"/>
          <w:sz w:val="32"/>
          <w:szCs w:val="32"/>
        </w:rPr>
        <w:t>3.问卷调查</w:t>
      </w:r>
      <w:r>
        <w:rPr>
          <w:rFonts w:ascii="仿宋_GB2312" w:eastAsia="仿宋_GB2312" w:cs="DengXian-Regular"/>
          <w:sz w:val="32"/>
          <w:szCs w:val="32"/>
        </w:rPr>
        <w:t>法：通过</w:t>
      </w:r>
      <w:r>
        <w:rPr>
          <w:rFonts w:ascii="仿宋_GB2312" w:eastAsia="仿宋_GB2312" w:cs="DengXian-Regular" w:hint="eastAsia"/>
          <w:sz w:val="32"/>
          <w:szCs w:val="32"/>
        </w:rPr>
        <w:t>设计调查问卷，在一定范围内随机发放，并收集分析调查问卷，</w:t>
      </w:r>
      <w:r>
        <w:rPr>
          <w:rFonts w:ascii="仿宋_GB2312" w:eastAsia="仿宋_GB2312" w:cs="DengXian-Regular"/>
          <w:sz w:val="32"/>
          <w:szCs w:val="32"/>
        </w:rPr>
        <w:t>对财政支出的效果进行</w:t>
      </w:r>
      <w:r>
        <w:rPr>
          <w:rFonts w:ascii="仿宋_GB2312" w:eastAsia="仿宋_GB2312" w:cs="DengXian-Regular" w:hint="eastAsia"/>
          <w:sz w:val="32"/>
          <w:szCs w:val="32"/>
        </w:rPr>
        <w:t>评价</w:t>
      </w:r>
      <w:r>
        <w:rPr>
          <w:rFonts w:ascii="仿宋_GB2312" w:eastAsia="仿宋_GB2312" w:cs="DengXian-Regular"/>
          <w:sz w:val="32"/>
          <w:szCs w:val="32"/>
        </w:rPr>
        <w:t>，</w:t>
      </w:r>
      <w:r>
        <w:rPr>
          <w:rFonts w:ascii="仿宋_GB2312" w:eastAsia="仿宋_GB2312" w:cs="DengXian-Regular" w:hint="eastAsia"/>
          <w:sz w:val="32"/>
          <w:szCs w:val="32"/>
        </w:rPr>
        <w:t>了解服务对象对部门履职效果</w:t>
      </w:r>
      <w:r>
        <w:rPr>
          <w:rFonts w:ascii="仿宋_GB2312" w:eastAsia="仿宋_GB2312" w:cs="DengXian-Regular"/>
          <w:sz w:val="32"/>
          <w:szCs w:val="32"/>
        </w:rPr>
        <w:t>的满意</w:t>
      </w:r>
      <w:r>
        <w:rPr>
          <w:rFonts w:ascii="仿宋_GB2312" w:eastAsia="仿宋_GB2312" w:cs="DengXian-Regular" w:hint="eastAsia"/>
          <w:sz w:val="32"/>
          <w:szCs w:val="32"/>
        </w:rPr>
        <w:t>程</w:t>
      </w:r>
      <w:r>
        <w:rPr>
          <w:rFonts w:ascii="仿宋_GB2312" w:eastAsia="仿宋_GB2312" w:cs="DengXian-Regular"/>
          <w:sz w:val="32"/>
          <w:szCs w:val="32"/>
        </w:rPr>
        <w:t>度。</w:t>
      </w:r>
      <w:bookmarkStart w:id="54" w:name="_Toc20821"/>
      <w:bookmarkEnd w:id="52"/>
      <w:bookmarkEnd w:id="53"/>
    </w:p>
    <w:p w:rsidR="00387237" w:rsidRDefault="00387237" w:rsidP="00387237">
      <w:pPr>
        <w:spacing w:after="0" w:line="360" w:lineRule="auto"/>
        <w:ind w:firstLineChars="200" w:firstLine="643"/>
        <w:jc w:val="both"/>
        <w:textAlignment w:val="baseline"/>
        <w:rPr>
          <w:rFonts w:ascii="楷体_GB2312" w:eastAsia="楷体_GB2312" w:hAnsiTheme="minorEastAsia"/>
          <w:b/>
          <w:bCs/>
          <w:kern w:val="2"/>
          <w:sz w:val="32"/>
        </w:rPr>
      </w:pPr>
      <w:r>
        <w:rPr>
          <w:rFonts w:ascii="楷体_GB2312" w:eastAsia="楷体_GB2312" w:hAnsiTheme="minorEastAsia" w:hint="eastAsia"/>
          <w:b/>
          <w:bCs/>
          <w:kern w:val="2"/>
          <w:sz w:val="32"/>
        </w:rPr>
        <w:t>（六）绩效评价工作过程</w:t>
      </w:r>
      <w:bookmarkEnd w:id="46"/>
      <w:bookmarkEnd w:id="47"/>
      <w:bookmarkEnd w:id="54"/>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本次绩效评价工作经过了前期准备、绩效评价实施方案和指标体系制定、组织实施、绩效评价报告撰写四个阶段。</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1.前期准备阶段</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局内各业务股室充分沟通，并充分收集相关资料，主要包括部门职责、工作活动、预决算文本、相关管理制度、资金使用等相关资料，为制定绩效评价实施方案和指标体系奠定了基础。</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2.制定绩效评价实施方案和体系</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基于对部门整体支出相关资料的收集，制定绩效评价实施方案和体系,确定最终方案。</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3.组织实施阶段</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根据绩效评价实施方案和指标体系，对本部门开展</w:t>
      </w:r>
      <w:proofErr w:type="gramStart"/>
      <w:r>
        <w:rPr>
          <w:rFonts w:ascii="仿宋_GB2312" w:eastAsia="仿宋_GB2312" w:cs="DengXian-Regular" w:hint="eastAsia"/>
          <w:sz w:val="32"/>
          <w:szCs w:val="32"/>
        </w:rPr>
        <w:t>自评价</w:t>
      </w:r>
      <w:proofErr w:type="gramEnd"/>
      <w:r>
        <w:rPr>
          <w:rFonts w:ascii="仿宋_GB2312" w:eastAsia="仿宋_GB2312" w:cs="DengXian-Regular" w:hint="eastAsia"/>
          <w:sz w:val="32"/>
          <w:szCs w:val="32"/>
        </w:rPr>
        <w:t>工作，包括查看预决算文本及部门工作活动绩效目标和指标；比对预决算的调整及执行情况；核查固定资产管理的规范性；核查明细账与决算报表项目的一致性；对项目产出情况进行了解查看；随机选取服务对象进行满意度调查。根据收集的数据、资料进行核对、比较、计算，对部门整体支出进行评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4.撰写绩效评价报告</w:t>
      </w:r>
      <w:bookmarkStart w:id="55" w:name="_Toc465149511"/>
      <w:bookmarkStart w:id="56" w:name="_Toc492652781"/>
    </w:p>
    <w:p w:rsidR="002E797D" w:rsidRDefault="00387237" w:rsidP="000858A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在完成对各评价指标评分定级的基础上，开始进行报告撰写工作。</w:t>
      </w:r>
      <w:bookmarkStart w:id="57" w:name="_Toc6467"/>
    </w:p>
    <w:p w:rsidR="000858A5" w:rsidRPr="000858A5" w:rsidRDefault="000858A5" w:rsidP="000858A5">
      <w:pPr>
        <w:spacing w:after="0" w:line="360" w:lineRule="auto"/>
        <w:ind w:firstLineChars="200" w:firstLine="640"/>
        <w:jc w:val="both"/>
        <w:textAlignment w:val="baseline"/>
        <w:rPr>
          <w:rFonts w:ascii="仿宋_GB2312" w:eastAsia="仿宋_GB2312" w:cs="DengXian-Regular"/>
          <w:sz w:val="32"/>
          <w:szCs w:val="32"/>
        </w:rPr>
      </w:pPr>
    </w:p>
    <w:p w:rsidR="00387237" w:rsidRDefault="00387237" w:rsidP="00387237">
      <w:pPr>
        <w:pStyle w:val="2"/>
        <w:spacing w:before="0" w:after="0" w:line="360" w:lineRule="auto"/>
        <w:ind w:firstLineChars="200" w:firstLine="643"/>
        <w:rPr>
          <w:rFonts w:ascii="黑体"/>
        </w:rPr>
      </w:pPr>
      <w:r>
        <w:rPr>
          <w:rFonts w:ascii="黑体" w:hint="eastAsia"/>
        </w:rPr>
        <w:lastRenderedPageBreak/>
        <w:t>四、</w:t>
      </w:r>
      <w:bookmarkStart w:id="58" w:name="_Toc492652782"/>
      <w:bookmarkEnd w:id="55"/>
      <w:bookmarkEnd w:id="56"/>
      <w:r>
        <w:rPr>
          <w:rFonts w:ascii="黑体" w:hint="eastAsia"/>
        </w:rPr>
        <w:t>绩效评价评分情况</w:t>
      </w:r>
      <w:bookmarkEnd w:id="57"/>
    </w:p>
    <w:bookmarkEnd w:id="58"/>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sidRPr="00CC6DB1">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部</w:t>
      </w:r>
      <w:proofErr w:type="gramStart"/>
      <w:r>
        <w:rPr>
          <w:rFonts w:ascii="仿宋_GB2312" w:eastAsia="仿宋_GB2312" w:cs="DengXian-Regular" w:hint="eastAsia"/>
          <w:sz w:val="32"/>
          <w:szCs w:val="32"/>
        </w:rPr>
        <w:t>门整体</w:t>
      </w:r>
      <w:proofErr w:type="gramEnd"/>
      <w:r>
        <w:rPr>
          <w:rFonts w:ascii="仿宋_GB2312" w:eastAsia="仿宋_GB2312" w:cs="DengXian-Regular" w:hint="eastAsia"/>
          <w:sz w:val="32"/>
          <w:szCs w:val="32"/>
        </w:rPr>
        <w:t>支出绩效</w:t>
      </w:r>
      <w:proofErr w:type="gramStart"/>
      <w:r>
        <w:rPr>
          <w:rFonts w:ascii="仿宋_GB2312" w:eastAsia="仿宋_GB2312" w:cs="DengXian-Regular" w:hint="eastAsia"/>
          <w:sz w:val="32"/>
          <w:szCs w:val="32"/>
        </w:rPr>
        <w:t>自评价</w:t>
      </w:r>
      <w:proofErr w:type="gramEnd"/>
      <w:r>
        <w:rPr>
          <w:rFonts w:ascii="仿宋_GB2312" w:eastAsia="仿宋_GB2312" w:cs="DengXian-Regular" w:hint="eastAsia"/>
          <w:sz w:val="32"/>
          <w:szCs w:val="32"/>
        </w:rPr>
        <w:t>总得分为</w:t>
      </w:r>
      <w:r w:rsidR="0072224A">
        <w:rPr>
          <w:rFonts w:ascii="仿宋_GB2312" w:eastAsia="仿宋_GB2312" w:cs="DengXian-Regular"/>
          <w:sz w:val="32"/>
          <w:szCs w:val="32"/>
        </w:rPr>
        <w:t>93.12</w:t>
      </w:r>
      <w:r>
        <w:rPr>
          <w:rFonts w:ascii="仿宋_GB2312" w:eastAsia="仿宋_GB2312" w:cs="DengXian-Regular" w:hint="eastAsia"/>
          <w:sz w:val="32"/>
          <w:szCs w:val="32"/>
        </w:rPr>
        <w:t>分，综合绩效评价等级为“</w:t>
      </w:r>
      <w:r w:rsidR="00BF12C6" w:rsidRPr="00BF12C6">
        <w:rPr>
          <w:rFonts w:ascii="仿宋_GB2312" w:eastAsia="仿宋_GB2312" w:cs="DengXian-Regular" w:hint="eastAsia"/>
          <w:sz w:val="32"/>
          <w:szCs w:val="32"/>
        </w:rPr>
        <w:t>优</w:t>
      </w:r>
      <w:r>
        <w:rPr>
          <w:rFonts w:ascii="仿宋_GB2312" w:eastAsia="仿宋_GB2312" w:cs="DengXian-Regular" w:hint="eastAsia"/>
          <w:sz w:val="32"/>
          <w:szCs w:val="32"/>
        </w:rPr>
        <w:t>”。各项得分情况如下</w:t>
      </w:r>
      <w:r>
        <w:rPr>
          <w:rFonts w:ascii="仿宋_GB2312" w:eastAsia="仿宋_GB2312" w:hAnsiTheme="minorEastAsia" w:cs="Times New Roman" w:hint="eastAsia"/>
          <w:sz w:val="32"/>
          <w:szCs w:val="32"/>
          <w:u w:color="000000"/>
        </w:rPr>
        <w:t>：</w:t>
      </w:r>
      <w:r>
        <w:rPr>
          <w:rFonts w:ascii="仿宋_GB2312" w:eastAsia="仿宋_GB2312" w:hAnsiTheme="minorEastAsia" w:cs="Times New Roman"/>
          <w:sz w:val="32"/>
          <w:szCs w:val="32"/>
          <w:u w:color="000000"/>
        </w:rPr>
        <w:t xml:space="preserve"> </w:t>
      </w:r>
    </w:p>
    <w:p w:rsidR="00387237" w:rsidRDefault="00387237" w:rsidP="00387237">
      <w:pPr>
        <w:pStyle w:val="3"/>
        <w:spacing w:before="0" w:after="0"/>
        <w:ind w:firstLineChars="200" w:firstLine="643"/>
        <w:jc w:val="both"/>
        <w:rPr>
          <w:rFonts w:ascii="楷体_GB2312" w:eastAsia="楷体_GB2312" w:hAnsiTheme="minorEastAsia"/>
          <w:kern w:val="2"/>
          <w:sz w:val="32"/>
        </w:rPr>
      </w:pPr>
      <w:bookmarkStart w:id="59" w:name="_Toc492652783"/>
      <w:bookmarkStart w:id="60" w:name="_Toc4390"/>
      <w:r>
        <w:rPr>
          <w:rFonts w:ascii="楷体_GB2312" w:eastAsia="楷体_GB2312" w:hAnsiTheme="minorEastAsia" w:hint="eastAsia"/>
          <w:kern w:val="2"/>
          <w:sz w:val="32"/>
        </w:rPr>
        <w:t>（一）</w:t>
      </w:r>
      <w:bookmarkEnd w:id="59"/>
      <w:r>
        <w:rPr>
          <w:rFonts w:ascii="楷体_GB2312" w:eastAsia="楷体_GB2312" w:hAnsiTheme="minorEastAsia" w:hint="eastAsia"/>
          <w:kern w:val="2"/>
          <w:sz w:val="32"/>
        </w:rPr>
        <w:t>投入（12分）</w:t>
      </w:r>
      <w:bookmarkEnd w:id="60"/>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cs="DengXian-Regular" w:hint="eastAsia"/>
          <w:sz w:val="32"/>
          <w:szCs w:val="32"/>
        </w:rPr>
        <w:t>该一级指标包含绩效目标设定和预算配置两个二级指标，主要反映绩效目标设定是否合理、科学，绩效指标的制定是否清晰、可衡量，预算编制是否完整，项目预算是否细化及在职人员控制情况。</w:t>
      </w:r>
      <w:r>
        <w:rPr>
          <w:rFonts w:ascii="仿宋_GB2312" w:eastAsia="仿宋_GB2312" w:hAnsiTheme="minorEastAsia" w:cs="Times New Roman" w:hint="eastAsia"/>
          <w:sz w:val="32"/>
          <w:szCs w:val="32"/>
          <w:u w:color="000000"/>
        </w:rPr>
        <w:tab/>
      </w:r>
    </w:p>
    <w:p w:rsidR="00387237" w:rsidRDefault="00387237" w:rsidP="00387237">
      <w:pPr>
        <w:spacing w:after="0" w:line="360" w:lineRule="auto"/>
        <w:jc w:val="center"/>
        <w:textAlignment w:val="baseline"/>
        <w:rPr>
          <w:rFonts w:asciiTheme="minorEastAsia" w:eastAsiaTheme="minorEastAsia" w:hAnsiTheme="minorEastAsia" w:cstheme="minorEastAsia"/>
          <w:b/>
          <w:bCs/>
          <w:sz w:val="32"/>
          <w:szCs w:val="32"/>
          <w:u w:color="000000"/>
        </w:rPr>
      </w:pPr>
      <w:r>
        <w:rPr>
          <w:rFonts w:asciiTheme="minorEastAsia" w:eastAsiaTheme="minorEastAsia" w:hAnsiTheme="minorEastAsia" w:cstheme="minorEastAsia" w:hint="eastAsia"/>
          <w:b/>
          <w:bCs/>
          <w:sz w:val="32"/>
          <w:szCs w:val="32"/>
          <w:u w:color="000000"/>
        </w:rPr>
        <w:t>表2  投入指标及得分情况表</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1418"/>
        <w:gridCol w:w="1701"/>
        <w:gridCol w:w="1276"/>
        <w:gridCol w:w="1134"/>
      </w:tblGrid>
      <w:tr w:rsidR="00387237" w:rsidTr="00B9710E">
        <w:trPr>
          <w:trHeight w:hRule="exact" w:val="454"/>
        </w:trPr>
        <w:tc>
          <w:tcPr>
            <w:tcW w:w="1559" w:type="dxa"/>
            <w:vAlign w:val="center"/>
          </w:tcPr>
          <w:p w:rsidR="00387237" w:rsidRDefault="00387237" w:rsidP="00B9710E">
            <w:pPr>
              <w:spacing w:line="420" w:lineRule="exact"/>
              <w:jc w:val="center"/>
              <w:rPr>
                <w:rFonts w:asciiTheme="minorEastAsia" w:eastAsiaTheme="minorEastAsia" w:hAnsiTheme="minorEastAsia" w:cs="宋体"/>
                <w:b/>
                <w:sz w:val="21"/>
                <w:szCs w:val="21"/>
              </w:rPr>
            </w:pPr>
            <w:r>
              <w:rPr>
                <w:rFonts w:asciiTheme="minorEastAsia" w:eastAsiaTheme="minorEastAsia" w:hAnsiTheme="minorEastAsia" w:cs="宋体" w:hint="eastAsia"/>
                <w:b/>
                <w:sz w:val="21"/>
                <w:szCs w:val="21"/>
              </w:rPr>
              <w:t>一级指标</w:t>
            </w:r>
          </w:p>
        </w:tc>
        <w:tc>
          <w:tcPr>
            <w:tcW w:w="1418" w:type="dxa"/>
            <w:vAlign w:val="center"/>
          </w:tcPr>
          <w:p w:rsidR="00387237" w:rsidRDefault="00387237" w:rsidP="00B9710E">
            <w:pPr>
              <w:spacing w:line="420" w:lineRule="exact"/>
              <w:jc w:val="center"/>
              <w:rPr>
                <w:rFonts w:asciiTheme="minorEastAsia" w:eastAsiaTheme="minorEastAsia" w:hAnsiTheme="minorEastAsia" w:cs="宋体"/>
                <w:b/>
                <w:sz w:val="21"/>
                <w:szCs w:val="21"/>
              </w:rPr>
            </w:pPr>
            <w:r>
              <w:rPr>
                <w:rFonts w:asciiTheme="minorEastAsia" w:eastAsiaTheme="minorEastAsia" w:hAnsiTheme="minorEastAsia" w:cs="宋体" w:hint="eastAsia"/>
                <w:b/>
                <w:sz w:val="21"/>
                <w:szCs w:val="21"/>
              </w:rPr>
              <w:t>二级指标</w:t>
            </w:r>
          </w:p>
        </w:tc>
        <w:tc>
          <w:tcPr>
            <w:tcW w:w="1701" w:type="dxa"/>
            <w:vAlign w:val="center"/>
          </w:tcPr>
          <w:p w:rsidR="00387237" w:rsidRDefault="00387237" w:rsidP="00B9710E">
            <w:pPr>
              <w:spacing w:line="420" w:lineRule="exact"/>
              <w:jc w:val="center"/>
              <w:rPr>
                <w:rFonts w:asciiTheme="minorEastAsia" w:eastAsiaTheme="minorEastAsia" w:hAnsiTheme="minorEastAsia" w:cs="宋体"/>
                <w:b/>
                <w:sz w:val="21"/>
                <w:szCs w:val="21"/>
              </w:rPr>
            </w:pPr>
            <w:r>
              <w:rPr>
                <w:rFonts w:asciiTheme="minorEastAsia" w:eastAsiaTheme="minorEastAsia" w:hAnsiTheme="minorEastAsia" w:cs="宋体" w:hint="eastAsia"/>
                <w:b/>
                <w:sz w:val="21"/>
                <w:szCs w:val="21"/>
              </w:rPr>
              <w:t>三级指标</w:t>
            </w:r>
          </w:p>
        </w:tc>
        <w:tc>
          <w:tcPr>
            <w:tcW w:w="1276" w:type="dxa"/>
            <w:vAlign w:val="center"/>
          </w:tcPr>
          <w:p w:rsidR="00387237" w:rsidRDefault="00387237" w:rsidP="00B9710E">
            <w:pPr>
              <w:spacing w:line="420" w:lineRule="exact"/>
              <w:jc w:val="center"/>
              <w:rPr>
                <w:rFonts w:asciiTheme="minorEastAsia" w:eastAsiaTheme="minorEastAsia" w:hAnsiTheme="minorEastAsia" w:cs="宋体"/>
                <w:b/>
                <w:sz w:val="21"/>
                <w:szCs w:val="21"/>
              </w:rPr>
            </w:pPr>
            <w:r>
              <w:rPr>
                <w:rFonts w:asciiTheme="minorEastAsia" w:eastAsiaTheme="minorEastAsia" w:hAnsiTheme="minorEastAsia" w:cs="宋体" w:hint="eastAsia"/>
                <w:b/>
                <w:sz w:val="21"/>
                <w:szCs w:val="21"/>
              </w:rPr>
              <w:t>分值权重</w:t>
            </w:r>
          </w:p>
        </w:tc>
        <w:tc>
          <w:tcPr>
            <w:tcW w:w="1134" w:type="dxa"/>
            <w:vAlign w:val="center"/>
          </w:tcPr>
          <w:p w:rsidR="00387237" w:rsidRDefault="00387237" w:rsidP="00B9710E">
            <w:pPr>
              <w:spacing w:line="420" w:lineRule="exact"/>
              <w:jc w:val="center"/>
              <w:rPr>
                <w:rFonts w:asciiTheme="minorEastAsia" w:eastAsiaTheme="minorEastAsia" w:hAnsiTheme="minorEastAsia" w:cs="宋体"/>
                <w:b/>
                <w:sz w:val="21"/>
                <w:szCs w:val="21"/>
              </w:rPr>
            </w:pPr>
            <w:r>
              <w:rPr>
                <w:rFonts w:asciiTheme="minorEastAsia" w:eastAsiaTheme="minorEastAsia" w:hAnsiTheme="minorEastAsia" w:cs="宋体" w:hint="eastAsia"/>
                <w:b/>
                <w:sz w:val="21"/>
                <w:szCs w:val="21"/>
              </w:rPr>
              <w:t>得分</w:t>
            </w:r>
          </w:p>
        </w:tc>
      </w:tr>
      <w:tr w:rsidR="00387237" w:rsidTr="00B9710E">
        <w:trPr>
          <w:trHeight w:hRule="exact" w:val="454"/>
        </w:trPr>
        <w:tc>
          <w:tcPr>
            <w:tcW w:w="1559"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投入</w:t>
            </w:r>
          </w:p>
          <w:p w:rsidR="00387237" w:rsidRDefault="00387237" w:rsidP="00B9710E">
            <w:pPr>
              <w:spacing w:line="420" w:lineRule="exact"/>
              <w:jc w:val="center"/>
              <w:rPr>
                <w:rFonts w:asciiTheme="minorEastAsia" w:eastAsiaTheme="minorEastAsia" w:hAnsiTheme="minorEastAsia" w:cs="宋体"/>
                <w:sz w:val="21"/>
                <w:szCs w:val="21"/>
                <w:highlight w:val="yellow"/>
              </w:rPr>
            </w:pPr>
            <w:r>
              <w:rPr>
                <w:rFonts w:asciiTheme="minorEastAsia" w:eastAsiaTheme="minorEastAsia" w:hAnsiTheme="minorEastAsia" w:cs="宋体" w:hint="eastAsia"/>
                <w:sz w:val="21"/>
                <w:szCs w:val="21"/>
              </w:rPr>
              <w:t>（12分）</w:t>
            </w:r>
          </w:p>
        </w:tc>
        <w:tc>
          <w:tcPr>
            <w:tcW w:w="1418"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highlight w:val="yellow"/>
              </w:rPr>
            </w:pPr>
            <w:r>
              <w:rPr>
                <w:rFonts w:asciiTheme="minorEastAsia" w:eastAsiaTheme="minorEastAsia" w:hAnsiTheme="minorEastAsia" w:cs="宋体" w:hint="eastAsia"/>
                <w:sz w:val="21"/>
                <w:szCs w:val="21"/>
              </w:rPr>
              <w:t>绩效目标设定（6分）</w:t>
            </w:r>
          </w:p>
        </w:tc>
        <w:tc>
          <w:tcPr>
            <w:tcW w:w="1701"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绩效目标合理性</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134"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r>
      <w:tr w:rsidR="00387237" w:rsidTr="00B9710E">
        <w:trPr>
          <w:trHeight w:hRule="exact" w:val="454"/>
        </w:trPr>
        <w:tc>
          <w:tcPr>
            <w:tcW w:w="1559"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418"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701"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绩效目标科学性</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134"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r>
      <w:tr w:rsidR="00387237" w:rsidTr="00B9710E">
        <w:trPr>
          <w:trHeight w:hRule="exact" w:val="454"/>
        </w:trPr>
        <w:tc>
          <w:tcPr>
            <w:tcW w:w="1559"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418"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701"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绩效指标明确性</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134"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r>
      <w:tr w:rsidR="00387237" w:rsidTr="00B9710E">
        <w:trPr>
          <w:trHeight w:hRule="exact" w:val="454"/>
        </w:trPr>
        <w:tc>
          <w:tcPr>
            <w:tcW w:w="1559"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418"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预算配置</w:t>
            </w:r>
          </w:p>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（6分）</w:t>
            </w:r>
          </w:p>
        </w:tc>
        <w:tc>
          <w:tcPr>
            <w:tcW w:w="1701"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预算编制完整性</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134" w:type="dxa"/>
            <w:vAlign w:val="center"/>
          </w:tcPr>
          <w:p w:rsidR="00387237" w:rsidRDefault="00BF12C6"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r>
      <w:tr w:rsidR="00387237" w:rsidTr="00B9710E">
        <w:trPr>
          <w:trHeight w:hRule="exact" w:val="454"/>
        </w:trPr>
        <w:tc>
          <w:tcPr>
            <w:tcW w:w="1559"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418"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701"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项目预算细化率</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134" w:type="dxa"/>
            <w:vAlign w:val="center"/>
          </w:tcPr>
          <w:p w:rsidR="00387237" w:rsidRDefault="00BF12C6"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0</w:t>
            </w:r>
          </w:p>
        </w:tc>
      </w:tr>
      <w:tr w:rsidR="00387237" w:rsidTr="00B9710E">
        <w:trPr>
          <w:trHeight w:hRule="exact" w:val="454"/>
        </w:trPr>
        <w:tc>
          <w:tcPr>
            <w:tcW w:w="1559"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418" w:type="dxa"/>
            <w:vMerge/>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701"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在职人员控制率</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134" w:type="dxa"/>
            <w:vAlign w:val="center"/>
          </w:tcPr>
          <w:p w:rsidR="00387237" w:rsidRDefault="00BF12C6"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r>
      <w:tr w:rsidR="00387237" w:rsidTr="00B9710E">
        <w:trPr>
          <w:trHeight w:hRule="exact" w:val="454"/>
        </w:trPr>
        <w:tc>
          <w:tcPr>
            <w:tcW w:w="2977" w:type="dxa"/>
            <w:gridSpan w:val="2"/>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r>
              <w:rPr>
                <w:rFonts w:asciiTheme="minorEastAsia" w:eastAsiaTheme="minorEastAsia" w:hAnsiTheme="minorEastAsia" w:cs="宋体" w:hint="eastAsia"/>
                <w:sz w:val="21"/>
                <w:szCs w:val="21"/>
              </w:rPr>
              <w:t>合计</w:t>
            </w:r>
          </w:p>
        </w:tc>
        <w:tc>
          <w:tcPr>
            <w:tcW w:w="1701" w:type="dxa"/>
            <w:vAlign w:val="center"/>
          </w:tcPr>
          <w:p w:rsidR="00387237" w:rsidRDefault="00387237" w:rsidP="00B9710E">
            <w:pPr>
              <w:spacing w:line="420" w:lineRule="exact"/>
              <w:ind w:firstLineChars="200" w:firstLine="420"/>
              <w:jc w:val="center"/>
              <w:rPr>
                <w:rFonts w:asciiTheme="minorEastAsia" w:eastAsiaTheme="minorEastAsia" w:hAnsiTheme="minorEastAsia" w:cs="宋体"/>
                <w:sz w:val="21"/>
                <w:szCs w:val="21"/>
                <w:highlight w:val="yellow"/>
              </w:rPr>
            </w:pP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12</w:t>
            </w:r>
          </w:p>
        </w:tc>
        <w:tc>
          <w:tcPr>
            <w:tcW w:w="1134" w:type="dxa"/>
            <w:vAlign w:val="center"/>
          </w:tcPr>
          <w:p w:rsidR="00387237" w:rsidRDefault="00BF12C6"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w:t>
            </w:r>
          </w:p>
        </w:tc>
      </w:tr>
    </w:tbl>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61" w:name="_Toc464638478"/>
      <w:bookmarkStart w:id="62" w:name="_Toc465149513"/>
      <w:r>
        <w:rPr>
          <w:rFonts w:ascii="仿宋_GB2312" w:eastAsia="仿宋_GB2312" w:cs="DengXian-Regular" w:hint="eastAsia"/>
          <w:sz w:val="32"/>
          <w:szCs w:val="32"/>
        </w:rPr>
        <w:t>1.绩效目标设定（6分）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（1）绩效目标合理性(2分)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该指标主要评价部门的职责设定是否符合“三定”方案中所赋予的职责；工作活动是否与部门职责、工作规划和重点工作相关；工作活动项下确定的预算项目是否合理，</w:t>
      </w:r>
      <w:r>
        <w:rPr>
          <w:rFonts w:ascii="仿宋_GB2312" w:eastAsia="仿宋_GB2312" w:cs="DengXian-Regular" w:hint="eastAsia"/>
          <w:sz w:val="32"/>
          <w:szCs w:val="32"/>
        </w:rPr>
        <w:lastRenderedPageBreak/>
        <w:t>是否与工作活动密切相关；工作活动和项目预算安排是否合理。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通过对比保定市徐水区委办公室及保定市徐水区人民政府办公室印发的《保定市徐水区教育和体育局职能配置内设机构和人员编制规定的</w:t>
      </w:r>
      <w:r>
        <w:rPr>
          <w:rFonts w:ascii="仿宋_GB2312" w:eastAsia="仿宋_GB2312" w:cs="DengXian-Regular"/>
          <w:sz w:val="32"/>
          <w:szCs w:val="32"/>
        </w:rPr>
        <w:t>通知</w:t>
      </w:r>
      <w:r>
        <w:rPr>
          <w:rFonts w:ascii="仿宋_GB2312" w:eastAsia="仿宋_GB2312" w:cs="DengXian-Regular" w:hint="eastAsia"/>
          <w:sz w:val="32"/>
          <w:szCs w:val="32"/>
        </w:rPr>
        <w:t>》和保定市徐水区教育和体育局2019年预算文本</w:t>
      </w:r>
      <w:proofErr w:type="gramStart"/>
      <w:r>
        <w:rPr>
          <w:rFonts w:ascii="仿宋_GB2312" w:eastAsia="仿宋_GB2312" w:cs="DengXian-Regular" w:hint="eastAsia"/>
          <w:sz w:val="32"/>
          <w:szCs w:val="32"/>
        </w:rPr>
        <w:t>—部门</w:t>
      </w:r>
      <w:proofErr w:type="gramEnd"/>
      <w:r>
        <w:rPr>
          <w:rFonts w:ascii="仿宋_GB2312" w:eastAsia="仿宋_GB2312" w:cs="DengXian-Regular" w:hint="eastAsia"/>
          <w:sz w:val="32"/>
          <w:szCs w:val="32"/>
        </w:rPr>
        <w:t>职责工作活动绩效目标，评价工作组认为</w:t>
      </w:r>
      <w:r w:rsidRPr="00FD25B9">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部门职责符合“三定”方案中所赋予的职责，绩效目标设立依据充分，符合客观实际，与部门职责、工作规划和重点工作相关，工作活动和项目预算安排合理。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（2）绩效目标科学性（2分）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预算批复的部门年度发展规划目标和部门职责分类绩效目标是否充分，是否与部门履职、年度工作任务相符；工作活动是否有明确的绩效目标，绩效目标是否与部门职责目标、部门年度工作目标一致，是否能体现工作活动的产出和效果。</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w:t>
      </w:r>
      <w:r w:rsidRPr="006E15C4">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2019年预算文本</w:t>
      </w:r>
      <w:proofErr w:type="gramStart"/>
      <w:r>
        <w:rPr>
          <w:rFonts w:ascii="仿宋_GB2312" w:eastAsia="仿宋_GB2312" w:cs="DengXian-Regular" w:hint="eastAsia"/>
          <w:sz w:val="32"/>
          <w:szCs w:val="32"/>
        </w:rPr>
        <w:t>—部门</w:t>
      </w:r>
      <w:proofErr w:type="gramEnd"/>
      <w:r>
        <w:rPr>
          <w:rFonts w:ascii="仿宋_GB2312" w:eastAsia="仿宋_GB2312" w:cs="DengXian-Regular" w:hint="eastAsia"/>
          <w:sz w:val="32"/>
          <w:szCs w:val="32"/>
        </w:rPr>
        <w:t>职责工作活动绩效目标，绩效目标与部门履职、年度工作任务相符；工作活动有明确的绩效目标，绩效目标与部门职责目标、部门年度工作目标一致。</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该项指标实际得分2分。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（3）绩效目标明确性（2分）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highlight w:val="yellow"/>
        </w:rPr>
      </w:pPr>
      <w:r>
        <w:rPr>
          <w:rFonts w:ascii="仿宋_GB2312" w:eastAsia="仿宋_GB2312" w:cs="DengXian-Regular" w:hint="eastAsia"/>
          <w:sz w:val="32"/>
          <w:szCs w:val="32"/>
        </w:rPr>
        <w:t>该指标主要评价是否将部门整体的绩效目标细化分解为具体的工作任务，工作活动、预算项目绩效指标是否清晰、细化、可评价、可衡量；工作活动、预算项目绩效指标的评价标准是否清晰、可衡量；是否与部门年度的任务数或计划数相对应。</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w:t>
      </w:r>
      <w:r w:rsidRPr="006E15C4">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2019年预算文本</w:t>
      </w:r>
      <w:proofErr w:type="gramStart"/>
      <w:r>
        <w:rPr>
          <w:rFonts w:ascii="仿宋_GB2312" w:eastAsia="仿宋_GB2312" w:cs="DengXian-Regular" w:hint="eastAsia"/>
          <w:sz w:val="32"/>
          <w:szCs w:val="32"/>
        </w:rPr>
        <w:t>—部门</w:t>
      </w:r>
      <w:proofErr w:type="gramEnd"/>
      <w:r>
        <w:rPr>
          <w:rFonts w:ascii="仿宋_GB2312" w:eastAsia="仿宋_GB2312" w:cs="DengXian-Regular" w:hint="eastAsia"/>
          <w:sz w:val="32"/>
          <w:szCs w:val="32"/>
        </w:rPr>
        <w:t>职责工作活动绩效目标,预算项目绩效目标明确、</w:t>
      </w:r>
      <w:r>
        <w:rPr>
          <w:rFonts w:ascii="仿宋_GB2312" w:eastAsia="仿宋_GB2312" w:cs="DengXian-Regular"/>
          <w:sz w:val="32"/>
          <w:szCs w:val="32"/>
        </w:rPr>
        <w:t>清晰、可衡量，</w:t>
      </w:r>
      <w:r>
        <w:rPr>
          <w:rFonts w:ascii="仿宋_GB2312" w:eastAsia="仿宋_GB2312" w:cs="DengXian-Regular" w:hint="eastAsia"/>
          <w:sz w:val="32"/>
          <w:szCs w:val="32"/>
        </w:rPr>
        <w:t>该指标实际得分</w:t>
      </w:r>
      <w:r>
        <w:rPr>
          <w:rFonts w:ascii="仿宋_GB2312" w:eastAsia="仿宋_GB2312" w:cs="DengXian-Regular"/>
          <w:sz w:val="32"/>
          <w:szCs w:val="32"/>
        </w:rPr>
        <w:t>2</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2.预算配置（6分）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（1）预算编制完整性（2分）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该指标主要评价部门所有收入是否全部纳入部门预算，部门支出预算是否统筹各类支出，按基本支出、项目支出分别编制。</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w:t>
      </w:r>
      <w:r w:rsidRPr="001324CF">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2019年预算文本及相关会计资料，</w:t>
      </w:r>
      <w:r w:rsidRPr="001324CF">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所有收入均已纳入部门预算，部门支出按基本支出、项目支出分别编制。</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w:t>
      </w:r>
      <w:r>
        <w:rPr>
          <w:rFonts w:ascii="仿宋_GB2312" w:eastAsia="仿宋_GB2312" w:cs="DengXian-Regular"/>
          <w:sz w:val="32"/>
          <w:szCs w:val="32"/>
        </w:rPr>
        <w:t>2</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（2）项目预算细化率（2分）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该指标主要评价编报的项目支出是否细化到具体用款单位和项目的资金额度，通过项目预算细化率衡量。</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项目预算细化率=细化的项目金额/实际编报的项目金额×100%。</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根据区保定市徐水区教育和体育局2019年预算文本</w:t>
      </w:r>
      <w:proofErr w:type="gramStart"/>
      <w:r w:rsidRPr="002D6C48">
        <w:rPr>
          <w:rFonts w:ascii="仿宋_GB2312" w:eastAsia="仿宋_GB2312" w:cs="DengXian-Regular" w:hint="eastAsia"/>
          <w:sz w:val="32"/>
          <w:szCs w:val="32"/>
        </w:rPr>
        <w:t>—部门</w:t>
      </w:r>
      <w:proofErr w:type="gramEnd"/>
      <w:r w:rsidRPr="002D6C48">
        <w:rPr>
          <w:rFonts w:ascii="仿宋_GB2312" w:eastAsia="仿宋_GB2312" w:cs="DengXian-Regular" w:hint="eastAsia"/>
          <w:sz w:val="32"/>
          <w:szCs w:val="32"/>
        </w:rPr>
        <w:t>项目支出预算表，保定市徐水区教育和体育局2019年预算项目共</w:t>
      </w:r>
      <w:r w:rsidR="00BF12C6" w:rsidRPr="002D6C48">
        <w:rPr>
          <w:rFonts w:ascii="仿宋_GB2312" w:eastAsia="仿宋_GB2312" w:cs="DengXian-Regular"/>
          <w:sz w:val="32"/>
          <w:szCs w:val="32"/>
        </w:rPr>
        <w:t>164</w:t>
      </w:r>
      <w:r w:rsidRPr="002D6C48">
        <w:rPr>
          <w:rFonts w:ascii="仿宋_GB2312" w:eastAsia="仿宋_GB2312" w:cs="DengXian-Regular" w:hint="eastAsia"/>
          <w:sz w:val="32"/>
          <w:szCs w:val="32"/>
        </w:rPr>
        <w:t>个（详见附件2-2-2），涉及资金</w:t>
      </w:r>
      <w:r w:rsidR="00BF12C6" w:rsidRPr="002D6C48">
        <w:rPr>
          <w:rFonts w:ascii="仿宋_GB2312" w:eastAsia="仿宋_GB2312" w:cs="DengXian-Regular"/>
          <w:sz w:val="32"/>
          <w:szCs w:val="32"/>
        </w:rPr>
        <w:t>21994.7</w:t>
      </w:r>
      <w:r w:rsidRPr="002D6C48">
        <w:rPr>
          <w:rFonts w:ascii="仿宋_GB2312" w:eastAsia="仿宋_GB2312" w:cs="DengXian-Regular" w:hint="eastAsia"/>
          <w:sz w:val="32"/>
          <w:szCs w:val="32"/>
        </w:rPr>
        <w:t>万元，所有项目均细化到具体用款单位及项目资金额度。项目预算细化率=（</w:t>
      </w:r>
      <w:r w:rsidR="00DF1D3E" w:rsidRPr="002D6C48">
        <w:rPr>
          <w:rFonts w:ascii="仿宋_GB2312" w:eastAsia="仿宋_GB2312" w:cs="DengXian-Regular"/>
          <w:sz w:val="32"/>
          <w:szCs w:val="32"/>
        </w:rPr>
        <w:t>12465.88</w:t>
      </w:r>
      <w:r w:rsidRPr="002D6C48">
        <w:rPr>
          <w:rFonts w:ascii="仿宋_GB2312" w:eastAsia="仿宋_GB2312" w:cs="DengXian-Regular" w:hint="eastAsia"/>
          <w:sz w:val="32"/>
          <w:szCs w:val="32"/>
        </w:rPr>
        <w:t>/</w:t>
      </w:r>
      <w:r w:rsidR="00DF1D3E" w:rsidRPr="002D6C48">
        <w:rPr>
          <w:rFonts w:ascii="仿宋_GB2312" w:eastAsia="仿宋_GB2312" w:cs="DengXian-Regular"/>
          <w:sz w:val="32"/>
          <w:szCs w:val="32"/>
        </w:rPr>
        <w:t>21994.7</w:t>
      </w:r>
      <w:r w:rsidRPr="002D6C48">
        <w:rPr>
          <w:rFonts w:ascii="仿宋_GB2312" w:eastAsia="仿宋_GB2312" w:cs="DengXian-Regular" w:hint="eastAsia"/>
          <w:sz w:val="32"/>
          <w:szCs w:val="32"/>
        </w:rPr>
        <w:t>）*100%=</w:t>
      </w:r>
      <w:r w:rsidR="00DF1D3E" w:rsidRPr="002D6C48">
        <w:rPr>
          <w:rFonts w:ascii="仿宋_GB2312" w:eastAsia="仿宋_GB2312" w:cs="DengXian-Regular"/>
          <w:sz w:val="32"/>
          <w:szCs w:val="32"/>
        </w:rPr>
        <w:t>56.68</w:t>
      </w:r>
      <w:r w:rsidRPr="002D6C48">
        <w:rPr>
          <w:rFonts w:ascii="仿宋_GB2312" w:eastAsia="仿宋_GB2312" w:cs="DengXian-Regular" w:hint="eastAsia"/>
          <w:sz w:val="32"/>
          <w:szCs w:val="32"/>
        </w:rPr>
        <w:t>%</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该指标实际得分</w:t>
      </w:r>
      <w:r w:rsidR="00983263" w:rsidRPr="002D6C48">
        <w:rPr>
          <w:rFonts w:ascii="仿宋_GB2312" w:eastAsia="仿宋_GB2312" w:cs="DengXian-Regular"/>
          <w:sz w:val="32"/>
          <w:szCs w:val="32"/>
        </w:rPr>
        <w:t>0</w:t>
      </w:r>
      <w:r w:rsidRPr="002D6C48">
        <w:rPr>
          <w:rFonts w:ascii="仿宋_GB2312" w:eastAsia="仿宋_GB2312" w:cs="DengXian-Regular" w:hint="eastAsia"/>
          <w:sz w:val="32"/>
          <w:szCs w:val="32"/>
        </w:rPr>
        <w:t>分。</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（3）在职人员控制率（2分）</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该指标主要考核截至2019年底保定市徐水区教育和体育局在职人员控制情况，通过在职人员控制率衡量。</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在职人员控制率=决算在职人员/编制数×100%。</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根据保定市徐水区委办公室及保定市徐水区人民政府办公室关于印发《保定市徐水区教育和体育局职能配置内设机构和人员编制规定》的通知，保定市徐水区教育和体育局人员编制为</w:t>
      </w:r>
      <w:r w:rsidR="006848E3" w:rsidRPr="002D6C48">
        <w:rPr>
          <w:rFonts w:ascii="仿宋_GB2312" w:eastAsia="仿宋_GB2312" w:cs="DengXian-Regular"/>
          <w:sz w:val="32"/>
          <w:szCs w:val="32"/>
        </w:rPr>
        <w:t>5824</w:t>
      </w:r>
      <w:r w:rsidRPr="002D6C48">
        <w:rPr>
          <w:rFonts w:ascii="仿宋_GB2312" w:eastAsia="仿宋_GB2312" w:cs="DengXian-Regular" w:hint="eastAsia"/>
          <w:sz w:val="32"/>
          <w:szCs w:val="32"/>
        </w:rPr>
        <w:t>人，</w:t>
      </w:r>
      <w:proofErr w:type="gramStart"/>
      <w:r w:rsidRPr="002D6C48">
        <w:rPr>
          <w:rFonts w:ascii="仿宋_GB2312" w:eastAsia="仿宋_GB2312" w:cs="DengXian-Regular" w:hint="eastAsia"/>
          <w:sz w:val="32"/>
          <w:szCs w:val="32"/>
        </w:rPr>
        <w:t>根据</w:t>
      </w:r>
      <w:r w:rsidR="006848E3" w:rsidRPr="002D6C48">
        <w:rPr>
          <w:rFonts w:ascii="仿宋_GB2312" w:eastAsia="仿宋_GB2312" w:cs="DengXian-Regular" w:hint="eastAsia"/>
          <w:sz w:val="32"/>
          <w:szCs w:val="32"/>
        </w:rPr>
        <w:t>教体局</w:t>
      </w:r>
      <w:proofErr w:type="gramEnd"/>
      <w:r w:rsidRPr="002D6C48">
        <w:rPr>
          <w:rFonts w:ascii="仿宋_GB2312" w:eastAsia="仿宋_GB2312" w:cs="DengXian-Regular" w:hint="eastAsia"/>
          <w:sz w:val="32"/>
          <w:szCs w:val="32"/>
        </w:rPr>
        <w:t>2019年决算文本-部门基本情况表，截至2019年底，在职人员</w:t>
      </w:r>
      <w:r w:rsidR="006848E3" w:rsidRPr="002D6C48">
        <w:rPr>
          <w:rFonts w:ascii="仿宋_GB2312" w:eastAsia="仿宋_GB2312" w:cs="DengXian-Regular"/>
          <w:sz w:val="32"/>
          <w:szCs w:val="32"/>
        </w:rPr>
        <w:t>5619</w:t>
      </w:r>
      <w:r w:rsidRPr="002D6C48">
        <w:rPr>
          <w:rFonts w:ascii="仿宋_GB2312" w:eastAsia="仿宋_GB2312" w:cs="DengXian-Regular" w:hint="eastAsia"/>
          <w:sz w:val="32"/>
          <w:szCs w:val="32"/>
        </w:rPr>
        <w:t>人，在职人员控制率=（</w:t>
      </w:r>
      <w:r w:rsidR="006848E3" w:rsidRPr="002D6C48">
        <w:rPr>
          <w:rFonts w:ascii="仿宋_GB2312" w:eastAsia="仿宋_GB2312" w:cs="DengXian-Regular"/>
          <w:sz w:val="32"/>
          <w:szCs w:val="32"/>
        </w:rPr>
        <w:t>5619</w:t>
      </w:r>
      <w:r w:rsidRPr="002D6C48">
        <w:rPr>
          <w:rFonts w:ascii="仿宋_GB2312" w:eastAsia="仿宋_GB2312" w:cs="DengXian-Regular" w:hint="eastAsia"/>
          <w:sz w:val="32"/>
          <w:szCs w:val="32"/>
        </w:rPr>
        <w:t>/</w:t>
      </w:r>
      <w:r w:rsidR="006848E3" w:rsidRPr="002D6C48">
        <w:rPr>
          <w:rFonts w:ascii="仿宋_GB2312" w:eastAsia="仿宋_GB2312" w:cs="DengXian-Regular"/>
          <w:sz w:val="32"/>
          <w:szCs w:val="32"/>
        </w:rPr>
        <w:t>5824</w:t>
      </w:r>
      <w:r w:rsidRPr="002D6C48">
        <w:rPr>
          <w:rFonts w:ascii="仿宋_GB2312" w:eastAsia="仿宋_GB2312" w:cs="DengXian-Regular" w:hint="eastAsia"/>
          <w:sz w:val="32"/>
          <w:szCs w:val="32"/>
        </w:rPr>
        <w:t>）*100%=</w:t>
      </w:r>
      <w:r w:rsidR="006848E3" w:rsidRPr="002D6C48">
        <w:rPr>
          <w:rFonts w:ascii="仿宋_GB2312" w:eastAsia="仿宋_GB2312" w:cs="DengXian-Regular"/>
          <w:sz w:val="32"/>
          <w:szCs w:val="32"/>
        </w:rPr>
        <w:t>96.48</w:t>
      </w:r>
      <w:r w:rsidRPr="002D6C48">
        <w:rPr>
          <w:rFonts w:ascii="仿宋_GB2312" w:eastAsia="仿宋_GB2312" w:cs="DengXian-Regular" w:hint="eastAsia"/>
          <w:sz w:val="32"/>
          <w:szCs w:val="32"/>
        </w:rPr>
        <w:t>%。</w:t>
      </w:r>
    </w:p>
    <w:p w:rsidR="00387237" w:rsidRPr="002D6C48"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2D6C48">
        <w:rPr>
          <w:rFonts w:ascii="仿宋_GB2312" w:eastAsia="仿宋_GB2312" w:cs="DengXian-Regular" w:hint="eastAsia"/>
          <w:sz w:val="32"/>
          <w:szCs w:val="32"/>
        </w:rPr>
        <w:t>该指标实际得分</w:t>
      </w:r>
      <w:r w:rsidR="006848E3" w:rsidRPr="002D6C48">
        <w:rPr>
          <w:rFonts w:ascii="仿宋_GB2312" w:eastAsia="仿宋_GB2312" w:cs="DengXian-Regular"/>
          <w:sz w:val="32"/>
          <w:szCs w:val="32"/>
        </w:rPr>
        <w:t>2</w:t>
      </w:r>
      <w:r w:rsidRPr="002D6C48">
        <w:rPr>
          <w:rFonts w:ascii="仿宋_GB2312" w:eastAsia="仿宋_GB2312" w:cs="DengXian-Regular" w:hint="eastAsia"/>
          <w:sz w:val="32"/>
          <w:szCs w:val="32"/>
        </w:rPr>
        <w:t>分。</w:t>
      </w:r>
    </w:p>
    <w:p w:rsidR="00387237" w:rsidRDefault="00387237" w:rsidP="00387237">
      <w:pPr>
        <w:pStyle w:val="3"/>
        <w:spacing w:before="0" w:after="0"/>
        <w:ind w:firstLineChars="200" w:firstLine="643"/>
        <w:jc w:val="both"/>
        <w:rPr>
          <w:rFonts w:ascii="楷体" w:eastAsia="楷体" w:hAnsi="楷体"/>
          <w:sz w:val="32"/>
        </w:rPr>
      </w:pPr>
      <w:bookmarkStart w:id="63" w:name="_Toc19940"/>
      <w:bookmarkEnd w:id="61"/>
      <w:bookmarkEnd w:id="62"/>
      <w:r>
        <w:rPr>
          <w:rFonts w:ascii="楷体" w:eastAsia="楷体" w:hAnsi="楷体" w:hint="eastAsia"/>
          <w:sz w:val="32"/>
        </w:rPr>
        <w:t>（二）过程（48分）</w:t>
      </w:r>
      <w:bookmarkEnd w:id="63"/>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64" w:name="_Toc464638480"/>
      <w:r>
        <w:rPr>
          <w:rFonts w:ascii="仿宋_GB2312" w:eastAsia="仿宋_GB2312" w:cs="DengXian-Regular" w:hint="eastAsia"/>
          <w:sz w:val="32"/>
          <w:szCs w:val="32"/>
        </w:rPr>
        <w:t>该一级指标包含预算执行、预算管理和绩效评价三个二级指标，主要反映预算调整、收入支出完成情况，“三</w:t>
      </w:r>
      <w:r>
        <w:rPr>
          <w:rFonts w:ascii="仿宋_GB2312" w:eastAsia="仿宋_GB2312" w:cs="DengXian-Regular" w:hint="eastAsia"/>
          <w:sz w:val="32"/>
          <w:szCs w:val="32"/>
        </w:rPr>
        <w:lastRenderedPageBreak/>
        <w:t>公”经费、政府采购执行情况，财务管理是否规范、资金使用是否合</w:t>
      </w:r>
      <w:proofErr w:type="gramStart"/>
      <w:r>
        <w:rPr>
          <w:rFonts w:ascii="仿宋_GB2312" w:eastAsia="仿宋_GB2312" w:cs="DengXian-Regular" w:hint="eastAsia"/>
          <w:sz w:val="32"/>
          <w:szCs w:val="32"/>
        </w:rPr>
        <w:t>规</w:t>
      </w:r>
      <w:proofErr w:type="gramEnd"/>
      <w:r>
        <w:rPr>
          <w:rFonts w:ascii="仿宋_GB2312" w:eastAsia="仿宋_GB2312" w:cs="DengXian-Regular" w:hint="eastAsia"/>
          <w:sz w:val="32"/>
          <w:szCs w:val="32"/>
        </w:rPr>
        <w:t>，决算真实性。</w:t>
      </w:r>
    </w:p>
    <w:p w:rsidR="00387237" w:rsidRDefault="00387237" w:rsidP="00387237">
      <w:pPr>
        <w:spacing w:after="0" w:line="360" w:lineRule="auto"/>
        <w:jc w:val="center"/>
        <w:textAlignment w:val="baseline"/>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表3  过程指标及得分情况表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57"/>
        <w:gridCol w:w="1388"/>
        <w:gridCol w:w="2277"/>
        <w:gridCol w:w="1155"/>
        <w:gridCol w:w="1276"/>
      </w:tblGrid>
      <w:tr w:rsidR="00387237" w:rsidTr="00B9710E">
        <w:trPr>
          <w:trHeight w:hRule="exact" w:val="397"/>
          <w:jc w:val="center"/>
        </w:trPr>
        <w:tc>
          <w:tcPr>
            <w:tcW w:w="1557" w:type="dxa"/>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一级指标</w:t>
            </w:r>
          </w:p>
        </w:tc>
        <w:tc>
          <w:tcPr>
            <w:tcW w:w="1388" w:type="dxa"/>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二级指标</w:t>
            </w:r>
          </w:p>
        </w:tc>
        <w:tc>
          <w:tcPr>
            <w:tcW w:w="2277" w:type="dxa"/>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三级指标</w:t>
            </w:r>
          </w:p>
        </w:tc>
        <w:tc>
          <w:tcPr>
            <w:tcW w:w="1155" w:type="dxa"/>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分数权重</w:t>
            </w:r>
          </w:p>
        </w:tc>
        <w:tc>
          <w:tcPr>
            <w:tcW w:w="1276" w:type="dxa"/>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得分</w:t>
            </w:r>
          </w:p>
        </w:tc>
      </w:tr>
      <w:tr w:rsidR="00387237" w:rsidTr="00B9710E">
        <w:trPr>
          <w:trHeight w:hRule="exact" w:val="397"/>
          <w:jc w:val="center"/>
        </w:trPr>
        <w:tc>
          <w:tcPr>
            <w:tcW w:w="1557"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过程（48分）</w:t>
            </w:r>
          </w:p>
        </w:tc>
        <w:tc>
          <w:tcPr>
            <w:tcW w:w="1388"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预算执行</w:t>
            </w:r>
          </w:p>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（24分）</w:t>
            </w: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预算收入调整率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0</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收入完成率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预算支出调整率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w:t>
            </w:r>
          </w:p>
        </w:tc>
        <w:tc>
          <w:tcPr>
            <w:tcW w:w="1276" w:type="dxa"/>
            <w:vAlign w:val="center"/>
          </w:tcPr>
          <w:p w:rsidR="00387237" w:rsidRDefault="002E797D"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sz w:val="21"/>
                <w:szCs w:val="21"/>
              </w:rPr>
              <w:t>0.23</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财政拨款支出完成率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“三公经费”控制率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政府采购执行率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资金使用合</w:t>
            </w:r>
            <w:proofErr w:type="gramStart"/>
            <w:r>
              <w:rPr>
                <w:rFonts w:asciiTheme="minorEastAsia" w:eastAsiaTheme="minorEastAsia" w:hAnsiTheme="minorEastAsia" w:cs="宋体" w:hint="eastAsia"/>
                <w:sz w:val="21"/>
                <w:szCs w:val="21"/>
              </w:rPr>
              <w:t>规</w:t>
            </w:r>
            <w:proofErr w:type="gramEnd"/>
            <w:r>
              <w:rPr>
                <w:rFonts w:asciiTheme="minorEastAsia" w:eastAsiaTheme="minorEastAsia" w:hAnsiTheme="minorEastAsia" w:cs="宋体" w:hint="eastAsia"/>
                <w:sz w:val="21"/>
                <w:szCs w:val="21"/>
              </w:rPr>
              <w:t>性</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决算真实性</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预算管理</w:t>
            </w:r>
          </w:p>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（16分）</w:t>
            </w: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管理制度健全性</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预决算信息公开</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基础信息完善性</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39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资产管理规范性</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467"/>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restart"/>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绩效评价</w:t>
            </w:r>
          </w:p>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（8分）</w:t>
            </w: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绩效自评覆盖率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482"/>
          <w:jc w:val="center"/>
        </w:trPr>
        <w:tc>
          <w:tcPr>
            <w:tcW w:w="1557"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388" w:type="dxa"/>
            <w:vMerge/>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绩效评价优等率</w:t>
            </w: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c>
          <w:tcPr>
            <w:tcW w:w="1276"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p>
        </w:tc>
      </w:tr>
      <w:tr w:rsidR="00387237" w:rsidTr="00B9710E">
        <w:trPr>
          <w:trHeight w:hRule="exact" w:val="397"/>
          <w:jc w:val="center"/>
        </w:trPr>
        <w:tc>
          <w:tcPr>
            <w:tcW w:w="2945" w:type="dxa"/>
            <w:gridSpan w:val="2"/>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合计</w:t>
            </w:r>
          </w:p>
        </w:tc>
        <w:tc>
          <w:tcPr>
            <w:tcW w:w="2277" w:type="dxa"/>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155" w:type="dxa"/>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48</w:t>
            </w:r>
          </w:p>
        </w:tc>
        <w:tc>
          <w:tcPr>
            <w:tcW w:w="1276" w:type="dxa"/>
            <w:vAlign w:val="center"/>
          </w:tcPr>
          <w:p w:rsidR="00387237" w:rsidRDefault="00A82E09"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44</w:t>
            </w:r>
            <w:r w:rsidR="002E797D">
              <w:rPr>
                <w:rFonts w:asciiTheme="minorEastAsia" w:eastAsiaTheme="minorEastAsia" w:hAnsiTheme="minorEastAsia" w:cs="宋体"/>
                <w:sz w:val="21"/>
                <w:szCs w:val="21"/>
              </w:rPr>
              <w:t>.23</w:t>
            </w:r>
          </w:p>
        </w:tc>
      </w:tr>
    </w:tbl>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65" w:name="_Toc464638487"/>
      <w:bookmarkStart w:id="66" w:name="_Toc465149514"/>
      <w:bookmarkEnd w:id="64"/>
      <w:r w:rsidRPr="00F6743C">
        <w:rPr>
          <w:rFonts w:ascii="仿宋_GB2312" w:eastAsia="仿宋_GB2312" w:cs="DengXian-Regular" w:hint="eastAsia"/>
          <w:sz w:val="32"/>
          <w:szCs w:val="32"/>
        </w:rPr>
        <w:t>1.预算执行（24分）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（1）预算收入调整率（2分）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该指标主要评价预算收入的调整情况，进而衡量预算收入编制的准确性，通过预算收入调整率衡量。</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预算收入调整率=（调整预算数-年初预算数）/年初预算数*100%</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根据区保定市徐水区教育和体育局的预算指标文件，其中：</w:t>
      </w:r>
      <w:proofErr w:type="gramStart"/>
      <w:r w:rsidRPr="00F6743C">
        <w:rPr>
          <w:rFonts w:ascii="仿宋_GB2312" w:eastAsia="仿宋_GB2312" w:cs="DengXian-Regular" w:hint="eastAsia"/>
          <w:sz w:val="32"/>
          <w:szCs w:val="32"/>
        </w:rPr>
        <w:t>徐财预指</w:t>
      </w:r>
      <w:proofErr w:type="gramEnd"/>
      <w:r w:rsidRPr="00F6743C">
        <w:rPr>
          <w:rFonts w:ascii="仿宋_GB2312" w:eastAsia="仿宋_GB2312" w:cs="DengXian-Regular" w:hint="eastAsia"/>
          <w:sz w:val="32"/>
          <w:szCs w:val="32"/>
        </w:rPr>
        <w:t>[2019]</w:t>
      </w:r>
      <w:r w:rsidR="000239E0" w:rsidRPr="00F6743C">
        <w:rPr>
          <w:rFonts w:ascii="仿宋_GB2312" w:eastAsia="仿宋_GB2312" w:cs="DengXian-Regular"/>
          <w:sz w:val="32"/>
          <w:szCs w:val="32"/>
        </w:rPr>
        <w:t>1-0002</w:t>
      </w:r>
      <w:r w:rsidRPr="00F6743C">
        <w:rPr>
          <w:rFonts w:ascii="仿宋_GB2312" w:eastAsia="仿宋_GB2312" w:cs="DengXian-Regular" w:hint="eastAsia"/>
          <w:sz w:val="32"/>
          <w:szCs w:val="32"/>
        </w:rPr>
        <w:t>号追加</w:t>
      </w:r>
      <w:r w:rsidR="000239E0" w:rsidRPr="00F6743C">
        <w:rPr>
          <w:rFonts w:ascii="仿宋_GB2312" w:eastAsia="仿宋_GB2312" w:cs="DengXian-Regular" w:hint="eastAsia"/>
          <w:sz w:val="32"/>
          <w:szCs w:val="32"/>
        </w:rPr>
        <w:t>2015.8-2015.12养老</w:t>
      </w:r>
      <w:r w:rsidR="000239E0" w:rsidRPr="00F6743C">
        <w:rPr>
          <w:rFonts w:ascii="仿宋_GB2312" w:eastAsia="仿宋_GB2312" w:cs="DengXian-Regular" w:hint="eastAsia"/>
          <w:sz w:val="32"/>
          <w:szCs w:val="32"/>
        </w:rPr>
        <w:lastRenderedPageBreak/>
        <w:t>保险改革个人预留部分1</w:t>
      </w:r>
      <w:r w:rsidR="000239E0" w:rsidRPr="00F6743C">
        <w:rPr>
          <w:rFonts w:ascii="仿宋_GB2312" w:eastAsia="仿宋_GB2312" w:cs="DengXian-Regular"/>
          <w:sz w:val="32"/>
          <w:szCs w:val="32"/>
        </w:rPr>
        <w:t>9.69</w:t>
      </w:r>
      <w:r w:rsidRPr="00F6743C">
        <w:rPr>
          <w:rFonts w:ascii="仿宋_GB2312" w:eastAsia="仿宋_GB2312" w:cs="DengXian-Regular" w:hint="eastAsia"/>
          <w:sz w:val="32"/>
          <w:szCs w:val="32"/>
        </w:rPr>
        <w:t>万元；</w:t>
      </w:r>
      <w:proofErr w:type="gramStart"/>
      <w:r w:rsidR="000239E0" w:rsidRPr="00F6743C">
        <w:rPr>
          <w:rFonts w:ascii="仿宋_GB2312" w:eastAsia="仿宋_GB2312" w:cs="DengXian-Regular" w:hint="eastAsia"/>
          <w:sz w:val="32"/>
          <w:szCs w:val="32"/>
        </w:rPr>
        <w:t>徐财预指</w:t>
      </w:r>
      <w:proofErr w:type="gramEnd"/>
      <w:r w:rsidR="000239E0" w:rsidRPr="00F6743C">
        <w:rPr>
          <w:rFonts w:ascii="仿宋_GB2312" w:eastAsia="仿宋_GB2312" w:cs="DengXian-Regular" w:hint="eastAsia"/>
          <w:sz w:val="32"/>
          <w:szCs w:val="32"/>
        </w:rPr>
        <w:t>[2019]1-0009号</w:t>
      </w:r>
      <w:r w:rsidRPr="00F6743C">
        <w:rPr>
          <w:rFonts w:ascii="仿宋_GB2312" w:eastAsia="仿宋_GB2312" w:cs="DengXian-Regular" w:hint="eastAsia"/>
          <w:sz w:val="32"/>
          <w:szCs w:val="32"/>
        </w:rPr>
        <w:t>追加</w:t>
      </w:r>
      <w:r w:rsidR="000239E0" w:rsidRPr="00F6743C">
        <w:rPr>
          <w:rFonts w:ascii="仿宋_GB2312" w:eastAsia="仿宋_GB2312" w:cs="DengXian-Regular" w:hint="eastAsia"/>
          <w:sz w:val="32"/>
          <w:szCs w:val="32"/>
        </w:rPr>
        <w:t>2018年机关事业单位考核奖励135.6</w:t>
      </w:r>
      <w:r w:rsidRPr="00F6743C">
        <w:rPr>
          <w:rFonts w:ascii="仿宋_GB2312" w:eastAsia="仿宋_GB2312" w:cs="DengXian-Regular" w:hint="eastAsia"/>
          <w:sz w:val="32"/>
          <w:szCs w:val="32"/>
        </w:rPr>
        <w:t>万元；</w:t>
      </w:r>
      <w:proofErr w:type="gramStart"/>
      <w:r w:rsidRPr="00F6743C">
        <w:rPr>
          <w:rFonts w:ascii="仿宋_GB2312" w:eastAsia="仿宋_GB2312" w:cs="DengXian-Regular" w:hint="eastAsia"/>
          <w:sz w:val="32"/>
          <w:szCs w:val="32"/>
        </w:rPr>
        <w:t>徐财预指</w:t>
      </w:r>
      <w:proofErr w:type="gramEnd"/>
      <w:r w:rsidRPr="00F6743C">
        <w:rPr>
          <w:rFonts w:ascii="仿宋_GB2312" w:eastAsia="仿宋_GB2312" w:cs="DengXian-Regular" w:hint="eastAsia"/>
          <w:sz w:val="32"/>
          <w:szCs w:val="32"/>
        </w:rPr>
        <w:t>[2019]</w:t>
      </w:r>
      <w:r w:rsidR="003C1D95" w:rsidRPr="00F6743C">
        <w:t xml:space="preserve"> </w:t>
      </w:r>
      <w:r w:rsidR="003C1D95" w:rsidRPr="00F6743C">
        <w:rPr>
          <w:rFonts w:ascii="仿宋_GB2312" w:eastAsia="仿宋_GB2312" w:cs="DengXian-Regular"/>
          <w:sz w:val="32"/>
          <w:szCs w:val="32"/>
        </w:rPr>
        <w:t>3-0001</w:t>
      </w:r>
      <w:r w:rsidRPr="00F6743C">
        <w:rPr>
          <w:rFonts w:ascii="仿宋_GB2312" w:eastAsia="仿宋_GB2312" w:cs="DengXian-Regular" w:hint="eastAsia"/>
          <w:sz w:val="32"/>
          <w:szCs w:val="32"/>
        </w:rPr>
        <w:t>号</w:t>
      </w:r>
      <w:r w:rsidR="003C1D95" w:rsidRPr="00F6743C">
        <w:rPr>
          <w:rFonts w:ascii="仿宋_GB2312" w:eastAsia="仿宋_GB2312" w:cs="DengXian-Regular" w:hint="eastAsia"/>
          <w:sz w:val="32"/>
          <w:szCs w:val="32"/>
        </w:rPr>
        <w:t>至</w:t>
      </w:r>
      <w:proofErr w:type="gramStart"/>
      <w:r w:rsidR="003C1D95" w:rsidRPr="00F6743C">
        <w:rPr>
          <w:rFonts w:ascii="仿宋_GB2312" w:eastAsia="仿宋_GB2312" w:cs="DengXian-Regular" w:hint="eastAsia"/>
          <w:sz w:val="32"/>
          <w:szCs w:val="32"/>
        </w:rPr>
        <w:t>徐财预指</w:t>
      </w:r>
      <w:proofErr w:type="gramEnd"/>
      <w:r w:rsidR="003C1D95" w:rsidRPr="00F6743C">
        <w:rPr>
          <w:rFonts w:ascii="仿宋_GB2312" w:eastAsia="仿宋_GB2312" w:cs="DengXian-Regular" w:hint="eastAsia"/>
          <w:sz w:val="32"/>
          <w:szCs w:val="32"/>
        </w:rPr>
        <w:t>[2019]</w:t>
      </w:r>
      <w:r w:rsidR="003C1D95" w:rsidRPr="00F6743C">
        <w:t xml:space="preserve"> </w:t>
      </w:r>
      <w:r w:rsidR="003C1D95" w:rsidRPr="00F6743C">
        <w:rPr>
          <w:rFonts w:ascii="仿宋_GB2312" w:eastAsia="仿宋_GB2312" w:cs="DengXian-Regular"/>
          <w:sz w:val="32"/>
          <w:szCs w:val="32"/>
        </w:rPr>
        <w:t>3-0042</w:t>
      </w:r>
      <w:r w:rsidR="003C1D95" w:rsidRPr="00F6743C">
        <w:rPr>
          <w:rFonts w:ascii="仿宋_GB2312" w:eastAsia="仿宋_GB2312" w:cs="DengXian-Regular" w:hint="eastAsia"/>
          <w:sz w:val="32"/>
          <w:szCs w:val="32"/>
        </w:rPr>
        <w:t>号</w:t>
      </w:r>
      <w:r w:rsidRPr="00F6743C">
        <w:rPr>
          <w:rFonts w:ascii="仿宋_GB2312" w:eastAsia="仿宋_GB2312" w:cs="DengXian-Regular" w:hint="eastAsia"/>
          <w:sz w:val="32"/>
          <w:szCs w:val="32"/>
        </w:rPr>
        <w:t>追加</w:t>
      </w:r>
      <w:r w:rsidR="003C1D95" w:rsidRPr="00F6743C">
        <w:rPr>
          <w:rFonts w:ascii="仿宋_GB2312" w:eastAsia="仿宋_GB2312" w:cs="DengXian-Regular" w:hint="eastAsia"/>
          <w:sz w:val="32"/>
          <w:szCs w:val="32"/>
        </w:rPr>
        <w:t>人员经费（补发）、</w:t>
      </w:r>
      <w:r w:rsidR="003C1D95" w:rsidRPr="00F6743C">
        <w:rPr>
          <w:rFonts w:ascii="仿宋_GB2312" w:eastAsia="仿宋_GB2312" w:cs="DengXian-Regular"/>
          <w:sz w:val="32"/>
          <w:szCs w:val="32"/>
        </w:rPr>
        <w:t>四险</w:t>
      </w:r>
      <w:proofErr w:type="gramStart"/>
      <w:r w:rsidR="003C1D95" w:rsidRPr="00F6743C">
        <w:rPr>
          <w:rFonts w:ascii="仿宋_GB2312" w:eastAsia="仿宋_GB2312" w:cs="DengXian-Regular"/>
          <w:sz w:val="32"/>
          <w:szCs w:val="32"/>
        </w:rPr>
        <w:t>一</w:t>
      </w:r>
      <w:proofErr w:type="gramEnd"/>
      <w:r w:rsidR="003C1D95" w:rsidRPr="00F6743C">
        <w:rPr>
          <w:rFonts w:ascii="仿宋_GB2312" w:eastAsia="仿宋_GB2312" w:cs="DengXian-Regular"/>
          <w:sz w:val="32"/>
          <w:szCs w:val="32"/>
        </w:rPr>
        <w:t>金</w:t>
      </w:r>
      <w:r w:rsidR="003C1D95" w:rsidRPr="00F6743C">
        <w:rPr>
          <w:rFonts w:ascii="仿宋_GB2312" w:eastAsia="仿宋_GB2312" w:cs="DengXian-Regular" w:hint="eastAsia"/>
          <w:sz w:val="32"/>
          <w:szCs w:val="32"/>
        </w:rPr>
        <w:t>、</w:t>
      </w:r>
      <w:r w:rsidR="003C1D95" w:rsidRPr="00F6743C">
        <w:rPr>
          <w:rFonts w:ascii="仿宋_GB2312" w:eastAsia="仿宋_GB2312" w:cs="DengXian-Regular"/>
          <w:sz w:val="32"/>
          <w:szCs w:val="32"/>
        </w:rPr>
        <w:t>奖励性绩效</w:t>
      </w:r>
      <w:r w:rsidR="003C1D95" w:rsidRPr="00F6743C">
        <w:rPr>
          <w:rFonts w:ascii="仿宋_GB2312" w:eastAsia="仿宋_GB2312" w:cs="DengXian-Regular" w:hint="eastAsia"/>
          <w:sz w:val="32"/>
          <w:szCs w:val="32"/>
        </w:rPr>
        <w:t>等</w:t>
      </w:r>
      <w:r w:rsidR="003C1D95" w:rsidRPr="00F6743C">
        <w:rPr>
          <w:rFonts w:ascii="仿宋_GB2312" w:eastAsia="仿宋_GB2312" w:cs="DengXian-Regular"/>
          <w:sz w:val="32"/>
          <w:szCs w:val="32"/>
        </w:rPr>
        <w:t>共计20989.17</w:t>
      </w:r>
      <w:r w:rsidRPr="00F6743C">
        <w:rPr>
          <w:rFonts w:ascii="仿宋_GB2312" w:eastAsia="仿宋_GB2312" w:cs="DengXian-Regular" w:hint="eastAsia"/>
          <w:sz w:val="32"/>
          <w:szCs w:val="32"/>
        </w:rPr>
        <w:t>万元</w:t>
      </w:r>
      <w:r w:rsidR="003C1D95" w:rsidRPr="00F6743C">
        <w:rPr>
          <w:rFonts w:ascii="仿宋_GB2312" w:eastAsia="仿宋_GB2312" w:cs="DengXian-Regular" w:hint="eastAsia"/>
          <w:sz w:val="32"/>
          <w:szCs w:val="32"/>
        </w:rPr>
        <w:t>，</w:t>
      </w:r>
      <w:proofErr w:type="gramStart"/>
      <w:r w:rsidRPr="00F6743C">
        <w:rPr>
          <w:rFonts w:ascii="仿宋_GB2312" w:eastAsia="仿宋_GB2312" w:cs="DengXian-Regular" w:hint="eastAsia"/>
          <w:sz w:val="32"/>
          <w:szCs w:val="32"/>
        </w:rPr>
        <w:t>区</w:t>
      </w:r>
      <w:r w:rsidR="001C6C85" w:rsidRPr="00F6743C">
        <w:rPr>
          <w:rFonts w:ascii="仿宋_GB2312" w:eastAsia="仿宋_GB2312" w:cs="DengXian-Regular" w:hint="eastAsia"/>
          <w:sz w:val="32"/>
          <w:szCs w:val="32"/>
        </w:rPr>
        <w:t>教体</w:t>
      </w:r>
      <w:r w:rsidR="001C6C85" w:rsidRPr="00F6743C">
        <w:rPr>
          <w:rFonts w:ascii="仿宋_GB2312" w:eastAsia="仿宋_GB2312" w:cs="DengXian-Regular"/>
          <w:sz w:val="32"/>
          <w:szCs w:val="32"/>
        </w:rPr>
        <w:t>局</w:t>
      </w:r>
      <w:proofErr w:type="gramEnd"/>
      <w:r w:rsidRPr="00F6743C">
        <w:rPr>
          <w:rFonts w:ascii="仿宋_GB2312" w:eastAsia="仿宋_GB2312" w:cs="DengXian-Regular" w:hint="eastAsia"/>
          <w:sz w:val="32"/>
          <w:szCs w:val="32"/>
        </w:rPr>
        <w:t>2019年度预算收入的追加数为</w:t>
      </w:r>
      <w:r w:rsidR="00474FA8" w:rsidRPr="00F6743C">
        <w:rPr>
          <w:rFonts w:ascii="仿宋_GB2312" w:eastAsia="仿宋_GB2312" w:cs="DengXian-Regular"/>
          <w:sz w:val="32"/>
          <w:szCs w:val="32"/>
        </w:rPr>
        <w:t>13279.23</w:t>
      </w:r>
      <w:r w:rsidRPr="00F6743C">
        <w:rPr>
          <w:rFonts w:ascii="仿宋_GB2312" w:eastAsia="仿宋_GB2312" w:cs="DengXian-Regular" w:hint="eastAsia"/>
          <w:sz w:val="32"/>
          <w:szCs w:val="32"/>
        </w:rPr>
        <w:t>万元，年初预算数为</w:t>
      </w:r>
      <w:r w:rsidR="001C6C85" w:rsidRPr="00F6743C">
        <w:rPr>
          <w:rFonts w:ascii="仿宋_GB2312" w:eastAsia="仿宋_GB2312" w:cs="DengXian-Regular"/>
          <w:sz w:val="32"/>
          <w:szCs w:val="32"/>
        </w:rPr>
        <w:t>114354.84</w:t>
      </w:r>
      <w:r w:rsidRPr="00F6743C">
        <w:rPr>
          <w:rFonts w:ascii="仿宋_GB2312" w:eastAsia="仿宋_GB2312" w:cs="DengXian-Regular" w:hint="eastAsia"/>
          <w:sz w:val="32"/>
          <w:szCs w:val="32"/>
        </w:rPr>
        <w:t>万元，预算收入调整率为</w:t>
      </w:r>
      <w:r w:rsidR="00474FA8" w:rsidRPr="00F6743C">
        <w:rPr>
          <w:rFonts w:ascii="仿宋_GB2312" w:eastAsia="仿宋_GB2312" w:cs="DengXian-Regular"/>
          <w:sz w:val="32"/>
          <w:szCs w:val="32"/>
        </w:rPr>
        <w:t>11.61</w:t>
      </w:r>
      <w:r w:rsidRPr="00F6743C">
        <w:rPr>
          <w:rFonts w:ascii="仿宋_GB2312" w:eastAsia="仿宋_GB2312" w:cs="DengXian-Regular" w:hint="eastAsia"/>
          <w:sz w:val="32"/>
          <w:szCs w:val="32"/>
        </w:rPr>
        <w:t>%，预算调整增加了</w:t>
      </w:r>
      <w:r w:rsidR="00474FA8" w:rsidRPr="00F6743C">
        <w:rPr>
          <w:rFonts w:ascii="仿宋_GB2312" w:eastAsia="仿宋_GB2312" w:cs="DengXian-Regular"/>
          <w:sz w:val="32"/>
          <w:szCs w:val="32"/>
        </w:rPr>
        <w:t>11</w:t>
      </w:r>
      <w:r w:rsidRPr="00F6743C">
        <w:rPr>
          <w:rFonts w:ascii="仿宋_GB2312" w:eastAsia="仿宋_GB2312" w:cs="DengXian-Regular" w:hint="eastAsia"/>
          <w:sz w:val="32"/>
          <w:szCs w:val="32"/>
        </w:rPr>
        <w:t>个百分点，扣</w:t>
      </w:r>
      <w:r w:rsidR="00474FA8" w:rsidRPr="00F6743C">
        <w:rPr>
          <w:rFonts w:ascii="仿宋_GB2312" w:eastAsia="仿宋_GB2312" w:cs="DengXian-Regular"/>
          <w:sz w:val="32"/>
          <w:szCs w:val="32"/>
        </w:rPr>
        <w:t>11.61</w:t>
      </w:r>
      <w:r w:rsidRPr="00F6743C">
        <w:rPr>
          <w:rFonts w:ascii="仿宋_GB2312" w:eastAsia="仿宋_GB2312" w:cs="DengXian-Regular" w:hint="eastAsia"/>
          <w:sz w:val="32"/>
          <w:szCs w:val="32"/>
        </w:rPr>
        <w:t>*0.1*2=</w:t>
      </w:r>
      <w:r w:rsidR="00474FA8" w:rsidRPr="00F6743C">
        <w:rPr>
          <w:rFonts w:ascii="仿宋_GB2312" w:eastAsia="仿宋_GB2312" w:cs="DengXian-Regular"/>
          <w:sz w:val="32"/>
          <w:szCs w:val="32"/>
        </w:rPr>
        <w:t>2.32</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该项指标实际得分</w:t>
      </w:r>
      <w:r w:rsidR="00474FA8" w:rsidRPr="00F6743C">
        <w:rPr>
          <w:rFonts w:ascii="仿宋_GB2312" w:eastAsia="仿宋_GB2312" w:cs="DengXian-Regular"/>
          <w:sz w:val="32"/>
          <w:szCs w:val="32"/>
        </w:rPr>
        <w:t>0</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（2）收入完成率（4分）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该指标主要评价部门预算收入的完成情况，用以反映部门预算收入的完成程度，通过收入完成率衡量。</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收入完成率=（决算收入/预算收入）×100%。</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F6743C">
        <w:rPr>
          <w:rFonts w:ascii="仿宋_GB2312" w:eastAsia="仿宋_GB2312" w:cs="DengXian-Regular" w:hint="eastAsia"/>
          <w:sz w:val="32"/>
          <w:szCs w:val="32"/>
        </w:rPr>
        <w:t>根据</w:t>
      </w:r>
      <w:r w:rsidR="008F1140" w:rsidRPr="00F6743C">
        <w:rPr>
          <w:rFonts w:ascii="仿宋_GB2312" w:eastAsia="仿宋_GB2312" w:cs="DengXian-Regular" w:hint="eastAsia"/>
          <w:sz w:val="32"/>
          <w:szCs w:val="32"/>
        </w:rPr>
        <w:t>教体</w:t>
      </w:r>
      <w:r w:rsidR="008F1140" w:rsidRPr="00F6743C">
        <w:rPr>
          <w:rFonts w:ascii="仿宋_GB2312" w:eastAsia="仿宋_GB2312" w:cs="DengXian-Regular"/>
          <w:sz w:val="32"/>
          <w:szCs w:val="32"/>
        </w:rPr>
        <w:t>局</w:t>
      </w:r>
      <w:proofErr w:type="gramEnd"/>
      <w:r w:rsidRPr="00F6743C">
        <w:rPr>
          <w:rFonts w:ascii="仿宋_GB2312" w:eastAsia="仿宋_GB2312" w:cs="DengXian-Regular" w:hint="eastAsia"/>
          <w:sz w:val="32"/>
          <w:szCs w:val="32"/>
        </w:rPr>
        <w:t>2019年预算文本、决算文本，2019年收入预算数</w:t>
      </w:r>
      <w:r w:rsidR="008F1140" w:rsidRPr="00F6743C">
        <w:rPr>
          <w:rFonts w:ascii="仿宋_GB2312" w:eastAsia="仿宋_GB2312" w:cs="DengXian-Regular"/>
          <w:sz w:val="32"/>
          <w:szCs w:val="32"/>
        </w:rPr>
        <w:t>114354.84</w:t>
      </w:r>
      <w:r w:rsidRPr="00F6743C">
        <w:rPr>
          <w:rFonts w:ascii="仿宋_GB2312" w:eastAsia="仿宋_GB2312" w:cs="DengXian-Regular" w:hint="eastAsia"/>
          <w:sz w:val="32"/>
          <w:szCs w:val="32"/>
        </w:rPr>
        <w:t>万元，收入决算数</w:t>
      </w:r>
      <w:r w:rsidR="008F1140" w:rsidRPr="00F6743C">
        <w:rPr>
          <w:rFonts w:ascii="仿宋_GB2312" w:eastAsia="仿宋_GB2312" w:cs="DengXian-Regular"/>
          <w:sz w:val="32"/>
          <w:szCs w:val="32"/>
        </w:rPr>
        <w:t>127634.07</w:t>
      </w:r>
      <w:r w:rsidRPr="00F6743C">
        <w:rPr>
          <w:rFonts w:ascii="仿宋_GB2312" w:eastAsia="仿宋_GB2312" w:cs="DengXian-Regular" w:hint="eastAsia"/>
          <w:sz w:val="32"/>
          <w:szCs w:val="32"/>
        </w:rPr>
        <w:t>万元，收入完成率=（决算数/预算数）*100%=</w:t>
      </w:r>
      <w:r w:rsidR="008F1140" w:rsidRPr="00F6743C">
        <w:rPr>
          <w:rFonts w:ascii="仿宋_GB2312" w:eastAsia="仿宋_GB2312" w:cs="DengXian-Regular"/>
          <w:sz w:val="32"/>
          <w:szCs w:val="32"/>
        </w:rPr>
        <w:t>111.61</w:t>
      </w:r>
      <w:r w:rsidRPr="00F6743C">
        <w:rPr>
          <w:rFonts w:ascii="仿宋_GB2312" w:eastAsia="仿宋_GB2312" w:cs="DengXian-Regular" w:hint="eastAsia"/>
          <w:sz w:val="32"/>
          <w:szCs w:val="32"/>
        </w:rPr>
        <w:t>%。</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该指标实际得分</w:t>
      </w:r>
      <w:r w:rsidR="008F1140" w:rsidRPr="00F6743C">
        <w:rPr>
          <w:rFonts w:ascii="仿宋_GB2312" w:eastAsia="仿宋_GB2312" w:cs="DengXian-Regular"/>
          <w:sz w:val="32"/>
          <w:szCs w:val="32"/>
        </w:rPr>
        <w:t>4</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（3）预算支出调整率（2分）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该指标主要评价预算支出的调整情况，进而衡量预算支出编制的准确性，通过预算支出调整率衡量。</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预算支出调整率=（调整预算数-年初预算数）/年初预算数*100%</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lastRenderedPageBreak/>
        <w:t>根据</w:t>
      </w:r>
      <w:r w:rsidR="00C5474F" w:rsidRPr="00F6743C">
        <w:rPr>
          <w:rFonts w:ascii="仿宋_GB2312" w:eastAsia="仿宋_GB2312" w:cs="DengXian-Regular" w:hint="eastAsia"/>
          <w:sz w:val="32"/>
          <w:szCs w:val="32"/>
        </w:rPr>
        <w:t>徐水</w:t>
      </w:r>
      <w:r w:rsidR="00C5474F" w:rsidRPr="00F6743C">
        <w:rPr>
          <w:rFonts w:ascii="仿宋_GB2312" w:eastAsia="仿宋_GB2312" w:cs="DengXian-Regular"/>
          <w:sz w:val="32"/>
          <w:szCs w:val="32"/>
        </w:rPr>
        <w:t>区</w:t>
      </w:r>
      <w:r w:rsidRPr="00F6743C">
        <w:rPr>
          <w:rFonts w:ascii="仿宋_GB2312" w:eastAsia="仿宋_GB2312" w:cs="DengXian-Regular" w:hint="eastAsia"/>
          <w:sz w:val="32"/>
          <w:szCs w:val="32"/>
        </w:rPr>
        <w:t>财政局下发的预算指标文件，其中：</w:t>
      </w:r>
      <w:proofErr w:type="gramStart"/>
      <w:r w:rsidR="00C5474F" w:rsidRPr="00F6743C">
        <w:rPr>
          <w:rFonts w:ascii="仿宋_GB2312" w:eastAsia="仿宋_GB2312" w:cs="DengXian-Regular" w:hint="eastAsia"/>
          <w:sz w:val="32"/>
          <w:szCs w:val="32"/>
        </w:rPr>
        <w:t>徐财预指</w:t>
      </w:r>
      <w:proofErr w:type="gramEnd"/>
      <w:r w:rsidR="00C5474F" w:rsidRPr="00F6743C">
        <w:rPr>
          <w:rFonts w:ascii="仿宋_GB2312" w:eastAsia="仿宋_GB2312" w:cs="DengXian-Regular" w:hint="eastAsia"/>
          <w:sz w:val="32"/>
          <w:szCs w:val="32"/>
        </w:rPr>
        <w:t>[2019]</w:t>
      </w:r>
      <w:r w:rsidR="00C5474F" w:rsidRPr="00F6743C">
        <w:rPr>
          <w:rFonts w:ascii="仿宋_GB2312" w:eastAsia="仿宋_GB2312" w:cs="DengXian-Regular"/>
          <w:sz w:val="32"/>
          <w:szCs w:val="32"/>
        </w:rPr>
        <w:t>1-0002</w:t>
      </w:r>
      <w:r w:rsidR="00C5474F" w:rsidRPr="00F6743C">
        <w:rPr>
          <w:rFonts w:ascii="仿宋_GB2312" w:eastAsia="仿宋_GB2312" w:cs="DengXian-Regular" w:hint="eastAsia"/>
          <w:sz w:val="32"/>
          <w:szCs w:val="32"/>
        </w:rPr>
        <w:t>号追加2015.8-2015.12养老保险改革个人预留部分1</w:t>
      </w:r>
      <w:r w:rsidR="00C5474F" w:rsidRPr="00F6743C">
        <w:rPr>
          <w:rFonts w:ascii="仿宋_GB2312" w:eastAsia="仿宋_GB2312" w:cs="DengXian-Regular"/>
          <w:sz w:val="32"/>
          <w:szCs w:val="32"/>
        </w:rPr>
        <w:t>9.69</w:t>
      </w:r>
      <w:r w:rsidR="00C5474F" w:rsidRPr="00F6743C">
        <w:rPr>
          <w:rFonts w:ascii="仿宋_GB2312" w:eastAsia="仿宋_GB2312" w:cs="DengXian-Regular" w:hint="eastAsia"/>
          <w:sz w:val="32"/>
          <w:szCs w:val="32"/>
        </w:rPr>
        <w:t>万元；</w:t>
      </w:r>
      <w:proofErr w:type="gramStart"/>
      <w:r w:rsidR="00C5474F" w:rsidRPr="00F6743C">
        <w:rPr>
          <w:rFonts w:ascii="仿宋_GB2312" w:eastAsia="仿宋_GB2312" w:cs="DengXian-Regular" w:hint="eastAsia"/>
          <w:sz w:val="32"/>
          <w:szCs w:val="32"/>
        </w:rPr>
        <w:t>徐财预指</w:t>
      </w:r>
      <w:proofErr w:type="gramEnd"/>
      <w:r w:rsidR="00C5474F" w:rsidRPr="00F6743C">
        <w:rPr>
          <w:rFonts w:ascii="仿宋_GB2312" w:eastAsia="仿宋_GB2312" w:cs="DengXian-Regular" w:hint="eastAsia"/>
          <w:sz w:val="32"/>
          <w:szCs w:val="32"/>
        </w:rPr>
        <w:t>[2019]1-0009号追加2018年机关事业单位考核奖励135.6万元；</w:t>
      </w:r>
      <w:proofErr w:type="gramStart"/>
      <w:r w:rsidR="00C5474F" w:rsidRPr="00F6743C">
        <w:rPr>
          <w:rFonts w:ascii="仿宋_GB2312" w:eastAsia="仿宋_GB2312" w:cs="DengXian-Regular" w:hint="eastAsia"/>
          <w:sz w:val="32"/>
          <w:szCs w:val="32"/>
        </w:rPr>
        <w:t>徐财预指</w:t>
      </w:r>
      <w:proofErr w:type="gramEnd"/>
      <w:r w:rsidR="00C5474F" w:rsidRPr="00F6743C">
        <w:rPr>
          <w:rFonts w:ascii="仿宋_GB2312" w:eastAsia="仿宋_GB2312" w:cs="DengXian-Regular" w:hint="eastAsia"/>
          <w:sz w:val="32"/>
          <w:szCs w:val="32"/>
        </w:rPr>
        <w:t>[2019]</w:t>
      </w:r>
      <w:r w:rsidR="00C5474F" w:rsidRPr="00F6743C">
        <w:t xml:space="preserve"> </w:t>
      </w:r>
      <w:r w:rsidR="00C5474F" w:rsidRPr="00F6743C">
        <w:rPr>
          <w:rFonts w:ascii="仿宋_GB2312" w:eastAsia="仿宋_GB2312" w:cs="DengXian-Regular"/>
          <w:sz w:val="32"/>
          <w:szCs w:val="32"/>
        </w:rPr>
        <w:t>3-0001</w:t>
      </w:r>
      <w:r w:rsidR="00C5474F" w:rsidRPr="00F6743C">
        <w:rPr>
          <w:rFonts w:ascii="仿宋_GB2312" w:eastAsia="仿宋_GB2312" w:cs="DengXian-Regular" w:hint="eastAsia"/>
          <w:sz w:val="32"/>
          <w:szCs w:val="32"/>
        </w:rPr>
        <w:t>号至</w:t>
      </w:r>
      <w:proofErr w:type="gramStart"/>
      <w:r w:rsidR="00C5474F" w:rsidRPr="00F6743C">
        <w:rPr>
          <w:rFonts w:ascii="仿宋_GB2312" w:eastAsia="仿宋_GB2312" w:cs="DengXian-Regular" w:hint="eastAsia"/>
          <w:sz w:val="32"/>
          <w:szCs w:val="32"/>
        </w:rPr>
        <w:t>徐财预指</w:t>
      </w:r>
      <w:proofErr w:type="gramEnd"/>
      <w:r w:rsidR="00C5474F" w:rsidRPr="00F6743C">
        <w:rPr>
          <w:rFonts w:ascii="仿宋_GB2312" w:eastAsia="仿宋_GB2312" w:cs="DengXian-Regular" w:hint="eastAsia"/>
          <w:sz w:val="32"/>
          <w:szCs w:val="32"/>
        </w:rPr>
        <w:t>[2019]</w:t>
      </w:r>
      <w:r w:rsidR="00C5474F" w:rsidRPr="00F6743C">
        <w:t xml:space="preserve"> </w:t>
      </w:r>
      <w:r w:rsidR="00C5474F" w:rsidRPr="00F6743C">
        <w:rPr>
          <w:rFonts w:ascii="仿宋_GB2312" w:eastAsia="仿宋_GB2312" w:cs="DengXian-Regular"/>
          <w:sz w:val="32"/>
          <w:szCs w:val="32"/>
        </w:rPr>
        <w:t>3-0042</w:t>
      </w:r>
      <w:r w:rsidR="00C5474F" w:rsidRPr="00F6743C">
        <w:rPr>
          <w:rFonts w:ascii="仿宋_GB2312" w:eastAsia="仿宋_GB2312" w:cs="DengXian-Regular" w:hint="eastAsia"/>
          <w:sz w:val="32"/>
          <w:szCs w:val="32"/>
        </w:rPr>
        <w:t>号追加人员经费（补发）、</w:t>
      </w:r>
      <w:r w:rsidR="00C5474F" w:rsidRPr="00F6743C">
        <w:rPr>
          <w:rFonts w:ascii="仿宋_GB2312" w:eastAsia="仿宋_GB2312" w:cs="DengXian-Regular"/>
          <w:sz w:val="32"/>
          <w:szCs w:val="32"/>
        </w:rPr>
        <w:t>四险</w:t>
      </w:r>
      <w:proofErr w:type="gramStart"/>
      <w:r w:rsidR="00C5474F" w:rsidRPr="00F6743C">
        <w:rPr>
          <w:rFonts w:ascii="仿宋_GB2312" w:eastAsia="仿宋_GB2312" w:cs="DengXian-Regular"/>
          <w:sz w:val="32"/>
          <w:szCs w:val="32"/>
        </w:rPr>
        <w:t>一</w:t>
      </w:r>
      <w:proofErr w:type="gramEnd"/>
      <w:r w:rsidR="00C5474F" w:rsidRPr="00F6743C">
        <w:rPr>
          <w:rFonts w:ascii="仿宋_GB2312" w:eastAsia="仿宋_GB2312" w:cs="DengXian-Regular"/>
          <w:sz w:val="32"/>
          <w:szCs w:val="32"/>
        </w:rPr>
        <w:t>金</w:t>
      </w:r>
      <w:r w:rsidR="00C5474F" w:rsidRPr="00F6743C">
        <w:rPr>
          <w:rFonts w:ascii="仿宋_GB2312" w:eastAsia="仿宋_GB2312" w:cs="DengXian-Regular" w:hint="eastAsia"/>
          <w:sz w:val="32"/>
          <w:szCs w:val="32"/>
        </w:rPr>
        <w:t>、</w:t>
      </w:r>
      <w:r w:rsidR="00C5474F" w:rsidRPr="00F6743C">
        <w:rPr>
          <w:rFonts w:ascii="仿宋_GB2312" w:eastAsia="仿宋_GB2312" w:cs="DengXian-Regular"/>
          <w:sz w:val="32"/>
          <w:szCs w:val="32"/>
        </w:rPr>
        <w:t>奖励性绩效</w:t>
      </w:r>
      <w:r w:rsidR="00C5474F" w:rsidRPr="00F6743C">
        <w:rPr>
          <w:rFonts w:ascii="仿宋_GB2312" w:eastAsia="仿宋_GB2312" w:cs="DengXian-Regular" w:hint="eastAsia"/>
          <w:sz w:val="32"/>
          <w:szCs w:val="32"/>
        </w:rPr>
        <w:t>等</w:t>
      </w:r>
      <w:r w:rsidR="00C5474F" w:rsidRPr="00F6743C">
        <w:rPr>
          <w:rFonts w:ascii="仿宋_GB2312" w:eastAsia="仿宋_GB2312" w:cs="DengXian-Regular"/>
          <w:sz w:val="32"/>
          <w:szCs w:val="32"/>
        </w:rPr>
        <w:t>共计20989.17</w:t>
      </w:r>
      <w:r w:rsidR="00C5474F" w:rsidRPr="00F6743C">
        <w:rPr>
          <w:rFonts w:ascii="仿宋_GB2312" w:eastAsia="仿宋_GB2312" w:cs="DengXian-Regular" w:hint="eastAsia"/>
          <w:sz w:val="32"/>
          <w:szCs w:val="32"/>
        </w:rPr>
        <w:t>万元</w:t>
      </w:r>
      <w:r w:rsidRPr="00F6743C">
        <w:rPr>
          <w:rFonts w:ascii="仿宋_GB2312" w:eastAsia="仿宋_GB2312" w:cs="DengXian-Regular" w:hint="eastAsia"/>
          <w:sz w:val="32"/>
          <w:szCs w:val="32"/>
        </w:rPr>
        <w:t>，</w:t>
      </w:r>
      <w:proofErr w:type="gramStart"/>
      <w:r w:rsidRPr="00F6743C">
        <w:rPr>
          <w:rFonts w:ascii="仿宋_GB2312" w:eastAsia="仿宋_GB2312" w:cs="DengXian-Regular" w:hint="eastAsia"/>
          <w:sz w:val="32"/>
          <w:szCs w:val="32"/>
        </w:rPr>
        <w:t>区</w:t>
      </w:r>
      <w:r w:rsidR="00C5474F" w:rsidRPr="00F6743C">
        <w:rPr>
          <w:rFonts w:ascii="仿宋_GB2312" w:eastAsia="仿宋_GB2312" w:cs="DengXian-Regular" w:hint="eastAsia"/>
          <w:sz w:val="32"/>
          <w:szCs w:val="32"/>
        </w:rPr>
        <w:t>教体</w:t>
      </w:r>
      <w:r w:rsidR="00C5474F" w:rsidRPr="00F6743C">
        <w:rPr>
          <w:rFonts w:ascii="仿宋_GB2312" w:eastAsia="仿宋_GB2312" w:cs="DengXian-Regular"/>
          <w:sz w:val="32"/>
          <w:szCs w:val="32"/>
        </w:rPr>
        <w:t>局</w:t>
      </w:r>
      <w:proofErr w:type="gramEnd"/>
      <w:r w:rsidRPr="00F6743C">
        <w:rPr>
          <w:rFonts w:ascii="仿宋_GB2312" w:eastAsia="仿宋_GB2312" w:cs="DengXian-Regular" w:hint="eastAsia"/>
          <w:sz w:val="32"/>
          <w:szCs w:val="32"/>
        </w:rPr>
        <w:t>2019年度预算支出的追加数合计</w:t>
      </w:r>
      <w:r w:rsidR="00C5474F" w:rsidRPr="00F6743C">
        <w:rPr>
          <w:rFonts w:ascii="仿宋_GB2312" w:eastAsia="仿宋_GB2312" w:cs="DengXian-Regular"/>
          <w:sz w:val="32"/>
          <w:szCs w:val="32"/>
        </w:rPr>
        <w:t>10163.9</w:t>
      </w:r>
      <w:r w:rsidRPr="00F6743C">
        <w:rPr>
          <w:rFonts w:ascii="仿宋_GB2312" w:eastAsia="仿宋_GB2312" w:cs="DengXian-Regular" w:hint="eastAsia"/>
          <w:sz w:val="32"/>
          <w:szCs w:val="32"/>
        </w:rPr>
        <w:t>万元，年初预算数为</w:t>
      </w:r>
      <w:r w:rsidR="00C5474F" w:rsidRPr="00F6743C">
        <w:rPr>
          <w:rFonts w:ascii="仿宋_GB2312" w:eastAsia="仿宋_GB2312" w:cs="DengXian-Regular"/>
          <w:sz w:val="32"/>
          <w:szCs w:val="32"/>
        </w:rPr>
        <w:t>114354.84</w:t>
      </w:r>
      <w:r w:rsidRPr="00F6743C">
        <w:rPr>
          <w:rFonts w:ascii="仿宋_GB2312" w:eastAsia="仿宋_GB2312" w:cs="DengXian-Regular" w:hint="eastAsia"/>
          <w:sz w:val="32"/>
          <w:szCs w:val="32"/>
        </w:rPr>
        <w:t>万元，预算支出调整率为</w:t>
      </w:r>
      <w:r w:rsidR="00C5474F" w:rsidRPr="00F6743C">
        <w:rPr>
          <w:rFonts w:ascii="仿宋_GB2312" w:eastAsia="仿宋_GB2312" w:cs="DengXian-Regular"/>
          <w:sz w:val="32"/>
          <w:szCs w:val="32"/>
        </w:rPr>
        <w:t>8.89</w:t>
      </w:r>
      <w:r w:rsidRPr="00F6743C">
        <w:rPr>
          <w:rFonts w:ascii="仿宋_GB2312" w:eastAsia="仿宋_GB2312" w:cs="DengXian-Regular" w:hint="eastAsia"/>
          <w:sz w:val="32"/>
          <w:szCs w:val="32"/>
        </w:rPr>
        <w:t>%，预算调整增加</w:t>
      </w:r>
      <w:r w:rsidR="00C5474F" w:rsidRPr="00F6743C">
        <w:rPr>
          <w:rFonts w:ascii="仿宋_GB2312" w:eastAsia="仿宋_GB2312" w:cs="DengXian-Regular" w:hint="eastAsia"/>
          <w:sz w:val="32"/>
          <w:szCs w:val="32"/>
        </w:rPr>
        <w:t>8</w:t>
      </w:r>
      <w:r w:rsidR="00C5474F" w:rsidRPr="00F6743C">
        <w:rPr>
          <w:rFonts w:ascii="仿宋_GB2312" w:eastAsia="仿宋_GB2312" w:cs="DengXian-Regular"/>
          <w:sz w:val="32"/>
          <w:szCs w:val="32"/>
        </w:rPr>
        <w:t>.89</w:t>
      </w:r>
      <w:r w:rsidRPr="00F6743C">
        <w:rPr>
          <w:rFonts w:ascii="仿宋_GB2312" w:eastAsia="仿宋_GB2312" w:cs="DengXian-Regular" w:hint="eastAsia"/>
          <w:sz w:val="32"/>
          <w:szCs w:val="32"/>
        </w:rPr>
        <w:t>个百分点，扣</w:t>
      </w:r>
      <w:r w:rsidR="00C5474F" w:rsidRPr="00F6743C">
        <w:rPr>
          <w:rFonts w:ascii="仿宋_GB2312" w:eastAsia="仿宋_GB2312" w:cs="DengXian-Regular" w:hint="eastAsia"/>
          <w:sz w:val="32"/>
          <w:szCs w:val="32"/>
        </w:rPr>
        <w:t>1</w:t>
      </w:r>
      <w:r w:rsidR="00C5474F" w:rsidRPr="00F6743C">
        <w:rPr>
          <w:rFonts w:ascii="仿宋_GB2312" w:eastAsia="仿宋_GB2312" w:cs="DengXian-Regular"/>
          <w:sz w:val="32"/>
          <w:szCs w:val="32"/>
        </w:rPr>
        <w:t>.77</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该指标实际得分</w:t>
      </w:r>
      <w:r w:rsidR="00C5474F" w:rsidRPr="00F6743C">
        <w:rPr>
          <w:rFonts w:ascii="仿宋_GB2312" w:eastAsia="仿宋_GB2312" w:cs="DengXian-Regular"/>
          <w:sz w:val="32"/>
          <w:szCs w:val="32"/>
        </w:rPr>
        <w:t>0.23</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（4）财政拨款支出完成率（4分）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该指标主要评价部门财政拨款的支出进度，通过财政拨款支出完成率来衡量。</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财政拨款支出完成率=（部门决算财政拨款支出/部门决算财政拨款收入）*100%。</w:t>
      </w:r>
    </w:p>
    <w:p w:rsidR="00387237" w:rsidRPr="00F6743C" w:rsidRDefault="00930BEF"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F6743C">
        <w:rPr>
          <w:rFonts w:ascii="仿宋_GB2312" w:eastAsia="仿宋_GB2312" w:cs="DengXian-Regular" w:hint="eastAsia"/>
          <w:sz w:val="32"/>
          <w:szCs w:val="32"/>
        </w:rPr>
        <w:t>教体</w:t>
      </w:r>
      <w:r w:rsidRPr="00F6743C">
        <w:rPr>
          <w:rFonts w:ascii="仿宋_GB2312" w:eastAsia="仿宋_GB2312" w:cs="DengXian-Regular"/>
          <w:sz w:val="32"/>
          <w:szCs w:val="32"/>
        </w:rPr>
        <w:t>局</w:t>
      </w:r>
      <w:proofErr w:type="gramEnd"/>
      <w:r w:rsidR="00387237" w:rsidRPr="00F6743C">
        <w:rPr>
          <w:rFonts w:ascii="仿宋_GB2312" w:eastAsia="仿宋_GB2312" w:cs="DengXian-Regular" w:hint="eastAsia"/>
          <w:sz w:val="32"/>
          <w:szCs w:val="32"/>
        </w:rPr>
        <w:t>2019年决算文本，部门决算财政拨款支出数</w:t>
      </w:r>
      <w:r w:rsidRPr="00F6743C">
        <w:rPr>
          <w:rFonts w:ascii="仿宋_GB2312" w:eastAsia="仿宋_GB2312" w:cs="DengXian-Regular"/>
          <w:sz w:val="32"/>
          <w:szCs w:val="32"/>
        </w:rPr>
        <w:t>122491.50</w:t>
      </w:r>
      <w:r w:rsidR="00387237" w:rsidRPr="00F6743C">
        <w:rPr>
          <w:rFonts w:ascii="仿宋_GB2312" w:eastAsia="仿宋_GB2312" w:cs="DengXian-Regular" w:hint="eastAsia"/>
          <w:sz w:val="32"/>
          <w:szCs w:val="32"/>
        </w:rPr>
        <w:t>万元，财政拨款收入数</w:t>
      </w:r>
      <w:r w:rsidRPr="00F6743C">
        <w:rPr>
          <w:rFonts w:ascii="仿宋_GB2312" w:eastAsia="仿宋_GB2312" w:cs="DengXian-Regular"/>
          <w:sz w:val="32"/>
          <w:szCs w:val="32"/>
        </w:rPr>
        <w:t>125602.73</w:t>
      </w:r>
      <w:r w:rsidR="00387237" w:rsidRPr="00F6743C">
        <w:rPr>
          <w:rFonts w:ascii="仿宋_GB2312" w:eastAsia="仿宋_GB2312" w:cs="DengXian-Regular" w:hint="eastAsia"/>
          <w:sz w:val="32"/>
          <w:szCs w:val="32"/>
        </w:rPr>
        <w:t>元，财政拨款支出率=（财政拨款支出数/财政拨款收入数）*100%=</w:t>
      </w:r>
      <w:r w:rsidRPr="00F6743C">
        <w:rPr>
          <w:rFonts w:ascii="仿宋_GB2312" w:eastAsia="仿宋_GB2312" w:cs="DengXian-Regular"/>
          <w:sz w:val="32"/>
          <w:szCs w:val="32"/>
        </w:rPr>
        <w:t>97.52</w:t>
      </w:r>
      <w:r w:rsidR="00387237" w:rsidRPr="00F6743C">
        <w:rPr>
          <w:rFonts w:ascii="仿宋_GB2312" w:eastAsia="仿宋_GB2312" w:cs="DengXian-Regular" w:hint="eastAsia"/>
          <w:sz w:val="32"/>
          <w:szCs w:val="32"/>
        </w:rPr>
        <w:t>%</w:t>
      </w:r>
      <w:r w:rsidR="00387237" w:rsidRPr="00F6743C">
        <w:rPr>
          <w:rFonts w:ascii="Arial" w:eastAsia="仿宋_GB2312" w:hAnsi="Arial" w:cs="Arial"/>
          <w:sz w:val="32"/>
          <w:szCs w:val="32"/>
        </w:rPr>
        <w:t>≥</w:t>
      </w:r>
      <w:r w:rsidR="00387237" w:rsidRPr="00F6743C">
        <w:rPr>
          <w:rFonts w:ascii="仿宋_GB2312" w:eastAsia="仿宋_GB2312" w:cs="DengXian-Regular" w:hint="eastAsia"/>
          <w:sz w:val="32"/>
          <w:szCs w:val="32"/>
        </w:rPr>
        <w:t>90%。</w:t>
      </w:r>
      <w:proofErr w:type="gramStart"/>
      <w:r w:rsidRPr="00F6743C">
        <w:rPr>
          <w:rFonts w:ascii="仿宋_GB2312" w:eastAsia="仿宋_GB2312" w:cs="DengXian-Regular" w:hint="eastAsia"/>
          <w:sz w:val="32"/>
          <w:szCs w:val="32"/>
        </w:rPr>
        <w:t>教体</w:t>
      </w:r>
      <w:r w:rsidRPr="00F6743C">
        <w:rPr>
          <w:rFonts w:ascii="仿宋_GB2312" w:eastAsia="仿宋_GB2312" w:cs="DengXian-Regular"/>
          <w:sz w:val="32"/>
          <w:szCs w:val="32"/>
        </w:rPr>
        <w:t>局</w:t>
      </w:r>
      <w:proofErr w:type="gramEnd"/>
      <w:r w:rsidR="00387237" w:rsidRPr="00F6743C">
        <w:rPr>
          <w:rFonts w:ascii="仿宋_GB2312" w:eastAsia="仿宋_GB2312" w:cs="DengXian-Regular" w:hint="eastAsia"/>
          <w:sz w:val="32"/>
          <w:szCs w:val="32"/>
        </w:rPr>
        <w:t>2019年年初结转和结余</w:t>
      </w:r>
      <w:r w:rsidRPr="00F6743C">
        <w:rPr>
          <w:rFonts w:ascii="仿宋_GB2312" w:eastAsia="仿宋_GB2312" w:cs="DengXian-Regular"/>
          <w:sz w:val="32"/>
          <w:szCs w:val="32"/>
        </w:rPr>
        <w:t>9190.15</w:t>
      </w:r>
      <w:r w:rsidR="00387237" w:rsidRPr="00F6743C">
        <w:rPr>
          <w:rFonts w:ascii="仿宋_GB2312" w:eastAsia="仿宋_GB2312" w:cs="DengXian-Regular" w:hint="eastAsia"/>
          <w:sz w:val="32"/>
          <w:szCs w:val="32"/>
        </w:rPr>
        <w:t>万元，故支出数大于收入数。</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该指标实际得分</w:t>
      </w:r>
      <w:r w:rsidR="007F7E88" w:rsidRPr="00F6743C">
        <w:rPr>
          <w:rFonts w:ascii="仿宋_GB2312" w:eastAsia="仿宋_GB2312" w:cs="DengXian-Regular"/>
          <w:sz w:val="32"/>
          <w:szCs w:val="32"/>
        </w:rPr>
        <w:t>4</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（5）“三公”经费控制率（3分）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lastRenderedPageBreak/>
        <w:t>该指标主要评价“三公”经费是否得到有效控制，通过“三公”经费控制率来衡量。</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“三公”经费控制率=（实际支出数/预算数）*100%。</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F6743C">
        <w:rPr>
          <w:rFonts w:ascii="仿宋_GB2312" w:eastAsia="仿宋_GB2312" w:cs="DengXian-Regular" w:hint="eastAsia"/>
          <w:sz w:val="32"/>
          <w:szCs w:val="32"/>
        </w:rPr>
        <w:t>根据</w:t>
      </w:r>
      <w:r w:rsidR="00D8663D" w:rsidRPr="00F6743C">
        <w:rPr>
          <w:rFonts w:ascii="仿宋_GB2312" w:eastAsia="仿宋_GB2312" w:cs="DengXian-Regular" w:hint="eastAsia"/>
          <w:sz w:val="32"/>
          <w:szCs w:val="32"/>
        </w:rPr>
        <w:t>教体</w:t>
      </w:r>
      <w:r w:rsidR="00D8663D" w:rsidRPr="00F6743C">
        <w:rPr>
          <w:rFonts w:ascii="仿宋_GB2312" w:eastAsia="仿宋_GB2312" w:cs="DengXian-Regular"/>
          <w:sz w:val="32"/>
          <w:szCs w:val="32"/>
        </w:rPr>
        <w:t>局</w:t>
      </w:r>
      <w:proofErr w:type="gramEnd"/>
      <w:r w:rsidRPr="00F6743C">
        <w:rPr>
          <w:rFonts w:ascii="仿宋_GB2312" w:eastAsia="仿宋_GB2312" w:cs="DengXian-Regular" w:hint="eastAsia"/>
          <w:sz w:val="32"/>
          <w:szCs w:val="32"/>
        </w:rPr>
        <w:t>2019年预算文本及决算文本，“三公”经费年初预算数</w:t>
      </w:r>
      <w:r w:rsidR="00D8663D" w:rsidRPr="00F6743C">
        <w:rPr>
          <w:rFonts w:ascii="仿宋_GB2312" w:eastAsia="仿宋_GB2312" w:cs="DengXian-Regular"/>
          <w:sz w:val="32"/>
          <w:szCs w:val="32"/>
        </w:rPr>
        <w:t>53.3</w:t>
      </w:r>
      <w:r w:rsidRPr="00F6743C">
        <w:rPr>
          <w:rFonts w:ascii="仿宋_GB2312" w:eastAsia="仿宋_GB2312" w:cs="DengXian-Regular" w:hint="eastAsia"/>
          <w:sz w:val="32"/>
          <w:szCs w:val="32"/>
        </w:rPr>
        <w:t>万元，年</w:t>
      </w:r>
      <w:proofErr w:type="gramStart"/>
      <w:r w:rsidRPr="00F6743C">
        <w:rPr>
          <w:rFonts w:ascii="仿宋_GB2312" w:eastAsia="仿宋_GB2312" w:cs="DengXian-Regular" w:hint="eastAsia"/>
          <w:sz w:val="32"/>
          <w:szCs w:val="32"/>
        </w:rPr>
        <w:t>末决</w:t>
      </w:r>
      <w:proofErr w:type="gramEnd"/>
      <w:r w:rsidRPr="00F6743C">
        <w:rPr>
          <w:rFonts w:ascii="仿宋_GB2312" w:eastAsia="仿宋_GB2312" w:cs="DengXian-Regular" w:hint="eastAsia"/>
          <w:sz w:val="32"/>
          <w:szCs w:val="32"/>
        </w:rPr>
        <w:t>算数</w:t>
      </w:r>
      <w:r w:rsidR="00D8663D" w:rsidRPr="00F6743C">
        <w:rPr>
          <w:rFonts w:ascii="仿宋_GB2312" w:eastAsia="仿宋_GB2312" w:cs="DengXian-Regular"/>
          <w:sz w:val="32"/>
          <w:szCs w:val="32"/>
        </w:rPr>
        <w:t>21.31</w:t>
      </w:r>
      <w:r w:rsidRPr="00F6743C">
        <w:rPr>
          <w:rFonts w:ascii="仿宋_GB2312" w:eastAsia="仿宋_GB2312" w:cs="DengXian-Regular" w:hint="eastAsia"/>
          <w:sz w:val="32"/>
          <w:szCs w:val="32"/>
        </w:rPr>
        <w:t>万元，“三公”经费控制率=（年</w:t>
      </w:r>
      <w:proofErr w:type="gramStart"/>
      <w:r w:rsidRPr="00F6743C">
        <w:rPr>
          <w:rFonts w:ascii="仿宋_GB2312" w:eastAsia="仿宋_GB2312" w:cs="DengXian-Regular" w:hint="eastAsia"/>
          <w:sz w:val="32"/>
          <w:szCs w:val="32"/>
        </w:rPr>
        <w:t>末决</w:t>
      </w:r>
      <w:proofErr w:type="gramEnd"/>
      <w:r w:rsidRPr="00F6743C">
        <w:rPr>
          <w:rFonts w:ascii="仿宋_GB2312" w:eastAsia="仿宋_GB2312" w:cs="DengXian-Regular" w:hint="eastAsia"/>
          <w:sz w:val="32"/>
          <w:szCs w:val="32"/>
        </w:rPr>
        <w:t>算数/年初预算数）*100%=</w:t>
      </w:r>
      <w:r w:rsidR="00472015" w:rsidRPr="00F6743C">
        <w:rPr>
          <w:rFonts w:ascii="仿宋_GB2312" w:eastAsia="仿宋_GB2312" w:cs="DengXian-Regular"/>
          <w:sz w:val="32"/>
          <w:szCs w:val="32"/>
        </w:rPr>
        <w:t>39.98</w:t>
      </w:r>
      <w:r w:rsidRPr="00F6743C">
        <w:rPr>
          <w:rFonts w:ascii="仿宋_GB2312" w:eastAsia="仿宋_GB2312" w:cs="DengXian-Regular" w:hint="eastAsia"/>
          <w:sz w:val="32"/>
          <w:szCs w:val="32"/>
        </w:rPr>
        <w:t>%</w:t>
      </w:r>
      <w:r w:rsidRPr="00F6743C">
        <w:rPr>
          <w:rFonts w:ascii="Arial" w:eastAsia="仿宋_GB2312" w:hAnsi="Arial" w:cs="Arial"/>
          <w:sz w:val="32"/>
          <w:szCs w:val="32"/>
        </w:rPr>
        <w:t>≤</w:t>
      </w:r>
      <w:r w:rsidRPr="00F6743C">
        <w:rPr>
          <w:rFonts w:ascii="仿宋_GB2312" w:eastAsia="仿宋_GB2312" w:cs="DengXian-Regular" w:hint="eastAsia"/>
          <w:sz w:val="32"/>
          <w:szCs w:val="32"/>
        </w:rPr>
        <w:t>100%。</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该指标实际得分</w:t>
      </w:r>
      <w:r w:rsidR="00EE7EB5" w:rsidRPr="00F6743C">
        <w:rPr>
          <w:rFonts w:ascii="仿宋_GB2312" w:eastAsia="仿宋_GB2312" w:cs="DengXian-Regular"/>
          <w:sz w:val="32"/>
          <w:szCs w:val="32"/>
        </w:rPr>
        <w:t>3</w:t>
      </w:r>
      <w:r w:rsidRPr="00F6743C">
        <w:rPr>
          <w:rFonts w:ascii="仿宋_GB2312" w:eastAsia="仿宋_GB2312" w:cs="DengXian-Regular" w:hint="eastAsia"/>
          <w:sz w:val="32"/>
          <w:szCs w:val="32"/>
        </w:rPr>
        <w:t>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（6）政府采购执行率（3分）</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该指标主要评价部门是否有效执行政府采购政策，通过政府采购执行率来衡量。</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政府采购执行率=（实际政府采购金额/政府采购预算金额）*100%。</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F6743C">
        <w:rPr>
          <w:rFonts w:ascii="仿宋_GB2312" w:eastAsia="仿宋_GB2312" w:cs="DengXian-Regular" w:hint="eastAsia"/>
          <w:sz w:val="32"/>
          <w:szCs w:val="32"/>
        </w:rPr>
        <w:t>根据</w:t>
      </w:r>
      <w:r w:rsidR="00BD11B3" w:rsidRPr="00F6743C">
        <w:rPr>
          <w:rFonts w:ascii="仿宋_GB2312" w:eastAsia="仿宋_GB2312" w:cs="DengXian-Regular" w:hint="eastAsia"/>
          <w:sz w:val="32"/>
          <w:szCs w:val="32"/>
        </w:rPr>
        <w:t>教体</w:t>
      </w:r>
      <w:r w:rsidR="00BD11B3" w:rsidRPr="00F6743C">
        <w:rPr>
          <w:rFonts w:ascii="仿宋_GB2312" w:eastAsia="仿宋_GB2312" w:cs="DengXian-Regular"/>
          <w:sz w:val="32"/>
          <w:szCs w:val="32"/>
        </w:rPr>
        <w:t>局</w:t>
      </w:r>
      <w:proofErr w:type="gramEnd"/>
      <w:r w:rsidRPr="00F6743C">
        <w:rPr>
          <w:rFonts w:ascii="仿宋_GB2312" w:eastAsia="仿宋_GB2312" w:cs="DengXian-Regular" w:hint="eastAsia"/>
          <w:sz w:val="32"/>
          <w:szCs w:val="32"/>
        </w:rPr>
        <w:t>2019年预算文本及决算文本，政府采购年初预算数</w:t>
      </w:r>
      <w:r w:rsidR="00BD11B3" w:rsidRPr="00F6743C">
        <w:rPr>
          <w:rFonts w:ascii="仿宋_GB2312" w:eastAsia="仿宋_GB2312" w:cs="DengXian-Regular"/>
          <w:sz w:val="32"/>
          <w:szCs w:val="32"/>
        </w:rPr>
        <w:t>3640.69</w:t>
      </w:r>
      <w:r w:rsidRPr="00F6743C">
        <w:rPr>
          <w:rFonts w:ascii="仿宋_GB2312" w:eastAsia="仿宋_GB2312" w:cs="DengXian-Regular" w:hint="eastAsia"/>
          <w:sz w:val="32"/>
          <w:szCs w:val="32"/>
        </w:rPr>
        <w:t>万元，年</w:t>
      </w:r>
      <w:proofErr w:type="gramStart"/>
      <w:r w:rsidRPr="00F6743C">
        <w:rPr>
          <w:rFonts w:ascii="仿宋_GB2312" w:eastAsia="仿宋_GB2312" w:cs="DengXian-Regular" w:hint="eastAsia"/>
          <w:sz w:val="32"/>
          <w:szCs w:val="32"/>
        </w:rPr>
        <w:t>末决</w:t>
      </w:r>
      <w:proofErr w:type="gramEnd"/>
      <w:r w:rsidRPr="00F6743C">
        <w:rPr>
          <w:rFonts w:ascii="仿宋_GB2312" w:eastAsia="仿宋_GB2312" w:cs="DengXian-Regular" w:hint="eastAsia"/>
          <w:sz w:val="32"/>
          <w:szCs w:val="32"/>
        </w:rPr>
        <w:t>算数</w:t>
      </w:r>
      <w:r w:rsidR="00BD11B3" w:rsidRPr="00F6743C">
        <w:rPr>
          <w:rFonts w:ascii="仿宋_GB2312" w:eastAsia="仿宋_GB2312" w:cs="DengXian-Regular"/>
          <w:sz w:val="32"/>
          <w:szCs w:val="32"/>
        </w:rPr>
        <w:t>31538.75</w:t>
      </w:r>
      <w:r w:rsidRPr="00F6743C">
        <w:rPr>
          <w:rFonts w:ascii="仿宋_GB2312" w:eastAsia="仿宋_GB2312" w:cs="DengXian-Regular" w:hint="eastAsia"/>
          <w:sz w:val="32"/>
          <w:szCs w:val="32"/>
        </w:rPr>
        <w:t>万元，政府采购执行率为</w:t>
      </w:r>
      <w:r w:rsidR="00BD11B3" w:rsidRPr="00F6743C">
        <w:rPr>
          <w:rFonts w:ascii="仿宋_GB2312" w:eastAsia="仿宋_GB2312" w:cs="DengXian-Regular"/>
          <w:sz w:val="32"/>
          <w:szCs w:val="32"/>
        </w:rPr>
        <w:t>866.28%</w:t>
      </w:r>
      <w:r w:rsidRPr="00F6743C">
        <w:rPr>
          <w:rFonts w:ascii="仿宋_GB2312" w:eastAsia="仿宋_GB2312" w:cs="DengXian-Regular" w:hint="eastAsia"/>
          <w:sz w:val="32"/>
          <w:szCs w:val="32"/>
        </w:rPr>
        <w:t>。</w:t>
      </w:r>
    </w:p>
    <w:p w:rsidR="00387237" w:rsidRPr="00F6743C"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6743C">
        <w:rPr>
          <w:rFonts w:ascii="仿宋_GB2312" w:eastAsia="仿宋_GB2312" w:cs="DengXian-Regular" w:hint="eastAsia"/>
          <w:sz w:val="32"/>
          <w:szCs w:val="32"/>
        </w:rPr>
        <w:t>该指标实际得分为</w:t>
      </w:r>
      <w:r w:rsidR="009266BE" w:rsidRPr="00F6743C">
        <w:rPr>
          <w:rFonts w:ascii="仿宋_GB2312" w:eastAsia="仿宋_GB2312" w:cs="DengXian-Regular"/>
          <w:sz w:val="32"/>
          <w:szCs w:val="32"/>
        </w:rPr>
        <w:t>3</w:t>
      </w:r>
      <w:r w:rsidRPr="00F6743C">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（7）资金使用合</w:t>
      </w:r>
      <w:proofErr w:type="gramStart"/>
      <w:r>
        <w:rPr>
          <w:rFonts w:ascii="仿宋_GB2312" w:eastAsia="仿宋_GB2312" w:cs="DengXian-Regular" w:hint="eastAsia"/>
          <w:sz w:val="32"/>
          <w:szCs w:val="32"/>
        </w:rPr>
        <w:t>规</w:t>
      </w:r>
      <w:proofErr w:type="gramEnd"/>
      <w:r>
        <w:rPr>
          <w:rFonts w:ascii="仿宋_GB2312" w:eastAsia="仿宋_GB2312" w:cs="DengXian-Regular" w:hint="eastAsia"/>
          <w:sz w:val="32"/>
          <w:szCs w:val="32"/>
        </w:rPr>
        <w:t>性（3分）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该指标主要评价资金使用是否按照相关法律法规和资金管理办法规定的用途使用，财务管理是否符合相关会计准则和财务制度。</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根据区</w:t>
      </w:r>
      <w:r w:rsidRPr="00D23E4F">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2019年明细账、会计凭证等相关资料，</w:t>
      </w:r>
      <w:r w:rsidRPr="00D23E4F">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资金使用符合相关会计准则和财务制度，资金拨付有完备的审批程序和手续，资金使用符合部门预算批复的用途，未发现截留、挤占、挪用财政资金的情况。</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w:t>
      </w:r>
      <w:r>
        <w:rPr>
          <w:rFonts w:ascii="仿宋_GB2312" w:eastAsia="仿宋_GB2312" w:cs="DengXian-Regular"/>
          <w:sz w:val="32"/>
          <w:szCs w:val="32"/>
        </w:rPr>
        <w:t>3</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（8）决算真实性（3分）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该指标主要评价决算编制数据是否与账表一致，即决算报表数据与会计账簿数据是否一致。</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经核查</w:t>
      </w:r>
      <w:r w:rsidRPr="00D23E4F">
        <w:rPr>
          <w:rFonts w:ascii="仿宋_GB2312" w:eastAsia="仿宋_GB2312" w:cs="DengXian-Regular" w:hint="eastAsia"/>
          <w:sz w:val="32"/>
          <w:szCs w:val="32"/>
        </w:rPr>
        <w:t>保定市徐水区教育和体育局</w:t>
      </w:r>
      <w:r>
        <w:rPr>
          <w:rFonts w:ascii="仿宋_GB2312" w:eastAsia="仿宋_GB2312" w:cs="DengXian-Regular" w:hint="eastAsia"/>
          <w:sz w:val="32"/>
          <w:szCs w:val="32"/>
        </w:rPr>
        <w:t>2019年决算文本、明细账及总账，</w:t>
      </w:r>
      <w:proofErr w:type="gramStart"/>
      <w:r>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决算文本数据均与明细账、总账一致。</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w:t>
      </w:r>
      <w:r>
        <w:rPr>
          <w:rFonts w:ascii="仿宋_GB2312" w:eastAsia="仿宋_GB2312" w:cs="DengXian-Regular"/>
          <w:sz w:val="32"/>
          <w:szCs w:val="32"/>
        </w:rPr>
        <w:t>3</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2.预算管理（16分）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（1）管理制度健全性（4分）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该指标主要评价部门是否制定资金管理办法、财务管理制度、会计核算制度等相关内部控制制度，制度执行是否得到有效执行。</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徐水</w:t>
      </w:r>
      <w:proofErr w:type="gramStart"/>
      <w:r>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工作制度涵盖了财务制度、网络安全制度、公务用车制度等相关制度，经检查</w:t>
      </w:r>
      <w:r w:rsidRPr="00BF66F8">
        <w:rPr>
          <w:rFonts w:ascii="仿宋_GB2312" w:eastAsia="仿宋_GB2312" w:cs="DengXian-Regular" w:hint="eastAsia"/>
          <w:sz w:val="32"/>
          <w:szCs w:val="32"/>
        </w:rPr>
        <w:t>徐水</w:t>
      </w:r>
      <w:proofErr w:type="gramStart"/>
      <w:r w:rsidRPr="00BF66F8">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付款流程审批单、资产盘点表等资料，</w:t>
      </w:r>
      <w:r w:rsidRPr="00BF66F8">
        <w:rPr>
          <w:rFonts w:ascii="仿宋_GB2312" w:eastAsia="仿宋_GB2312" w:cs="DengXian-Regular" w:hint="eastAsia"/>
          <w:sz w:val="32"/>
          <w:szCs w:val="32"/>
        </w:rPr>
        <w:t>徐水</w:t>
      </w:r>
      <w:proofErr w:type="gramStart"/>
      <w:r w:rsidRPr="00BF66F8">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已按照相关管理制度的规定执行。</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lastRenderedPageBreak/>
        <w:t>该项指标实际得分</w:t>
      </w:r>
      <w:r>
        <w:rPr>
          <w:rFonts w:ascii="仿宋_GB2312" w:eastAsia="仿宋_GB2312" w:cs="DengXian-Regular"/>
          <w:sz w:val="32"/>
          <w:szCs w:val="32"/>
        </w:rPr>
        <w:t>4</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（2）预决算信息公开性（4分）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该指标主要评价部门是否按照政府信息公开的有关要求在相关网站公开部门预算、预算执行情况、年度工作任务等相关信息。</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BF66F8">
        <w:rPr>
          <w:rFonts w:ascii="仿宋_GB2312" w:eastAsia="仿宋_GB2312" w:cs="DengXian-Regular" w:hint="eastAsia"/>
          <w:sz w:val="32"/>
          <w:szCs w:val="32"/>
        </w:rPr>
        <w:t>徐水</w:t>
      </w:r>
      <w:proofErr w:type="gramStart"/>
      <w:r w:rsidRPr="00BF66F8">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单位2019年按政府信息公开的有关要求在保定市徐水区人民政府</w:t>
      </w:r>
      <w:proofErr w:type="gramStart"/>
      <w:r>
        <w:rPr>
          <w:rFonts w:ascii="仿宋_GB2312" w:eastAsia="仿宋_GB2312" w:cs="DengXian-Regular" w:hint="eastAsia"/>
          <w:sz w:val="32"/>
          <w:szCs w:val="32"/>
        </w:rPr>
        <w:t>网公开</w:t>
      </w:r>
      <w:proofErr w:type="gramEnd"/>
      <w:r>
        <w:rPr>
          <w:rFonts w:ascii="仿宋_GB2312" w:eastAsia="仿宋_GB2312" w:cs="DengXian-Regular" w:hint="eastAsia"/>
          <w:sz w:val="32"/>
          <w:szCs w:val="32"/>
        </w:rPr>
        <w:t>了2019年的预决算情况、部门责任清单、行政监督清单等相关信息。</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w:t>
      </w:r>
      <w:r>
        <w:rPr>
          <w:rFonts w:ascii="仿宋_GB2312" w:eastAsia="仿宋_GB2312" w:cs="DengXian-Regular"/>
          <w:sz w:val="32"/>
          <w:szCs w:val="32"/>
        </w:rPr>
        <w:t>4</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（3）基础信息完善性（4分）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该指标主要评价基础数据信息和财务信息资料是否真实、完整。</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根据核查</w:t>
      </w:r>
      <w:r w:rsidRPr="00BF66F8">
        <w:rPr>
          <w:rFonts w:ascii="仿宋_GB2312" w:eastAsia="仿宋_GB2312" w:cs="DengXian-Regular" w:hint="eastAsia"/>
          <w:sz w:val="32"/>
          <w:szCs w:val="32"/>
        </w:rPr>
        <w:t>徐水</w:t>
      </w:r>
      <w:proofErr w:type="gramStart"/>
      <w:r w:rsidRPr="00BF66F8">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的会计账簿、凭证及其他相关资料，</w:t>
      </w:r>
      <w:r w:rsidRPr="00DA5DA3">
        <w:rPr>
          <w:rFonts w:ascii="仿宋_GB2312" w:eastAsia="仿宋_GB2312" w:cs="DengXian-Regular" w:hint="eastAsia"/>
          <w:sz w:val="32"/>
          <w:szCs w:val="32"/>
        </w:rPr>
        <w:t>徐水</w:t>
      </w:r>
      <w:proofErr w:type="gramStart"/>
      <w:r w:rsidRPr="00DA5DA3">
        <w:rPr>
          <w:rFonts w:ascii="仿宋_GB2312" w:eastAsia="仿宋_GB2312" w:cs="DengXian-Regular" w:hint="eastAsia"/>
          <w:sz w:val="32"/>
          <w:szCs w:val="32"/>
        </w:rPr>
        <w:t>区教体局</w:t>
      </w:r>
      <w:proofErr w:type="gramEnd"/>
      <w:r>
        <w:rPr>
          <w:rFonts w:ascii="仿宋_GB2312" w:eastAsia="仿宋_GB2312" w:cs="DengXian-Regular" w:hint="eastAsia"/>
          <w:sz w:val="32"/>
          <w:szCs w:val="32"/>
        </w:rPr>
        <w:t>会计信息资料真实完整，</w:t>
      </w:r>
    </w:p>
    <w:p w:rsidR="00387237" w:rsidRPr="00805C39"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805C39">
        <w:rPr>
          <w:rFonts w:ascii="仿宋_GB2312" w:eastAsia="仿宋_GB2312" w:cs="DengXian-Regular" w:hint="eastAsia"/>
          <w:sz w:val="32"/>
          <w:szCs w:val="32"/>
        </w:rPr>
        <w:t>该指标实际得分</w:t>
      </w:r>
      <w:r w:rsidRPr="00805C39">
        <w:rPr>
          <w:rFonts w:ascii="仿宋_GB2312" w:eastAsia="仿宋_GB2312" w:cs="DengXian-Regular"/>
          <w:sz w:val="32"/>
          <w:szCs w:val="32"/>
        </w:rPr>
        <w:t>4</w:t>
      </w:r>
      <w:r w:rsidRPr="00805C39">
        <w:rPr>
          <w:rFonts w:ascii="仿宋_GB2312" w:eastAsia="仿宋_GB2312" w:cs="DengXian-Regular" w:hint="eastAsia"/>
          <w:sz w:val="32"/>
          <w:szCs w:val="32"/>
        </w:rPr>
        <w:t>分。</w:t>
      </w:r>
    </w:p>
    <w:p w:rsidR="00387237" w:rsidRPr="00805C39"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805C39">
        <w:rPr>
          <w:rFonts w:ascii="仿宋_GB2312" w:eastAsia="仿宋_GB2312" w:cs="DengXian-Regular" w:hint="eastAsia"/>
          <w:sz w:val="32"/>
          <w:szCs w:val="32"/>
        </w:rPr>
        <w:t>（4）资产管理规范性（4分）</w:t>
      </w:r>
    </w:p>
    <w:p w:rsidR="00387237" w:rsidRPr="00805C39"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805C39">
        <w:rPr>
          <w:rFonts w:ascii="仿宋_GB2312" w:eastAsia="仿宋_GB2312" w:cs="DengXian-Regular" w:hint="eastAsia"/>
          <w:sz w:val="32"/>
          <w:szCs w:val="32"/>
        </w:rPr>
        <w:t>该指标主要评价资产管理是否规范，是否建立</w:t>
      </w:r>
      <w:proofErr w:type="gramStart"/>
      <w:r w:rsidRPr="00805C39">
        <w:rPr>
          <w:rFonts w:ascii="仿宋_GB2312" w:eastAsia="仿宋_GB2312" w:cs="DengXian-Regular" w:hint="eastAsia"/>
          <w:sz w:val="32"/>
          <w:szCs w:val="32"/>
        </w:rPr>
        <w:t>资产台</w:t>
      </w:r>
      <w:proofErr w:type="gramEnd"/>
      <w:r w:rsidRPr="00805C39">
        <w:rPr>
          <w:rFonts w:ascii="仿宋_GB2312" w:eastAsia="仿宋_GB2312" w:cs="DengXian-Regular" w:hint="eastAsia"/>
          <w:sz w:val="32"/>
          <w:szCs w:val="32"/>
        </w:rPr>
        <w:t>账，新增资产是否符合规定程序和规定标准，资产的配置是否合</w:t>
      </w:r>
      <w:proofErr w:type="gramStart"/>
      <w:r w:rsidRPr="00805C39">
        <w:rPr>
          <w:rFonts w:ascii="仿宋_GB2312" w:eastAsia="仿宋_GB2312" w:cs="DengXian-Regular" w:hint="eastAsia"/>
          <w:sz w:val="32"/>
          <w:szCs w:val="32"/>
        </w:rPr>
        <w:t>规</w:t>
      </w:r>
      <w:proofErr w:type="gramEnd"/>
      <w:r w:rsidRPr="00805C39">
        <w:rPr>
          <w:rFonts w:ascii="仿宋_GB2312" w:eastAsia="仿宋_GB2312" w:cs="DengXian-Regular" w:hint="eastAsia"/>
          <w:sz w:val="32"/>
          <w:szCs w:val="32"/>
        </w:rPr>
        <w:t>，资产保存是否完整。</w:t>
      </w:r>
    </w:p>
    <w:p w:rsidR="00387237" w:rsidRPr="00805C39"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805C39">
        <w:rPr>
          <w:rFonts w:ascii="仿宋_GB2312" w:eastAsia="仿宋_GB2312" w:cs="DengXian-Regular" w:hint="eastAsia"/>
          <w:sz w:val="32"/>
          <w:szCs w:val="32"/>
        </w:rPr>
        <w:t>徐水</w:t>
      </w:r>
      <w:proofErr w:type="gramStart"/>
      <w:r w:rsidRPr="00805C39">
        <w:rPr>
          <w:rFonts w:ascii="仿宋_GB2312" w:eastAsia="仿宋_GB2312" w:cs="DengXian-Regular" w:hint="eastAsia"/>
          <w:sz w:val="32"/>
          <w:szCs w:val="32"/>
        </w:rPr>
        <w:t>区教体局</w:t>
      </w:r>
      <w:proofErr w:type="gramEnd"/>
      <w:r w:rsidRPr="00805C39">
        <w:rPr>
          <w:rFonts w:ascii="仿宋_GB2312" w:eastAsia="仿宋_GB2312" w:cs="DengXian-Regular" w:hint="eastAsia"/>
          <w:sz w:val="32"/>
          <w:szCs w:val="32"/>
        </w:rPr>
        <w:t>建立了固定资产台账、无形</w:t>
      </w:r>
      <w:proofErr w:type="gramStart"/>
      <w:r w:rsidRPr="00805C39">
        <w:rPr>
          <w:rFonts w:ascii="仿宋_GB2312" w:eastAsia="仿宋_GB2312" w:cs="DengXian-Regular" w:hint="eastAsia"/>
          <w:sz w:val="32"/>
          <w:szCs w:val="32"/>
        </w:rPr>
        <w:t>资产台</w:t>
      </w:r>
      <w:proofErr w:type="gramEnd"/>
      <w:r w:rsidRPr="00805C39">
        <w:rPr>
          <w:rFonts w:ascii="仿宋_GB2312" w:eastAsia="仿宋_GB2312" w:cs="DengXian-Regular" w:hint="eastAsia"/>
          <w:sz w:val="32"/>
          <w:szCs w:val="32"/>
        </w:rPr>
        <w:t>账，资产保存完整，2019年新增资产</w:t>
      </w:r>
      <w:r w:rsidR="00BB6C0A" w:rsidRPr="00805C39">
        <w:rPr>
          <w:rFonts w:ascii="仿宋_GB2312" w:eastAsia="仿宋_GB2312" w:cs="DengXian-Regular"/>
          <w:sz w:val="32"/>
          <w:szCs w:val="32"/>
        </w:rPr>
        <w:t>10037.8</w:t>
      </w:r>
      <w:r w:rsidRPr="00805C39">
        <w:rPr>
          <w:rFonts w:ascii="仿宋_GB2312" w:eastAsia="仿宋_GB2312" w:cs="DengXian-Regular" w:hint="eastAsia"/>
          <w:sz w:val="32"/>
          <w:szCs w:val="32"/>
        </w:rPr>
        <w:t>万元，包含：</w:t>
      </w:r>
      <w:r w:rsidR="00BB6C0A" w:rsidRPr="00805C39">
        <w:rPr>
          <w:rFonts w:ascii="仿宋_GB2312" w:eastAsia="仿宋_GB2312" w:cs="DengXian-Regular" w:hint="eastAsia"/>
          <w:sz w:val="32"/>
          <w:szCs w:val="32"/>
        </w:rPr>
        <w:t>房屋建筑</w:t>
      </w:r>
      <w:r w:rsidR="00BB6C0A" w:rsidRPr="00805C39">
        <w:rPr>
          <w:rFonts w:ascii="仿宋_GB2312" w:eastAsia="仿宋_GB2312" w:cs="DengXian-Regular"/>
          <w:sz w:val="32"/>
          <w:szCs w:val="32"/>
        </w:rPr>
        <w:t>物</w:t>
      </w:r>
      <w:r w:rsidR="00805C39" w:rsidRPr="00805C39">
        <w:rPr>
          <w:rFonts w:ascii="仿宋_GB2312" w:eastAsia="仿宋_GB2312" w:cs="DengXian-Regular"/>
          <w:sz w:val="32"/>
          <w:szCs w:val="32"/>
        </w:rPr>
        <w:t>2918.7</w:t>
      </w:r>
      <w:r w:rsidR="00805C39" w:rsidRPr="00805C39">
        <w:rPr>
          <w:rFonts w:ascii="仿宋_GB2312" w:eastAsia="仿宋_GB2312" w:cs="DengXian-Regular" w:hint="eastAsia"/>
          <w:sz w:val="32"/>
          <w:szCs w:val="32"/>
        </w:rPr>
        <w:t>万元</w:t>
      </w:r>
      <w:r w:rsidRPr="00805C39">
        <w:rPr>
          <w:rFonts w:ascii="仿宋_GB2312" w:eastAsia="仿宋_GB2312" w:cs="DengXian-Regular" w:hint="eastAsia"/>
          <w:sz w:val="32"/>
          <w:szCs w:val="32"/>
        </w:rPr>
        <w:t>、</w:t>
      </w:r>
      <w:r w:rsidR="00805C39" w:rsidRPr="00805C39">
        <w:rPr>
          <w:rFonts w:ascii="仿宋_GB2312" w:eastAsia="仿宋_GB2312" w:cs="DengXian-Regular" w:hint="eastAsia"/>
          <w:sz w:val="32"/>
          <w:szCs w:val="32"/>
        </w:rPr>
        <w:t>通</w:t>
      </w:r>
      <w:r w:rsidR="00805C39" w:rsidRPr="00805C39">
        <w:rPr>
          <w:rFonts w:ascii="仿宋_GB2312" w:eastAsia="仿宋_GB2312" w:cs="DengXian-Regular"/>
          <w:sz w:val="32"/>
          <w:szCs w:val="32"/>
        </w:rPr>
        <w:t>用设备4640.1</w:t>
      </w:r>
      <w:r w:rsidR="00805C39" w:rsidRPr="00805C39">
        <w:rPr>
          <w:rFonts w:ascii="仿宋_GB2312" w:eastAsia="仿宋_GB2312" w:cs="DengXian-Regular" w:hint="eastAsia"/>
          <w:sz w:val="32"/>
          <w:szCs w:val="32"/>
        </w:rPr>
        <w:t>万元</w:t>
      </w:r>
      <w:r w:rsidRPr="00805C39">
        <w:rPr>
          <w:rFonts w:ascii="仿宋_GB2312" w:eastAsia="仿宋_GB2312" w:cs="DengXian-Regular" w:hint="eastAsia"/>
          <w:sz w:val="32"/>
          <w:szCs w:val="32"/>
        </w:rPr>
        <w:t>、</w:t>
      </w:r>
      <w:r w:rsidR="00805C39" w:rsidRPr="00805C39">
        <w:rPr>
          <w:rFonts w:ascii="仿宋_GB2312" w:eastAsia="仿宋_GB2312" w:cs="DengXian-Regular" w:hint="eastAsia"/>
          <w:sz w:val="32"/>
          <w:szCs w:val="32"/>
        </w:rPr>
        <w:t>专用</w:t>
      </w:r>
      <w:r w:rsidR="00805C39" w:rsidRPr="00805C39">
        <w:rPr>
          <w:rFonts w:ascii="仿宋_GB2312" w:eastAsia="仿宋_GB2312" w:cs="DengXian-Regular"/>
          <w:sz w:val="32"/>
          <w:szCs w:val="32"/>
        </w:rPr>
        <w:t>设备</w:t>
      </w:r>
      <w:r w:rsidR="00805C39" w:rsidRPr="00805C39">
        <w:rPr>
          <w:rFonts w:ascii="仿宋_GB2312" w:eastAsia="仿宋_GB2312" w:cs="DengXian-Regular"/>
          <w:sz w:val="32"/>
          <w:szCs w:val="32"/>
        </w:rPr>
        <w:lastRenderedPageBreak/>
        <w:t>1014</w:t>
      </w:r>
      <w:r w:rsidR="00805C39" w:rsidRPr="00805C39">
        <w:rPr>
          <w:rFonts w:ascii="仿宋_GB2312" w:eastAsia="仿宋_GB2312" w:cs="DengXian-Regular" w:hint="eastAsia"/>
          <w:sz w:val="32"/>
          <w:szCs w:val="32"/>
        </w:rPr>
        <w:t>万元</w:t>
      </w:r>
      <w:r w:rsidRPr="00805C39">
        <w:rPr>
          <w:rFonts w:ascii="仿宋_GB2312" w:eastAsia="仿宋_GB2312" w:cs="DengXian-Regular" w:hint="eastAsia"/>
          <w:sz w:val="32"/>
          <w:szCs w:val="32"/>
        </w:rPr>
        <w:t>，</w:t>
      </w:r>
      <w:r w:rsidR="00805C39" w:rsidRPr="00805C39">
        <w:rPr>
          <w:rFonts w:ascii="仿宋_GB2312" w:eastAsia="仿宋_GB2312" w:cs="DengXian-Regular" w:hint="eastAsia"/>
          <w:sz w:val="32"/>
          <w:szCs w:val="32"/>
        </w:rPr>
        <w:t>文物</w:t>
      </w:r>
      <w:r w:rsidR="00805C39" w:rsidRPr="00805C39">
        <w:rPr>
          <w:rFonts w:ascii="仿宋_GB2312" w:eastAsia="仿宋_GB2312" w:cs="DengXian-Regular"/>
          <w:sz w:val="32"/>
          <w:szCs w:val="32"/>
        </w:rPr>
        <w:t>和陈列品</w:t>
      </w:r>
      <w:r w:rsidR="00805C39" w:rsidRPr="00805C39">
        <w:rPr>
          <w:rFonts w:ascii="仿宋_GB2312" w:eastAsia="仿宋_GB2312" w:cs="DengXian-Regular" w:hint="eastAsia"/>
          <w:sz w:val="32"/>
          <w:szCs w:val="32"/>
        </w:rPr>
        <w:t>11.4万</w:t>
      </w:r>
      <w:r w:rsidR="00805C39" w:rsidRPr="00805C39">
        <w:rPr>
          <w:rFonts w:ascii="仿宋_GB2312" w:eastAsia="仿宋_GB2312" w:cs="DengXian-Regular"/>
          <w:sz w:val="32"/>
          <w:szCs w:val="32"/>
        </w:rPr>
        <w:t>元，图书</w:t>
      </w:r>
      <w:r w:rsidR="00805C39" w:rsidRPr="00805C39">
        <w:rPr>
          <w:rFonts w:ascii="仿宋_GB2312" w:eastAsia="仿宋_GB2312" w:cs="DengXian-Regular" w:hint="eastAsia"/>
          <w:sz w:val="32"/>
          <w:szCs w:val="32"/>
        </w:rPr>
        <w:t>81万</w:t>
      </w:r>
      <w:r w:rsidR="00805C39" w:rsidRPr="00805C39">
        <w:rPr>
          <w:rFonts w:ascii="仿宋_GB2312" w:eastAsia="仿宋_GB2312" w:cs="DengXian-Regular"/>
          <w:sz w:val="32"/>
          <w:szCs w:val="32"/>
        </w:rPr>
        <w:t>元，家具用具</w:t>
      </w:r>
      <w:r w:rsidR="00805C39" w:rsidRPr="00805C39">
        <w:rPr>
          <w:rFonts w:ascii="仿宋_GB2312" w:eastAsia="仿宋_GB2312" w:cs="DengXian-Regular" w:hint="eastAsia"/>
          <w:sz w:val="32"/>
          <w:szCs w:val="32"/>
        </w:rPr>
        <w:t>1156.3万</w:t>
      </w:r>
      <w:r w:rsidR="00805C39" w:rsidRPr="00805C39">
        <w:rPr>
          <w:rFonts w:ascii="仿宋_GB2312" w:eastAsia="仿宋_GB2312" w:cs="DengXian-Regular"/>
          <w:sz w:val="32"/>
          <w:szCs w:val="32"/>
        </w:rPr>
        <w:t>元，无</w:t>
      </w:r>
      <w:r w:rsidR="00805C39" w:rsidRPr="00805C39">
        <w:rPr>
          <w:rFonts w:ascii="仿宋_GB2312" w:eastAsia="仿宋_GB2312" w:cs="DengXian-Regular" w:hint="eastAsia"/>
          <w:sz w:val="32"/>
          <w:szCs w:val="32"/>
        </w:rPr>
        <w:t>形</w:t>
      </w:r>
      <w:r w:rsidR="00805C39" w:rsidRPr="00805C39">
        <w:rPr>
          <w:rFonts w:ascii="仿宋_GB2312" w:eastAsia="仿宋_GB2312" w:cs="DengXian-Regular"/>
          <w:sz w:val="32"/>
          <w:szCs w:val="32"/>
        </w:rPr>
        <w:t>资产</w:t>
      </w:r>
      <w:r w:rsidR="00805C39" w:rsidRPr="00805C39">
        <w:rPr>
          <w:rFonts w:ascii="仿宋_GB2312" w:eastAsia="仿宋_GB2312" w:cs="DengXian-Regular" w:hint="eastAsia"/>
          <w:sz w:val="32"/>
          <w:szCs w:val="32"/>
        </w:rPr>
        <w:t>215.8万</w:t>
      </w:r>
      <w:r w:rsidR="00805C39" w:rsidRPr="00805C39">
        <w:rPr>
          <w:rFonts w:ascii="仿宋_GB2312" w:eastAsia="仿宋_GB2312" w:cs="DengXian-Regular"/>
          <w:sz w:val="32"/>
          <w:szCs w:val="32"/>
        </w:rPr>
        <w:t>元，</w:t>
      </w:r>
      <w:r w:rsidRPr="00805C39">
        <w:rPr>
          <w:rFonts w:ascii="仿宋_GB2312" w:eastAsia="仿宋_GB2312" w:cs="DengXian-Regular" w:hint="eastAsia"/>
          <w:sz w:val="32"/>
          <w:szCs w:val="32"/>
        </w:rPr>
        <w:t>资产购置手续完备，配置符合要求，资产管理整体较规范。</w:t>
      </w:r>
    </w:p>
    <w:p w:rsidR="00387237" w:rsidRPr="00805C39"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805C39">
        <w:rPr>
          <w:rFonts w:ascii="仿宋_GB2312" w:eastAsia="仿宋_GB2312" w:cs="DengXian-Regular" w:hint="eastAsia"/>
          <w:sz w:val="32"/>
          <w:szCs w:val="32"/>
        </w:rPr>
        <w:t>该项指标实际得分</w:t>
      </w:r>
      <w:r w:rsidR="00F6743C" w:rsidRPr="00805C39">
        <w:rPr>
          <w:rFonts w:ascii="仿宋_GB2312" w:eastAsia="仿宋_GB2312" w:cs="DengXian-Regular"/>
          <w:sz w:val="32"/>
          <w:szCs w:val="32"/>
        </w:rPr>
        <w:t>4</w:t>
      </w:r>
      <w:r w:rsidRPr="00805C39">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3.绩效评价（8分）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（1）绩效自评覆盖率（4分）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该指标主要评价部门是否按相关要求实施绩效自评，通过绩效自评覆盖率来衡量。</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绩效自评覆盖率=（报送相关自评材料的数量/应实施项目绩效自评数量）*100%。</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根据徐水区财政局《关于开展2019年度财政专项资金部门绩效自评价工作的通知》及</w:t>
      </w:r>
      <w:proofErr w:type="gramStart"/>
      <w:r w:rsidRPr="00612636">
        <w:rPr>
          <w:rFonts w:ascii="仿宋_GB2312" w:eastAsia="仿宋_GB2312" w:cs="DengXian-Regular" w:hint="eastAsia"/>
          <w:sz w:val="32"/>
          <w:szCs w:val="32"/>
        </w:rPr>
        <w:t>徐水区教体局</w:t>
      </w:r>
      <w:proofErr w:type="gramEnd"/>
      <w:r>
        <w:rPr>
          <w:rFonts w:ascii="仿宋_GB2312" w:eastAsia="仿宋_GB2312" w:cs="DengXian-Regular" w:hint="eastAsia"/>
          <w:sz w:val="32"/>
          <w:szCs w:val="32"/>
        </w:rPr>
        <w:t>2019年一般项目部门绩效自评表，</w:t>
      </w:r>
      <w:proofErr w:type="gramStart"/>
      <w:r w:rsidRPr="00612636">
        <w:rPr>
          <w:rFonts w:ascii="仿宋_GB2312" w:eastAsia="仿宋_GB2312" w:cs="DengXian-Regular" w:hint="eastAsia"/>
          <w:sz w:val="32"/>
          <w:szCs w:val="32"/>
        </w:rPr>
        <w:t>徐水区教体局</w:t>
      </w:r>
      <w:proofErr w:type="gramEnd"/>
      <w:r>
        <w:rPr>
          <w:rFonts w:ascii="仿宋_GB2312" w:eastAsia="仿宋_GB2312" w:cs="DengXian-Regular" w:hint="eastAsia"/>
          <w:sz w:val="32"/>
          <w:szCs w:val="32"/>
        </w:rPr>
        <w:t>2019年开展绩效自评的项目数为</w:t>
      </w:r>
      <w:r>
        <w:rPr>
          <w:rFonts w:ascii="仿宋_GB2312" w:eastAsia="仿宋_GB2312" w:cs="DengXian-Regular"/>
          <w:sz w:val="32"/>
          <w:szCs w:val="32"/>
        </w:rPr>
        <w:t>380</w:t>
      </w:r>
      <w:r>
        <w:rPr>
          <w:rFonts w:ascii="仿宋_GB2312" w:eastAsia="仿宋_GB2312" w:cs="DengXian-Regular" w:hint="eastAsia"/>
          <w:sz w:val="32"/>
          <w:szCs w:val="32"/>
        </w:rPr>
        <w:t>个，年初预算文本项目数</w:t>
      </w:r>
      <w:r>
        <w:rPr>
          <w:rFonts w:ascii="仿宋_GB2312" w:eastAsia="仿宋_GB2312" w:cs="DengXian-Regular"/>
          <w:sz w:val="32"/>
          <w:szCs w:val="32"/>
        </w:rPr>
        <w:t>380</w:t>
      </w:r>
      <w:r>
        <w:rPr>
          <w:rFonts w:ascii="仿宋_GB2312" w:eastAsia="仿宋_GB2312" w:cs="DengXian-Regular" w:hint="eastAsia"/>
          <w:sz w:val="32"/>
          <w:szCs w:val="32"/>
        </w:rPr>
        <w:t>个，要求自评项目个数</w:t>
      </w:r>
      <w:r>
        <w:rPr>
          <w:rFonts w:ascii="仿宋_GB2312" w:eastAsia="仿宋_GB2312" w:cs="DengXian-Regular"/>
          <w:sz w:val="32"/>
          <w:szCs w:val="32"/>
        </w:rPr>
        <w:t>380</w:t>
      </w:r>
      <w:r>
        <w:rPr>
          <w:rFonts w:ascii="仿宋_GB2312" w:eastAsia="仿宋_GB2312" w:cs="DengXian-Regular" w:hint="eastAsia"/>
          <w:sz w:val="32"/>
          <w:szCs w:val="32"/>
        </w:rPr>
        <w:t xml:space="preserve">个，自评覆盖率为 </w:t>
      </w:r>
      <w:r>
        <w:rPr>
          <w:rFonts w:ascii="仿宋_GB2312" w:eastAsia="仿宋_GB2312" w:cs="DengXian-Regular"/>
          <w:sz w:val="32"/>
          <w:szCs w:val="32"/>
        </w:rPr>
        <w:t>100</w:t>
      </w:r>
      <w:r>
        <w:rPr>
          <w:rFonts w:ascii="仿宋_GB2312" w:eastAsia="仿宋_GB2312" w:cs="DengXian-Regular" w:hint="eastAsia"/>
          <w:sz w:val="32"/>
          <w:szCs w:val="32"/>
        </w:rPr>
        <w:t>%。</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w:t>
      </w:r>
      <w:r>
        <w:rPr>
          <w:rFonts w:ascii="仿宋_GB2312" w:eastAsia="仿宋_GB2312" w:cs="DengXian-Regular"/>
          <w:sz w:val="32"/>
          <w:szCs w:val="32"/>
        </w:rPr>
        <w:t>4</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（2）绩效评价优等率（4分）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该指标主要评价部门开展的绩效评价项目的完成质量，通过绩效评价优等率来衡量。</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绩效评价优等率=（结果达到优等的数量/参评数量）*100%。</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612636">
        <w:rPr>
          <w:rFonts w:ascii="仿宋_GB2312" w:eastAsia="仿宋_GB2312" w:cs="DengXian-Regular" w:hint="eastAsia"/>
          <w:sz w:val="32"/>
          <w:szCs w:val="32"/>
        </w:rPr>
        <w:lastRenderedPageBreak/>
        <w:t>徐水区教体局</w:t>
      </w:r>
      <w:proofErr w:type="gramEnd"/>
      <w:r>
        <w:rPr>
          <w:rFonts w:ascii="仿宋_GB2312" w:eastAsia="仿宋_GB2312" w:cs="DengXian-Regular" w:hint="eastAsia"/>
          <w:sz w:val="32"/>
          <w:szCs w:val="32"/>
        </w:rPr>
        <w:t>单位2019年参评数量</w:t>
      </w:r>
      <w:r>
        <w:rPr>
          <w:rFonts w:ascii="仿宋_GB2312" w:eastAsia="仿宋_GB2312" w:cs="DengXian-Regular"/>
          <w:sz w:val="32"/>
          <w:szCs w:val="32"/>
        </w:rPr>
        <w:t>380</w:t>
      </w:r>
      <w:r>
        <w:rPr>
          <w:rFonts w:ascii="仿宋_GB2312" w:eastAsia="仿宋_GB2312" w:cs="DengXian-Regular" w:hint="eastAsia"/>
          <w:sz w:val="32"/>
          <w:szCs w:val="32"/>
        </w:rPr>
        <w:t>个，绩效评价结果达到优等的数量</w:t>
      </w:r>
      <w:r>
        <w:rPr>
          <w:rFonts w:ascii="仿宋_GB2312" w:eastAsia="仿宋_GB2312" w:cs="DengXian-Regular"/>
          <w:sz w:val="32"/>
          <w:szCs w:val="32"/>
        </w:rPr>
        <w:t>380</w:t>
      </w:r>
      <w:r>
        <w:rPr>
          <w:rFonts w:ascii="仿宋_GB2312" w:eastAsia="仿宋_GB2312" w:cs="DengXian-Regular" w:hint="eastAsia"/>
          <w:sz w:val="32"/>
          <w:szCs w:val="32"/>
        </w:rPr>
        <w:t>个，绩效评价优等率为</w:t>
      </w:r>
      <w:r>
        <w:rPr>
          <w:rFonts w:ascii="仿宋_GB2312" w:eastAsia="仿宋_GB2312" w:cs="DengXian-Regular"/>
          <w:sz w:val="32"/>
          <w:szCs w:val="32"/>
        </w:rPr>
        <w:t>100</w:t>
      </w:r>
      <w:r>
        <w:rPr>
          <w:rFonts w:ascii="仿宋_GB2312" w:eastAsia="仿宋_GB2312" w:cs="DengXian-Regular" w:hint="eastAsia"/>
          <w:sz w:val="32"/>
          <w:szCs w:val="32"/>
        </w:rPr>
        <w:t>%。</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该指标实际得分</w:t>
      </w:r>
      <w:r>
        <w:rPr>
          <w:rFonts w:ascii="仿宋_GB2312" w:eastAsia="仿宋_GB2312" w:cs="DengXian-Regular"/>
          <w:sz w:val="32"/>
          <w:szCs w:val="32"/>
        </w:rPr>
        <w:t>4</w:t>
      </w:r>
      <w:r>
        <w:rPr>
          <w:rFonts w:ascii="仿宋_GB2312" w:eastAsia="仿宋_GB2312" w:cs="DengXian-Regular" w:hint="eastAsia"/>
          <w:sz w:val="32"/>
          <w:szCs w:val="32"/>
        </w:rPr>
        <w:t>分。</w:t>
      </w:r>
      <w:bookmarkEnd w:id="65"/>
      <w:bookmarkEnd w:id="66"/>
    </w:p>
    <w:p w:rsidR="00387237" w:rsidRDefault="00387237" w:rsidP="00387237">
      <w:pPr>
        <w:pStyle w:val="3"/>
        <w:spacing w:before="0" w:after="0"/>
        <w:ind w:firstLineChars="200" w:firstLine="643"/>
        <w:jc w:val="both"/>
        <w:rPr>
          <w:rFonts w:ascii="楷体" w:eastAsia="楷体" w:hAnsi="楷体"/>
          <w:sz w:val="32"/>
        </w:rPr>
      </w:pPr>
      <w:bookmarkStart w:id="67" w:name="_Toc12330"/>
      <w:r>
        <w:rPr>
          <w:rFonts w:ascii="楷体" w:eastAsia="楷体" w:hAnsi="楷体" w:hint="eastAsia"/>
          <w:sz w:val="32"/>
        </w:rPr>
        <w:t>（三）产出（25分）</w:t>
      </w:r>
      <w:bookmarkEnd w:id="67"/>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该一级指标包含责任履行一个二级指标，主要反映结转结余率，项目资金使用率，</w:t>
      </w:r>
      <w:r w:rsidR="00683E74" w:rsidRPr="00683E74">
        <w:rPr>
          <w:rFonts w:ascii="仿宋_GB2312" w:eastAsia="仿宋_GB2312" w:cs="DengXian-Regular" w:hint="eastAsia"/>
          <w:sz w:val="32"/>
          <w:szCs w:val="32"/>
        </w:rPr>
        <w:t>实施素质教育率</w:t>
      </w:r>
      <w:r>
        <w:rPr>
          <w:rFonts w:ascii="仿宋_GB2312" w:eastAsia="仿宋_GB2312" w:cs="DengXian-Regular" w:hint="eastAsia"/>
          <w:sz w:val="32"/>
          <w:szCs w:val="32"/>
        </w:rPr>
        <w:t>，</w:t>
      </w:r>
      <w:r w:rsidR="00683E74" w:rsidRPr="00683E74">
        <w:rPr>
          <w:rFonts w:ascii="仿宋_GB2312" w:eastAsia="仿宋_GB2312" w:cs="DengXian-Regular" w:hint="eastAsia"/>
          <w:sz w:val="32"/>
          <w:szCs w:val="32"/>
        </w:rPr>
        <w:t>教师素质提高率</w:t>
      </w:r>
      <w:r>
        <w:rPr>
          <w:rFonts w:ascii="仿宋_GB2312" w:eastAsia="仿宋_GB2312" w:cs="DengXian-Regular" w:hint="eastAsia"/>
          <w:sz w:val="32"/>
          <w:szCs w:val="32"/>
        </w:rPr>
        <w:t>，</w:t>
      </w:r>
      <w:r w:rsidR="00683E74" w:rsidRPr="00683E74">
        <w:rPr>
          <w:rFonts w:ascii="仿宋_GB2312" w:eastAsia="仿宋_GB2312" w:cs="DengXian-Regular" w:hint="eastAsia"/>
          <w:sz w:val="32"/>
          <w:szCs w:val="32"/>
        </w:rPr>
        <w:t>体育项目完成率</w:t>
      </w:r>
      <w:r>
        <w:rPr>
          <w:rFonts w:ascii="仿宋_GB2312" w:eastAsia="仿宋_GB2312" w:cs="DengXian-Regular" w:hint="eastAsia"/>
          <w:sz w:val="32"/>
          <w:szCs w:val="32"/>
        </w:rPr>
        <w:t>。</w:t>
      </w:r>
    </w:p>
    <w:p w:rsidR="00387237" w:rsidRDefault="00387237" w:rsidP="00387237">
      <w:pPr>
        <w:spacing w:after="0" w:line="360" w:lineRule="auto"/>
        <w:jc w:val="center"/>
        <w:textAlignment w:val="baseline"/>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表4  产出指标及得分情况表</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577"/>
        <w:gridCol w:w="1004"/>
        <w:gridCol w:w="2536"/>
        <w:gridCol w:w="1125"/>
        <w:gridCol w:w="853"/>
      </w:tblGrid>
      <w:tr w:rsidR="00387237" w:rsidTr="00B9710E">
        <w:trPr>
          <w:trHeight w:hRule="exact" w:val="397"/>
          <w:jc w:val="center"/>
        </w:trPr>
        <w:tc>
          <w:tcPr>
            <w:tcW w:w="1577"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一级指标</w:t>
            </w:r>
          </w:p>
        </w:tc>
        <w:tc>
          <w:tcPr>
            <w:tcW w:w="100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二级指标</w:t>
            </w: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三级指标</w:t>
            </w: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分数权重</w:t>
            </w:r>
          </w:p>
        </w:tc>
        <w:tc>
          <w:tcPr>
            <w:tcW w:w="853"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得分</w:t>
            </w:r>
          </w:p>
        </w:tc>
      </w:tr>
      <w:tr w:rsidR="00387237" w:rsidTr="00B9710E">
        <w:trPr>
          <w:trHeight w:hRule="exact" w:val="397"/>
          <w:jc w:val="center"/>
        </w:trPr>
        <w:tc>
          <w:tcPr>
            <w:tcW w:w="1577" w:type="dxa"/>
            <w:vMerge w:val="restart"/>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产出</w:t>
            </w:r>
          </w:p>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（25分）</w:t>
            </w:r>
          </w:p>
        </w:tc>
        <w:tc>
          <w:tcPr>
            <w:tcW w:w="1004" w:type="dxa"/>
            <w:vMerge w:val="restart"/>
            <w:tcBorders>
              <w:top w:val="single" w:sz="4" w:space="0" w:color="000000"/>
              <w:left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责任履行（25分）</w:t>
            </w: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结转结余率</w:t>
            </w: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c>
          <w:tcPr>
            <w:tcW w:w="853" w:type="dxa"/>
            <w:tcBorders>
              <w:top w:val="single" w:sz="4" w:space="0" w:color="000000"/>
              <w:left w:val="single" w:sz="4" w:space="0" w:color="000000"/>
              <w:bottom w:val="single" w:sz="4" w:space="0" w:color="000000"/>
              <w:right w:val="single" w:sz="4" w:space="0" w:color="000000"/>
            </w:tcBorders>
            <w:vAlign w:val="center"/>
          </w:tcPr>
          <w:p w:rsidR="00387237" w:rsidRDefault="00695708"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sz w:val="21"/>
                <w:szCs w:val="21"/>
              </w:rPr>
              <w:t>3.89</w:t>
            </w:r>
          </w:p>
        </w:tc>
      </w:tr>
      <w:tr w:rsidR="00387237" w:rsidTr="00B9710E">
        <w:trPr>
          <w:trHeight w:hRule="exact" w:val="397"/>
          <w:jc w:val="center"/>
        </w:trPr>
        <w:tc>
          <w:tcPr>
            <w:tcW w:w="1577" w:type="dxa"/>
            <w:vMerge/>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004" w:type="dxa"/>
            <w:vMerge/>
            <w:tcBorders>
              <w:left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项目资金使用率</w:t>
            </w: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c>
          <w:tcPr>
            <w:tcW w:w="853" w:type="dxa"/>
            <w:tcBorders>
              <w:top w:val="single" w:sz="4" w:space="0" w:color="000000"/>
              <w:left w:val="single" w:sz="4" w:space="0" w:color="000000"/>
              <w:bottom w:val="single" w:sz="4" w:space="0" w:color="000000"/>
              <w:right w:val="single" w:sz="4" w:space="0" w:color="000000"/>
            </w:tcBorders>
            <w:vAlign w:val="center"/>
          </w:tcPr>
          <w:p w:rsidR="00387237" w:rsidRDefault="00683E74"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r>
      <w:tr w:rsidR="00387237" w:rsidTr="00B9710E">
        <w:trPr>
          <w:trHeight w:hRule="exact" w:val="397"/>
          <w:jc w:val="center"/>
        </w:trPr>
        <w:tc>
          <w:tcPr>
            <w:tcW w:w="1577" w:type="dxa"/>
            <w:vMerge/>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004" w:type="dxa"/>
            <w:vMerge/>
            <w:tcBorders>
              <w:left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sidRPr="005835F3">
              <w:rPr>
                <w:rFonts w:asciiTheme="minorEastAsia" w:eastAsiaTheme="minorEastAsia" w:hAnsiTheme="minorEastAsia" w:cs="宋体" w:hint="eastAsia"/>
                <w:sz w:val="21"/>
                <w:szCs w:val="21"/>
              </w:rPr>
              <w:t>实施素质教育率</w:t>
            </w: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c>
          <w:tcPr>
            <w:tcW w:w="853" w:type="dxa"/>
            <w:tcBorders>
              <w:top w:val="single" w:sz="4" w:space="0" w:color="000000"/>
              <w:left w:val="single" w:sz="4" w:space="0" w:color="000000"/>
              <w:bottom w:val="single" w:sz="4" w:space="0" w:color="000000"/>
              <w:right w:val="single" w:sz="4" w:space="0" w:color="000000"/>
            </w:tcBorders>
            <w:vAlign w:val="center"/>
          </w:tcPr>
          <w:p w:rsidR="00387237" w:rsidRDefault="00683E74"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r>
      <w:tr w:rsidR="00387237" w:rsidTr="00B9710E">
        <w:trPr>
          <w:trHeight w:hRule="exact" w:val="397"/>
          <w:jc w:val="center"/>
        </w:trPr>
        <w:tc>
          <w:tcPr>
            <w:tcW w:w="1577" w:type="dxa"/>
            <w:vMerge/>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004" w:type="dxa"/>
            <w:vMerge/>
            <w:tcBorders>
              <w:left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sidRPr="005835F3">
              <w:rPr>
                <w:rFonts w:asciiTheme="minorEastAsia" w:eastAsiaTheme="minorEastAsia" w:hAnsiTheme="minorEastAsia" w:cs="宋体" w:hint="eastAsia"/>
                <w:sz w:val="21"/>
                <w:szCs w:val="21"/>
              </w:rPr>
              <w:t>教师素质提高率</w:t>
            </w: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c>
          <w:tcPr>
            <w:tcW w:w="853" w:type="dxa"/>
            <w:tcBorders>
              <w:top w:val="single" w:sz="4" w:space="0" w:color="000000"/>
              <w:left w:val="single" w:sz="4" w:space="0" w:color="000000"/>
              <w:bottom w:val="single" w:sz="4" w:space="0" w:color="000000"/>
              <w:right w:val="single" w:sz="4" w:space="0" w:color="000000"/>
            </w:tcBorders>
            <w:vAlign w:val="center"/>
          </w:tcPr>
          <w:p w:rsidR="00387237" w:rsidRDefault="00683E74"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r>
      <w:tr w:rsidR="00387237" w:rsidTr="00B9710E">
        <w:trPr>
          <w:trHeight w:hRule="exact" w:val="397"/>
          <w:jc w:val="center"/>
        </w:trPr>
        <w:tc>
          <w:tcPr>
            <w:tcW w:w="1577" w:type="dxa"/>
            <w:vMerge/>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004" w:type="dxa"/>
            <w:vMerge/>
            <w:tcBorders>
              <w:left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sidRPr="005835F3">
              <w:rPr>
                <w:rFonts w:asciiTheme="minorEastAsia" w:eastAsiaTheme="minorEastAsia" w:hAnsiTheme="minorEastAsia" w:cs="宋体" w:hint="eastAsia"/>
                <w:sz w:val="21"/>
                <w:szCs w:val="21"/>
              </w:rPr>
              <w:t>体育项目完成率</w:t>
            </w: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c>
          <w:tcPr>
            <w:tcW w:w="853" w:type="dxa"/>
            <w:tcBorders>
              <w:top w:val="single" w:sz="4" w:space="0" w:color="000000"/>
              <w:left w:val="single" w:sz="4" w:space="0" w:color="000000"/>
              <w:bottom w:val="single" w:sz="4" w:space="0" w:color="000000"/>
              <w:right w:val="single" w:sz="4" w:space="0" w:color="000000"/>
            </w:tcBorders>
            <w:vAlign w:val="center"/>
          </w:tcPr>
          <w:p w:rsidR="00387237" w:rsidRDefault="00683E74"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r>
      <w:tr w:rsidR="00387237" w:rsidTr="00B9710E">
        <w:trPr>
          <w:trHeight w:hRule="exact" w:val="397"/>
          <w:jc w:val="center"/>
        </w:trPr>
        <w:tc>
          <w:tcPr>
            <w:tcW w:w="2581" w:type="dxa"/>
            <w:gridSpan w:val="2"/>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合计</w:t>
            </w:r>
          </w:p>
        </w:tc>
        <w:tc>
          <w:tcPr>
            <w:tcW w:w="2536"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25</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237" w:rsidRDefault="00695708"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sz w:val="21"/>
                <w:szCs w:val="21"/>
              </w:rPr>
              <w:t>23.89</w:t>
            </w:r>
          </w:p>
        </w:tc>
      </w:tr>
    </w:tbl>
    <w:p w:rsidR="00387237" w:rsidRPr="00FC7ABE"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68" w:name="_Toc465149515"/>
      <w:bookmarkStart w:id="69" w:name="_Toc464638518"/>
      <w:r w:rsidRPr="00FC7ABE">
        <w:rPr>
          <w:rFonts w:ascii="仿宋_GB2312" w:eastAsia="仿宋_GB2312" w:cs="DengXian-Regular" w:hint="eastAsia"/>
          <w:sz w:val="32"/>
          <w:szCs w:val="32"/>
        </w:rPr>
        <w:t>1.结转结余率（5分）</w:t>
      </w:r>
    </w:p>
    <w:p w:rsidR="00387237" w:rsidRPr="00FC7ABE"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C7ABE">
        <w:rPr>
          <w:rFonts w:ascii="仿宋_GB2312" w:eastAsia="仿宋_GB2312" w:cs="DengXian-Regular" w:hint="eastAsia"/>
          <w:sz w:val="32"/>
          <w:szCs w:val="32"/>
        </w:rPr>
        <w:t>该指标主要评价部门的结转结余情况，通过结转结余率衡量。</w:t>
      </w:r>
    </w:p>
    <w:p w:rsidR="00387237" w:rsidRPr="00FC7ABE"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C7ABE">
        <w:rPr>
          <w:rFonts w:ascii="仿宋_GB2312" w:eastAsia="仿宋_GB2312" w:cs="DengXian-Regular" w:hint="eastAsia"/>
          <w:sz w:val="32"/>
          <w:szCs w:val="32"/>
        </w:rPr>
        <w:t>结转结余率=（本年结转结余数/决算收入数）*100%。</w:t>
      </w:r>
    </w:p>
    <w:p w:rsidR="00387237" w:rsidRPr="00FC7ABE" w:rsidRDefault="00387237"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FC7ABE">
        <w:rPr>
          <w:rFonts w:ascii="仿宋_GB2312" w:eastAsia="仿宋_GB2312" w:cs="DengXian-Regular" w:hint="eastAsia"/>
          <w:sz w:val="32"/>
          <w:szCs w:val="32"/>
        </w:rPr>
        <w:t>根据</w:t>
      </w:r>
      <w:r w:rsidR="00FC7ABE" w:rsidRPr="00FC7ABE">
        <w:rPr>
          <w:rFonts w:ascii="仿宋_GB2312" w:eastAsia="仿宋_GB2312" w:cs="DengXian-Regular" w:hint="eastAsia"/>
          <w:sz w:val="32"/>
          <w:szCs w:val="32"/>
        </w:rPr>
        <w:t>教体</w:t>
      </w:r>
      <w:r w:rsidR="00FC7ABE" w:rsidRPr="00FC7ABE">
        <w:rPr>
          <w:rFonts w:ascii="仿宋_GB2312" w:eastAsia="仿宋_GB2312" w:cs="DengXian-Regular"/>
          <w:sz w:val="32"/>
          <w:szCs w:val="32"/>
        </w:rPr>
        <w:t>局</w:t>
      </w:r>
      <w:proofErr w:type="gramEnd"/>
      <w:r w:rsidRPr="00FC7ABE">
        <w:rPr>
          <w:rFonts w:ascii="仿宋_GB2312" w:eastAsia="仿宋_GB2312" w:cs="DengXian-Regular" w:hint="eastAsia"/>
          <w:sz w:val="32"/>
          <w:szCs w:val="32"/>
        </w:rPr>
        <w:t>2019年决算文本及相关资料，</w:t>
      </w:r>
      <w:r w:rsidR="00FC7ABE" w:rsidRPr="00FC7ABE">
        <w:rPr>
          <w:rFonts w:ascii="仿宋_GB2312" w:eastAsia="仿宋_GB2312" w:cs="DengXian-Regular" w:hint="eastAsia"/>
          <w:sz w:val="32"/>
          <w:szCs w:val="32"/>
        </w:rPr>
        <w:t xml:space="preserve"> </w:t>
      </w:r>
      <w:r w:rsidRPr="00FC7ABE">
        <w:rPr>
          <w:rFonts w:ascii="仿宋_GB2312" w:eastAsia="仿宋_GB2312" w:cs="DengXian-Regular" w:hint="eastAsia"/>
          <w:sz w:val="32"/>
          <w:szCs w:val="32"/>
        </w:rPr>
        <w:t>2019年结转结余资金</w:t>
      </w:r>
      <w:r w:rsidR="00FC7ABE" w:rsidRPr="00FC7ABE">
        <w:rPr>
          <w:rFonts w:ascii="仿宋_GB2312" w:eastAsia="仿宋_GB2312" w:cs="DengXian-Regular"/>
          <w:sz w:val="32"/>
          <w:szCs w:val="32"/>
        </w:rPr>
        <w:t>9234.74</w:t>
      </w:r>
      <w:r w:rsidRPr="00FC7ABE">
        <w:rPr>
          <w:rFonts w:ascii="仿宋_GB2312" w:eastAsia="仿宋_GB2312" w:cs="DengXian-Regular" w:hint="eastAsia"/>
          <w:sz w:val="32"/>
          <w:szCs w:val="32"/>
        </w:rPr>
        <w:t>万元，决算收入</w:t>
      </w:r>
      <w:r w:rsidR="00FC7ABE" w:rsidRPr="00FC7ABE">
        <w:rPr>
          <w:rFonts w:ascii="仿宋_GB2312" w:eastAsia="仿宋_GB2312" w:cs="DengXian-Regular"/>
          <w:sz w:val="32"/>
          <w:szCs w:val="32"/>
        </w:rPr>
        <w:t>127634.07</w:t>
      </w:r>
      <w:r w:rsidRPr="00FC7ABE">
        <w:rPr>
          <w:rFonts w:ascii="仿宋_GB2312" w:eastAsia="仿宋_GB2312" w:cs="DengXian-Regular" w:hint="eastAsia"/>
          <w:sz w:val="32"/>
          <w:szCs w:val="32"/>
        </w:rPr>
        <w:t>万元，结转结余率</w:t>
      </w:r>
      <w:r w:rsidR="00FC7ABE" w:rsidRPr="00FC7ABE">
        <w:rPr>
          <w:rFonts w:ascii="仿宋_GB2312" w:eastAsia="仿宋_GB2312" w:cs="DengXian-Regular"/>
          <w:sz w:val="32"/>
          <w:szCs w:val="32"/>
        </w:rPr>
        <w:t>7.23</w:t>
      </w:r>
      <w:r w:rsidRPr="00FC7ABE">
        <w:rPr>
          <w:rFonts w:ascii="仿宋_GB2312" w:eastAsia="仿宋_GB2312" w:cs="DengXian-Regular" w:hint="eastAsia"/>
          <w:sz w:val="32"/>
          <w:szCs w:val="32"/>
        </w:rPr>
        <w:t>%，</w:t>
      </w:r>
      <w:r w:rsidR="00FC7ABE" w:rsidRPr="00FC7ABE">
        <w:rPr>
          <w:rFonts w:ascii="仿宋_GB2312" w:eastAsia="仿宋_GB2312" w:cs="DengXian-Regular" w:hint="eastAsia"/>
          <w:sz w:val="32"/>
          <w:szCs w:val="32"/>
        </w:rPr>
        <w:t>大于</w:t>
      </w:r>
      <w:r w:rsidRPr="00FC7ABE">
        <w:rPr>
          <w:rFonts w:ascii="仿宋_GB2312" w:eastAsia="仿宋_GB2312" w:cs="DengXian-Regular" w:hint="eastAsia"/>
          <w:sz w:val="32"/>
          <w:szCs w:val="32"/>
        </w:rPr>
        <w:t>5%。</w:t>
      </w:r>
    </w:p>
    <w:p w:rsidR="00387237" w:rsidRPr="00FC7ABE"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FC7ABE">
        <w:rPr>
          <w:rFonts w:ascii="仿宋_GB2312" w:eastAsia="仿宋_GB2312" w:cs="DengXian-Regular" w:hint="eastAsia"/>
          <w:sz w:val="32"/>
          <w:szCs w:val="32"/>
        </w:rPr>
        <w:t>该项指标实际得分</w:t>
      </w:r>
      <w:r w:rsidR="00FC7ABE" w:rsidRPr="00FC7ABE">
        <w:rPr>
          <w:rFonts w:ascii="仿宋_GB2312" w:eastAsia="仿宋_GB2312" w:cs="DengXian-Regular"/>
          <w:sz w:val="32"/>
          <w:szCs w:val="32"/>
        </w:rPr>
        <w:t>3.89</w:t>
      </w:r>
      <w:r w:rsidRPr="00FC7ABE">
        <w:rPr>
          <w:rFonts w:ascii="仿宋_GB2312" w:eastAsia="仿宋_GB2312" w:cs="DengXian-Regular" w:hint="eastAsia"/>
          <w:sz w:val="32"/>
          <w:szCs w:val="32"/>
        </w:rPr>
        <w:t>分。</w:t>
      </w:r>
    </w:p>
    <w:p w:rsidR="00387237" w:rsidRPr="006F319A"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6F319A">
        <w:rPr>
          <w:rFonts w:ascii="仿宋_GB2312" w:eastAsia="仿宋_GB2312" w:cs="DengXian-Regular" w:hint="eastAsia"/>
          <w:sz w:val="32"/>
          <w:szCs w:val="32"/>
        </w:rPr>
        <w:t>2.项目资金使用率（5分）</w:t>
      </w:r>
    </w:p>
    <w:p w:rsidR="00387237" w:rsidRPr="006F319A"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6F319A">
        <w:rPr>
          <w:rFonts w:ascii="仿宋_GB2312" w:eastAsia="仿宋_GB2312" w:cs="DengXian-Regular" w:hint="eastAsia"/>
          <w:sz w:val="32"/>
          <w:szCs w:val="32"/>
        </w:rPr>
        <w:lastRenderedPageBreak/>
        <w:t>该指标主要评价项目资金的使用效率，通过项目资金使用率来衡量。</w:t>
      </w:r>
    </w:p>
    <w:p w:rsidR="00387237" w:rsidRPr="006F319A"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6F319A">
        <w:rPr>
          <w:rFonts w:ascii="仿宋_GB2312" w:eastAsia="仿宋_GB2312" w:cs="DengXian-Regular" w:hint="eastAsia"/>
          <w:sz w:val="32"/>
          <w:szCs w:val="32"/>
        </w:rPr>
        <w:t>项目资金使用率=（实际支出项目资金总额/计划完整项目资金总数）*100%。</w:t>
      </w:r>
    </w:p>
    <w:p w:rsidR="00387237" w:rsidRPr="006F319A" w:rsidRDefault="006F319A" w:rsidP="00387237">
      <w:pPr>
        <w:spacing w:after="0" w:line="360" w:lineRule="auto"/>
        <w:ind w:firstLineChars="200" w:firstLine="640"/>
        <w:jc w:val="both"/>
        <w:textAlignment w:val="baseline"/>
        <w:rPr>
          <w:rFonts w:ascii="仿宋_GB2312" w:eastAsia="仿宋_GB2312" w:cs="DengXian-Regular"/>
          <w:sz w:val="32"/>
          <w:szCs w:val="32"/>
        </w:rPr>
      </w:pPr>
      <w:proofErr w:type="gramStart"/>
      <w:r w:rsidRPr="006F319A">
        <w:rPr>
          <w:rFonts w:ascii="仿宋_GB2312" w:eastAsia="仿宋_GB2312" w:cs="DengXian-Regular" w:hint="eastAsia"/>
          <w:sz w:val="32"/>
          <w:szCs w:val="32"/>
        </w:rPr>
        <w:t>教体</w:t>
      </w:r>
      <w:r w:rsidRPr="006F319A">
        <w:rPr>
          <w:rFonts w:ascii="仿宋_GB2312" w:eastAsia="仿宋_GB2312" w:cs="DengXian-Regular"/>
          <w:sz w:val="32"/>
          <w:szCs w:val="32"/>
        </w:rPr>
        <w:t>局</w:t>
      </w:r>
      <w:proofErr w:type="gramEnd"/>
      <w:r w:rsidR="00387237" w:rsidRPr="006F319A">
        <w:rPr>
          <w:rFonts w:ascii="仿宋_GB2312" w:eastAsia="仿宋_GB2312" w:cs="DengXian-Regular" w:hint="eastAsia"/>
          <w:sz w:val="32"/>
          <w:szCs w:val="32"/>
        </w:rPr>
        <w:t>2019年实际支出项目资金总额</w:t>
      </w:r>
      <w:r w:rsidRPr="006F319A">
        <w:rPr>
          <w:rFonts w:ascii="仿宋_GB2312" w:eastAsia="仿宋_GB2312" w:cs="DengXian-Regular"/>
          <w:sz w:val="32"/>
          <w:szCs w:val="32"/>
        </w:rPr>
        <w:t>26743.73</w:t>
      </w:r>
      <w:r w:rsidR="00387237" w:rsidRPr="006F319A">
        <w:rPr>
          <w:rFonts w:ascii="仿宋_GB2312" w:eastAsia="仿宋_GB2312" w:cs="DengXian-Regular" w:hint="eastAsia"/>
          <w:sz w:val="32"/>
          <w:szCs w:val="32"/>
        </w:rPr>
        <w:t>万元，年初预算共</w:t>
      </w:r>
      <w:r w:rsidRPr="006F319A">
        <w:rPr>
          <w:rFonts w:ascii="仿宋_GB2312" w:eastAsia="仿宋_GB2312" w:cs="DengXian-Regular"/>
          <w:sz w:val="32"/>
          <w:szCs w:val="32"/>
        </w:rPr>
        <w:t>130</w:t>
      </w:r>
      <w:r w:rsidR="00387237" w:rsidRPr="006F319A">
        <w:rPr>
          <w:rFonts w:ascii="仿宋_GB2312" w:eastAsia="仿宋_GB2312" w:cs="DengXian-Regular" w:hint="eastAsia"/>
          <w:sz w:val="32"/>
          <w:szCs w:val="32"/>
        </w:rPr>
        <w:t>个项目，预算数</w:t>
      </w:r>
      <w:r w:rsidRPr="006F319A">
        <w:rPr>
          <w:rFonts w:ascii="仿宋_GB2312" w:eastAsia="仿宋_GB2312" w:cs="DengXian-Regular"/>
          <w:sz w:val="32"/>
          <w:szCs w:val="32"/>
        </w:rPr>
        <w:t>21994.7</w:t>
      </w:r>
      <w:r w:rsidR="00387237" w:rsidRPr="006F319A">
        <w:rPr>
          <w:rFonts w:ascii="仿宋_GB2312" w:eastAsia="仿宋_GB2312" w:cs="DengXian-Regular" w:hint="eastAsia"/>
          <w:sz w:val="32"/>
          <w:szCs w:val="32"/>
        </w:rPr>
        <w:t>万元，年中追加项目资金</w:t>
      </w:r>
      <w:r w:rsidRPr="006F319A">
        <w:rPr>
          <w:rFonts w:ascii="仿宋_GB2312" w:eastAsia="仿宋_GB2312" w:cs="DengXian-Regular"/>
          <w:sz w:val="32"/>
          <w:szCs w:val="32"/>
        </w:rPr>
        <w:t>5589.89</w:t>
      </w:r>
      <w:r w:rsidR="00387237" w:rsidRPr="006F319A">
        <w:rPr>
          <w:rFonts w:ascii="仿宋_GB2312" w:eastAsia="仿宋_GB2312" w:cs="DengXian-Regular" w:hint="eastAsia"/>
          <w:sz w:val="32"/>
          <w:szCs w:val="32"/>
        </w:rPr>
        <w:t>万元，项目资金使用率为</w:t>
      </w:r>
      <w:r w:rsidRPr="006F319A">
        <w:rPr>
          <w:rFonts w:ascii="仿宋_GB2312" w:eastAsia="仿宋_GB2312" w:cs="DengXian-Regular"/>
          <w:sz w:val="32"/>
          <w:szCs w:val="32"/>
        </w:rPr>
        <w:t>121.59</w:t>
      </w:r>
      <w:r w:rsidR="00387237" w:rsidRPr="006F319A">
        <w:rPr>
          <w:rFonts w:ascii="仿宋_GB2312" w:eastAsia="仿宋_GB2312" w:cs="DengXian-Regular" w:hint="eastAsia"/>
          <w:sz w:val="32"/>
          <w:szCs w:val="32"/>
        </w:rPr>
        <w:t>%。</w:t>
      </w:r>
    </w:p>
    <w:p w:rsidR="00387237" w:rsidRPr="006F319A" w:rsidRDefault="00387237" w:rsidP="00387237">
      <w:pPr>
        <w:spacing w:after="0" w:line="360" w:lineRule="auto"/>
        <w:ind w:firstLineChars="200" w:firstLine="640"/>
        <w:jc w:val="both"/>
        <w:textAlignment w:val="baseline"/>
        <w:rPr>
          <w:rFonts w:ascii="仿宋_GB2312" w:eastAsia="仿宋_GB2312" w:cs="DengXian-Regular"/>
          <w:sz w:val="32"/>
          <w:szCs w:val="32"/>
        </w:rPr>
      </w:pPr>
      <w:r w:rsidRPr="006F319A">
        <w:rPr>
          <w:rFonts w:ascii="仿宋_GB2312" w:eastAsia="仿宋_GB2312" w:cs="DengXian-Regular" w:hint="eastAsia"/>
          <w:sz w:val="32"/>
          <w:szCs w:val="32"/>
        </w:rPr>
        <w:t>该指标实际得分</w:t>
      </w:r>
      <w:r w:rsidR="006F319A" w:rsidRPr="006F319A">
        <w:rPr>
          <w:rFonts w:ascii="仿宋_GB2312" w:eastAsia="仿宋_GB2312" w:cs="DengXian-Regular"/>
          <w:sz w:val="32"/>
          <w:szCs w:val="32"/>
        </w:rPr>
        <w:t>5</w:t>
      </w:r>
      <w:r w:rsidRPr="006F319A">
        <w:rPr>
          <w:rFonts w:ascii="仿宋_GB2312" w:eastAsia="仿宋_GB2312" w:cs="DengXian-Regular" w:hint="eastAsia"/>
          <w:sz w:val="32"/>
          <w:szCs w:val="32"/>
        </w:rPr>
        <w:t>分。</w:t>
      </w:r>
    </w:p>
    <w:p w:rsidR="00387237" w:rsidRDefault="00387237" w:rsidP="00387237">
      <w:pPr>
        <w:pStyle w:val="3"/>
        <w:spacing w:before="0" w:after="0"/>
        <w:ind w:firstLineChars="200" w:firstLine="643"/>
        <w:jc w:val="both"/>
        <w:rPr>
          <w:rFonts w:ascii="楷体" w:eastAsia="楷体" w:hAnsi="楷体"/>
          <w:sz w:val="32"/>
        </w:rPr>
      </w:pPr>
      <w:bookmarkStart w:id="70" w:name="_Toc28363"/>
      <w:r>
        <w:rPr>
          <w:rFonts w:ascii="楷体" w:eastAsia="楷体" w:hAnsi="楷体" w:hint="eastAsia"/>
          <w:sz w:val="32"/>
        </w:rPr>
        <w:t>（四）效果</w:t>
      </w:r>
      <w:bookmarkEnd w:id="68"/>
      <w:bookmarkEnd w:id="69"/>
      <w:r>
        <w:rPr>
          <w:rFonts w:ascii="楷体" w:eastAsia="楷体" w:hAnsi="楷体" w:hint="eastAsia"/>
          <w:sz w:val="32"/>
        </w:rPr>
        <w:t>（15分）</w:t>
      </w:r>
      <w:bookmarkEnd w:id="70"/>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71" w:name="_Toc464638520"/>
      <w:r>
        <w:rPr>
          <w:rFonts w:ascii="仿宋_GB2312" w:eastAsia="仿宋_GB2312" w:cs="DengXian-Regular" w:hint="eastAsia"/>
          <w:sz w:val="32"/>
          <w:szCs w:val="32"/>
        </w:rPr>
        <w:t>该一级指标包含履职效益一个二级指标。主要反映部门履行职责对社会发展所带来的直接或间接效益及社会公众或部门的服务对象对部门履职效果的满意程度。</w:t>
      </w:r>
    </w:p>
    <w:p w:rsidR="00387237" w:rsidRDefault="00387237" w:rsidP="00387237">
      <w:pPr>
        <w:spacing w:after="0" w:line="360" w:lineRule="auto"/>
        <w:jc w:val="center"/>
        <w:textAlignment w:val="baseline"/>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表5  效果指标及得分情况表</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468"/>
        <w:gridCol w:w="1155"/>
        <w:gridCol w:w="2130"/>
        <w:gridCol w:w="1200"/>
        <w:gridCol w:w="1045"/>
      </w:tblGrid>
      <w:tr w:rsidR="00387237" w:rsidTr="00B9710E">
        <w:trPr>
          <w:trHeight w:hRule="exact" w:val="397"/>
          <w:jc w:val="center"/>
        </w:trPr>
        <w:tc>
          <w:tcPr>
            <w:tcW w:w="1468"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一级指标</w:t>
            </w:r>
          </w:p>
        </w:tc>
        <w:tc>
          <w:tcPr>
            <w:tcW w:w="115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二级指标</w:t>
            </w:r>
          </w:p>
        </w:tc>
        <w:tc>
          <w:tcPr>
            <w:tcW w:w="213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三级指标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分数权重</w:t>
            </w:r>
          </w:p>
        </w:tc>
        <w:tc>
          <w:tcPr>
            <w:tcW w:w="104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jc w:val="center"/>
              <w:textAlignment w:val="center"/>
              <w:rPr>
                <w:rFonts w:asciiTheme="minorEastAsia" w:eastAsiaTheme="minorEastAsia" w:hAnsiTheme="minorEastAsia" w:cs="宋体"/>
                <w:b/>
                <w:color w:val="000000"/>
                <w:sz w:val="21"/>
                <w:szCs w:val="21"/>
              </w:rPr>
            </w:pPr>
            <w:r>
              <w:rPr>
                <w:rFonts w:asciiTheme="minorEastAsia" w:eastAsiaTheme="minorEastAsia" w:hAnsiTheme="minorEastAsia" w:cs="宋体" w:hint="eastAsia"/>
                <w:b/>
                <w:color w:val="000000"/>
                <w:sz w:val="21"/>
                <w:szCs w:val="21"/>
              </w:rPr>
              <w:t>得分</w:t>
            </w:r>
          </w:p>
        </w:tc>
      </w:tr>
      <w:tr w:rsidR="00387237" w:rsidTr="00B9710E">
        <w:trPr>
          <w:trHeight w:hRule="exact" w:val="397"/>
          <w:jc w:val="center"/>
        </w:trPr>
        <w:tc>
          <w:tcPr>
            <w:tcW w:w="1468" w:type="dxa"/>
            <w:vMerge w:val="restart"/>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项目效果</w:t>
            </w:r>
          </w:p>
          <w:p w:rsidR="00387237" w:rsidRDefault="00387237" w:rsidP="00B9710E">
            <w:pPr>
              <w:spacing w:after="0"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（15分）</w:t>
            </w:r>
          </w:p>
        </w:tc>
        <w:tc>
          <w:tcPr>
            <w:tcW w:w="1155" w:type="dxa"/>
            <w:vMerge w:val="restart"/>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履职效益</w:t>
            </w:r>
          </w:p>
          <w:p w:rsidR="00387237" w:rsidRDefault="00387237" w:rsidP="00B9710E">
            <w:pPr>
              <w:spacing w:after="0"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（15分）</w:t>
            </w:r>
          </w:p>
        </w:tc>
        <w:tc>
          <w:tcPr>
            <w:tcW w:w="213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部门整体效益</w:t>
            </w:r>
          </w:p>
        </w:tc>
        <w:tc>
          <w:tcPr>
            <w:tcW w:w="120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w:t>
            </w:r>
          </w:p>
        </w:tc>
        <w:tc>
          <w:tcPr>
            <w:tcW w:w="104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w:t>
            </w:r>
          </w:p>
        </w:tc>
      </w:tr>
      <w:tr w:rsidR="00387237" w:rsidTr="00B9710E">
        <w:trPr>
          <w:trHeight w:hRule="exact" w:val="397"/>
          <w:jc w:val="center"/>
        </w:trPr>
        <w:tc>
          <w:tcPr>
            <w:tcW w:w="1468" w:type="dxa"/>
            <w:vMerge/>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155" w:type="dxa"/>
            <w:vMerge/>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213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考评满意度</w:t>
            </w:r>
          </w:p>
        </w:tc>
        <w:tc>
          <w:tcPr>
            <w:tcW w:w="120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c>
          <w:tcPr>
            <w:tcW w:w="104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w:t>
            </w:r>
          </w:p>
        </w:tc>
      </w:tr>
      <w:tr w:rsidR="00387237" w:rsidTr="00B9710E">
        <w:trPr>
          <w:trHeight w:hRule="exact" w:val="397"/>
          <w:jc w:val="center"/>
        </w:trPr>
        <w:tc>
          <w:tcPr>
            <w:tcW w:w="2623" w:type="dxa"/>
            <w:gridSpan w:val="2"/>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合计</w:t>
            </w:r>
          </w:p>
        </w:tc>
        <w:tc>
          <w:tcPr>
            <w:tcW w:w="213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15</w:t>
            </w:r>
          </w:p>
        </w:tc>
        <w:tc>
          <w:tcPr>
            <w:tcW w:w="1045"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line="420" w:lineRule="exact"/>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15</w:t>
            </w:r>
          </w:p>
        </w:tc>
      </w:tr>
    </w:tbl>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bookmarkStart w:id="72" w:name="_Toc465149516"/>
      <w:bookmarkStart w:id="73" w:name="_Toc492652784"/>
      <w:bookmarkStart w:id="74" w:name="_Toc464638561"/>
      <w:bookmarkEnd w:id="71"/>
      <w:r>
        <w:rPr>
          <w:rFonts w:ascii="仿宋_GB2312" w:eastAsia="仿宋_GB2312" w:cs="DengXian-Regular" w:hint="eastAsia"/>
          <w:sz w:val="32"/>
          <w:szCs w:val="32"/>
        </w:rPr>
        <w:t>1.部门整体效益（10分）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该指标主要评价部门履行职责对社会发展所带来的直接或间接效益。</w:t>
      </w:r>
    </w:p>
    <w:p w:rsidR="00387237" w:rsidRPr="005156F0"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经查看相关资料，区</w:t>
      </w:r>
      <w:proofErr w:type="gramStart"/>
      <w:r>
        <w:rPr>
          <w:rFonts w:ascii="仿宋_GB2312" w:eastAsia="仿宋_GB2312" w:cs="DengXian-Regular" w:hint="eastAsia"/>
          <w:sz w:val="32"/>
          <w:szCs w:val="32"/>
        </w:rPr>
        <w:t>教体局履行</w:t>
      </w:r>
      <w:proofErr w:type="gramEnd"/>
      <w:r>
        <w:rPr>
          <w:rFonts w:ascii="仿宋_GB2312" w:eastAsia="仿宋_GB2312" w:cs="DengXian-Regular" w:hint="eastAsia"/>
          <w:sz w:val="32"/>
          <w:szCs w:val="32"/>
        </w:rPr>
        <w:t>职责对社会发展所带来的社会效益较显著，</w:t>
      </w:r>
      <w:r w:rsidR="005156F0" w:rsidRPr="005156F0">
        <w:rPr>
          <w:rFonts w:ascii="仿宋_GB2312" w:eastAsia="仿宋_GB2312" w:cs="DengXian-Regular" w:hint="eastAsia"/>
          <w:sz w:val="32"/>
          <w:szCs w:val="32"/>
        </w:rPr>
        <w:t>全面</w:t>
      </w:r>
      <w:r w:rsidR="005156F0" w:rsidRPr="005156F0">
        <w:rPr>
          <w:rFonts w:ascii="仿宋_GB2312" w:eastAsia="仿宋_GB2312" w:cs="DengXian-Regular"/>
          <w:sz w:val="32"/>
          <w:szCs w:val="32"/>
        </w:rPr>
        <w:t>贯彻落实了</w:t>
      </w:r>
      <w:r w:rsidR="005156F0" w:rsidRPr="005156F0">
        <w:rPr>
          <w:rFonts w:ascii="仿宋_GB2312" w:eastAsia="仿宋_GB2312" w:cs="DengXian-Regular" w:hint="eastAsia"/>
          <w:sz w:val="32"/>
          <w:szCs w:val="32"/>
        </w:rPr>
        <w:t>教育</w:t>
      </w:r>
      <w:r w:rsidR="005156F0" w:rsidRPr="005156F0">
        <w:rPr>
          <w:rFonts w:ascii="仿宋_GB2312" w:eastAsia="仿宋_GB2312" w:cs="DengXian-Regular"/>
          <w:sz w:val="32"/>
          <w:szCs w:val="32"/>
        </w:rPr>
        <w:t>和体育方针、</w:t>
      </w:r>
      <w:r w:rsidR="005156F0" w:rsidRPr="005156F0">
        <w:rPr>
          <w:rFonts w:ascii="仿宋_GB2312" w:eastAsia="仿宋_GB2312" w:cs="DengXian-Regular"/>
          <w:sz w:val="32"/>
          <w:szCs w:val="32"/>
        </w:rPr>
        <w:lastRenderedPageBreak/>
        <w:t>政策</w:t>
      </w:r>
      <w:r w:rsidRPr="005156F0">
        <w:rPr>
          <w:rFonts w:ascii="仿宋_GB2312" w:eastAsia="仿宋_GB2312" w:cs="DengXian-Regular" w:hint="eastAsia"/>
          <w:sz w:val="32"/>
          <w:szCs w:val="32"/>
        </w:rPr>
        <w:t>，</w:t>
      </w:r>
      <w:r w:rsidR="005156F0" w:rsidRPr="005156F0">
        <w:rPr>
          <w:rFonts w:ascii="仿宋_GB2312" w:eastAsia="仿宋_GB2312" w:cs="DengXian-Regular" w:hint="eastAsia"/>
          <w:sz w:val="32"/>
          <w:szCs w:val="32"/>
        </w:rPr>
        <w:t>有</w:t>
      </w:r>
      <w:r w:rsidR="005156F0" w:rsidRPr="005156F0">
        <w:rPr>
          <w:rFonts w:ascii="仿宋_GB2312" w:eastAsia="仿宋_GB2312" w:cs="DengXian-Regular"/>
          <w:sz w:val="32"/>
          <w:szCs w:val="32"/>
        </w:rPr>
        <w:t>效提高教师队伍建设，全面实施素质教育</w:t>
      </w:r>
      <w:r w:rsidR="005156F0" w:rsidRPr="005156F0">
        <w:rPr>
          <w:rFonts w:ascii="仿宋_GB2312" w:eastAsia="仿宋_GB2312" w:cs="DengXian-Regular" w:hint="eastAsia"/>
          <w:sz w:val="32"/>
          <w:szCs w:val="32"/>
        </w:rPr>
        <w:t>，</w:t>
      </w:r>
      <w:r w:rsidR="005156F0" w:rsidRPr="005156F0">
        <w:rPr>
          <w:rFonts w:ascii="仿宋_GB2312" w:eastAsia="仿宋_GB2312" w:cs="DengXian-Regular"/>
          <w:sz w:val="32"/>
          <w:szCs w:val="32"/>
        </w:rPr>
        <w:t>加强体育公共服务、促进多元体育服务体系建设</w:t>
      </w:r>
      <w:r w:rsidR="005156F0" w:rsidRPr="005156F0">
        <w:rPr>
          <w:rFonts w:ascii="仿宋_GB2312" w:eastAsia="仿宋_GB2312" w:cs="DengXian-Regular" w:hint="eastAsia"/>
          <w:sz w:val="32"/>
          <w:szCs w:val="32"/>
        </w:rPr>
        <w:t>等</w:t>
      </w:r>
      <w:r w:rsidRPr="005156F0">
        <w:rPr>
          <w:rFonts w:ascii="仿宋_GB2312" w:eastAsia="仿宋_GB2312" w:cs="DengXian-Regular" w:hint="eastAsia"/>
          <w:sz w:val="32"/>
          <w:szCs w:val="32"/>
        </w:rPr>
        <w:t>。</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该项指标实际得分</w:t>
      </w:r>
      <w:r>
        <w:rPr>
          <w:rFonts w:ascii="仿宋_GB2312" w:eastAsia="仿宋_GB2312" w:cs="DengXian-Regular"/>
          <w:sz w:val="32"/>
          <w:szCs w:val="32"/>
        </w:rPr>
        <w:t>10</w:t>
      </w:r>
      <w:r>
        <w:rPr>
          <w:rFonts w:ascii="仿宋_GB2312" w:eastAsia="仿宋_GB2312" w:cs="DengXian-Regular" w:hint="eastAsia"/>
          <w:sz w:val="32"/>
          <w:szCs w:val="32"/>
        </w:rPr>
        <w:t>分。</w:t>
      </w:r>
    </w:p>
    <w:p w:rsidR="00387237" w:rsidRDefault="00387237" w:rsidP="00387237">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2.考评满意度（5分）</w:t>
      </w:r>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该指标主要评价社会公众或部门的服务对象对部门履职效果的满意程度。</w:t>
      </w:r>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针对该指标，我们随机选取了50个调查对象进行了问卷调查，具体调查情况如下：</w:t>
      </w:r>
    </w:p>
    <w:p w:rsidR="00387237" w:rsidRDefault="00387237" w:rsidP="00387237">
      <w:pPr>
        <w:spacing w:after="0" w:line="360" w:lineRule="auto"/>
        <w:jc w:val="center"/>
        <w:textAlignment w:val="baseline"/>
        <w:rPr>
          <w:rFonts w:asciiTheme="minorEastAsia" w:eastAsiaTheme="minorEastAsia" w:hAnsiTheme="minorEastAsia" w:cstheme="minorEastAsia"/>
          <w:b/>
          <w:bCs/>
          <w:sz w:val="32"/>
          <w:szCs w:val="32"/>
          <w:u w:color="000000"/>
        </w:rPr>
      </w:pPr>
      <w:r>
        <w:rPr>
          <w:rFonts w:asciiTheme="minorEastAsia" w:eastAsiaTheme="minorEastAsia" w:hAnsiTheme="minorEastAsia" w:cstheme="minorEastAsia" w:hint="eastAsia"/>
          <w:b/>
          <w:bCs/>
          <w:sz w:val="32"/>
          <w:szCs w:val="32"/>
          <w:u w:color="000000"/>
        </w:rPr>
        <w:t>表6  服务对象满意度调查问卷汇总表</w:t>
      </w:r>
    </w:p>
    <w:p w:rsidR="00387237" w:rsidRDefault="00387237" w:rsidP="00387237">
      <w:pPr>
        <w:spacing w:after="0" w:line="540" w:lineRule="exact"/>
        <w:ind w:firstLineChars="3300" w:firstLine="6930"/>
        <w:jc w:val="both"/>
        <w:textAlignment w:val="baseline"/>
        <w:rPr>
          <w:rFonts w:ascii="仿宋_GB2312" w:eastAsia="仿宋_GB2312" w:hAnsiTheme="minorEastAsia" w:cs="Times New Roman"/>
          <w:sz w:val="32"/>
          <w:szCs w:val="32"/>
          <w:u w:color="000000"/>
        </w:rPr>
      </w:pPr>
      <w:r>
        <w:rPr>
          <w:rFonts w:asciiTheme="minorEastAsia" w:eastAsiaTheme="minorEastAsia" w:hAnsiTheme="minorEastAsia" w:cstheme="minorEastAsia" w:hint="eastAsia"/>
          <w:sz w:val="21"/>
          <w:szCs w:val="21"/>
          <w:u w:color="000000"/>
        </w:rPr>
        <w:t>单位：人次</w:t>
      </w:r>
    </w:p>
    <w:tbl>
      <w:tblPr>
        <w:tblW w:w="7948" w:type="dxa"/>
        <w:jc w:val="center"/>
        <w:tblLayout w:type="fixed"/>
        <w:tblCellMar>
          <w:top w:w="15" w:type="dxa"/>
          <w:left w:w="15" w:type="dxa"/>
          <w:bottom w:w="15" w:type="dxa"/>
          <w:right w:w="15" w:type="dxa"/>
        </w:tblCellMar>
        <w:tblLook w:val="04A0" w:firstRow="1" w:lastRow="0" w:firstColumn="1" w:lastColumn="0" w:noHBand="0" w:noVBand="1"/>
      </w:tblPr>
      <w:tblGrid>
        <w:gridCol w:w="2834"/>
        <w:gridCol w:w="1114"/>
        <w:gridCol w:w="1134"/>
        <w:gridCol w:w="1218"/>
        <w:gridCol w:w="767"/>
        <w:gridCol w:w="881"/>
      </w:tblGrid>
      <w:tr w:rsidR="00387237" w:rsidTr="00B9710E">
        <w:trPr>
          <w:trHeight w:val="525"/>
          <w:jc w:val="center"/>
        </w:trPr>
        <w:tc>
          <w:tcPr>
            <w:tcW w:w="2834" w:type="dxa"/>
            <w:tcBorders>
              <w:top w:val="single" w:sz="4" w:space="0" w:color="auto"/>
              <w:left w:val="single" w:sz="4" w:space="0" w:color="auto"/>
              <w:bottom w:val="single" w:sz="4" w:space="0" w:color="auto"/>
              <w:right w:val="single" w:sz="4" w:space="0" w:color="auto"/>
            </w:tcBorders>
            <w:vAlign w:val="center"/>
          </w:tcPr>
          <w:p w:rsidR="00387237" w:rsidRDefault="00387237" w:rsidP="00B9710E">
            <w:pPr>
              <w:spacing w:after="0" w:line="540" w:lineRule="exact"/>
              <w:jc w:val="center"/>
              <w:textAlignment w:val="baseline"/>
              <w:rPr>
                <w:rFonts w:asciiTheme="minorEastAsia" w:eastAsiaTheme="minorEastAsia" w:hAnsiTheme="minorEastAsia" w:cs="Times New Roman"/>
                <w:b/>
                <w:bCs/>
                <w:sz w:val="21"/>
                <w:szCs w:val="21"/>
                <w:u w:color="000000"/>
              </w:rPr>
            </w:pPr>
            <w:r>
              <w:rPr>
                <w:rFonts w:asciiTheme="minorEastAsia" w:eastAsiaTheme="minorEastAsia" w:hAnsiTheme="minorEastAsia" w:cs="Times New Roman" w:hint="eastAsia"/>
                <w:b/>
                <w:bCs/>
                <w:sz w:val="21"/>
                <w:szCs w:val="21"/>
                <w:u w:color="000000"/>
              </w:rPr>
              <w:t>调查项目</w:t>
            </w:r>
          </w:p>
        </w:tc>
        <w:tc>
          <w:tcPr>
            <w:tcW w:w="1114" w:type="dxa"/>
            <w:tcBorders>
              <w:top w:val="single" w:sz="4" w:space="0" w:color="auto"/>
              <w:left w:val="single" w:sz="4" w:space="0" w:color="auto"/>
              <w:bottom w:val="single" w:sz="4" w:space="0" w:color="auto"/>
              <w:right w:val="single" w:sz="4" w:space="0" w:color="auto"/>
            </w:tcBorders>
            <w:vAlign w:val="center"/>
          </w:tcPr>
          <w:p w:rsidR="00387237" w:rsidRDefault="00387237" w:rsidP="00B9710E">
            <w:pPr>
              <w:spacing w:after="0" w:line="540" w:lineRule="exact"/>
              <w:jc w:val="center"/>
              <w:textAlignment w:val="baseline"/>
              <w:rPr>
                <w:rFonts w:asciiTheme="minorEastAsia" w:eastAsiaTheme="minorEastAsia" w:hAnsiTheme="minorEastAsia" w:cs="Times New Roman"/>
                <w:b/>
                <w:bCs/>
                <w:sz w:val="21"/>
                <w:szCs w:val="21"/>
                <w:u w:color="000000"/>
              </w:rPr>
            </w:pPr>
            <w:r>
              <w:rPr>
                <w:rFonts w:asciiTheme="minorEastAsia" w:eastAsiaTheme="minorEastAsia" w:hAnsiTheme="minorEastAsia" w:cs="Times New Roman" w:hint="eastAsia"/>
                <w:b/>
                <w:bCs/>
                <w:sz w:val="21"/>
                <w:szCs w:val="21"/>
                <w:u w:color="000000"/>
              </w:rPr>
              <w:t>满意</w:t>
            </w:r>
          </w:p>
        </w:tc>
        <w:tc>
          <w:tcPr>
            <w:tcW w:w="1134" w:type="dxa"/>
            <w:tcBorders>
              <w:top w:val="single" w:sz="4" w:space="0" w:color="auto"/>
              <w:left w:val="single" w:sz="4" w:space="0" w:color="auto"/>
              <w:bottom w:val="single" w:sz="4" w:space="0" w:color="auto"/>
              <w:right w:val="single" w:sz="4" w:space="0" w:color="auto"/>
            </w:tcBorders>
            <w:vAlign w:val="center"/>
          </w:tcPr>
          <w:p w:rsidR="00387237" w:rsidRDefault="00387237" w:rsidP="00B9710E">
            <w:pPr>
              <w:spacing w:after="0" w:line="540" w:lineRule="exact"/>
              <w:jc w:val="center"/>
              <w:textAlignment w:val="baseline"/>
              <w:rPr>
                <w:rFonts w:asciiTheme="minorEastAsia" w:eastAsiaTheme="minorEastAsia" w:hAnsiTheme="minorEastAsia" w:cs="Times New Roman"/>
                <w:b/>
                <w:bCs/>
                <w:sz w:val="21"/>
                <w:szCs w:val="21"/>
                <w:u w:color="000000"/>
              </w:rPr>
            </w:pPr>
            <w:r>
              <w:rPr>
                <w:rFonts w:asciiTheme="minorEastAsia" w:eastAsiaTheme="minorEastAsia" w:hAnsiTheme="minorEastAsia" w:cs="Times New Roman" w:hint="eastAsia"/>
                <w:b/>
                <w:bCs/>
                <w:sz w:val="21"/>
                <w:szCs w:val="21"/>
                <w:u w:color="000000"/>
              </w:rPr>
              <w:t>一般</w:t>
            </w:r>
          </w:p>
        </w:tc>
        <w:tc>
          <w:tcPr>
            <w:tcW w:w="1218" w:type="dxa"/>
            <w:tcBorders>
              <w:top w:val="single" w:sz="4" w:space="0" w:color="auto"/>
              <w:left w:val="single" w:sz="4" w:space="0" w:color="auto"/>
              <w:bottom w:val="single" w:sz="4" w:space="0" w:color="auto"/>
              <w:right w:val="single" w:sz="4" w:space="0" w:color="auto"/>
            </w:tcBorders>
            <w:vAlign w:val="center"/>
          </w:tcPr>
          <w:p w:rsidR="00387237" w:rsidRDefault="00387237" w:rsidP="00B9710E">
            <w:pPr>
              <w:spacing w:after="0" w:line="540" w:lineRule="exact"/>
              <w:jc w:val="center"/>
              <w:textAlignment w:val="baseline"/>
              <w:rPr>
                <w:rFonts w:asciiTheme="minorEastAsia" w:eastAsiaTheme="minorEastAsia" w:hAnsiTheme="minorEastAsia" w:cs="Times New Roman"/>
                <w:b/>
                <w:bCs/>
                <w:sz w:val="21"/>
                <w:szCs w:val="21"/>
                <w:u w:color="000000"/>
              </w:rPr>
            </w:pPr>
            <w:r>
              <w:rPr>
                <w:rFonts w:asciiTheme="minorEastAsia" w:eastAsiaTheme="minorEastAsia" w:hAnsiTheme="minorEastAsia" w:cs="Times New Roman" w:hint="eastAsia"/>
                <w:b/>
                <w:bCs/>
                <w:sz w:val="21"/>
                <w:szCs w:val="21"/>
                <w:u w:color="000000"/>
              </w:rPr>
              <w:t>不满意</w:t>
            </w:r>
          </w:p>
        </w:tc>
        <w:tc>
          <w:tcPr>
            <w:tcW w:w="767" w:type="dxa"/>
            <w:tcBorders>
              <w:top w:val="single" w:sz="4" w:space="0" w:color="auto"/>
              <w:left w:val="single" w:sz="4" w:space="0" w:color="auto"/>
              <w:bottom w:val="single" w:sz="4" w:space="0" w:color="auto"/>
              <w:right w:val="single" w:sz="4" w:space="0" w:color="auto"/>
            </w:tcBorders>
            <w:vAlign w:val="center"/>
          </w:tcPr>
          <w:p w:rsidR="00387237" w:rsidRDefault="00387237" w:rsidP="00B9710E">
            <w:pPr>
              <w:spacing w:after="0" w:line="540" w:lineRule="exact"/>
              <w:jc w:val="center"/>
              <w:textAlignment w:val="baseline"/>
              <w:rPr>
                <w:rFonts w:asciiTheme="minorEastAsia" w:eastAsiaTheme="minorEastAsia" w:hAnsiTheme="minorEastAsia" w:cs="Times New Roman"/>
                <w:b/>
                <w:bCs/>
                <w:sz w:val="21"/>
                <w:szCs w:val="21"/>
                <w:u w:color="000000"/>
              </w:rPr>
            </w:pPr>
            <w:r>
              <w:rPr>
                <w:rFonts w:asciiTheme="minorEastAsia" w:eastAsiaTheme="minorEastAsia" w:hAnsiTheme="minorEastAsia" w:cs="Times New Roman" w:hint="eastAsia"/>
                <w:b/>
                <w:bCs/>
                <w:sz w:val="21"/>
                <w:szCs w:val="21"/>
                <w:u w:color="000000"/>
              </w:rPr>
              <w:t>合计</w:t>
            </w:r>
          </w:p>
        </w:tc>
        <w:tc>
          <w:tcPr>
            <w:tcW w:w="881" w:type="dxa"/>
            <w:tcBorders>
              <w:top w:val="single" w:sz="4" w:space="0" w:color="auto"/>
              <w:left w:val="single" w:sz="4" w:space="0" w:color="auto"/>
              <w:bottom w:val="single" w:sz="4" w:space="0" w:color="auto"/>
              <w:right w:val="single" w:sz="4" w:space="0" w:color="auto"/>
            </w:tcBorders>
            <w:vAlign w:val="center"/>
          </w:tcPr>
          <w:p w:rsidR="00387237" w:rsidRDefault="00387237" w:rsidP="00B9710E">
            <w:pPr>
              <w:spacing w:after="0" w:line="540" w:lineRule="exact"/>
              <w:jc w:val="center"/>
              <w:textAlignment w:val="baseline"/>
              <w:rPr>
                <w:rFonts w:asciiTheme="minorEastAsia" w:eastAsiaTheme="minorEastAsia" w:hAnsiTheme="minorEastAsia" w:cs="Times New Roman"/>
                <w:b/>
                <w:bCs/>
                <w:sz w:val="21"/>
                <w:szCs w:val="21"/>
                <w:u w:color="000000"/>
              </w:rPr>
            </w:pPr>
            <w:r>
              <w:rPr>
                <w:rFonts w:asciiTheme="minorEastAsia" w:eastAsiaTheme="minorEastAsia" w:hAnsiTheme="minorEastAsia" w:cs="Times New Roman" w:hint="eastAsia"/>
                <w:b/>
                <w:bCs/>
                <w:sz w:val="21"/>
                <w:szCs w:val="21"/>
                <w:u w:color="000000"/>
              </w:rPr>
              <w:t>单项得分</w:t>
            </w:r>
          </w:p>
        </w:tc>
      </w:tr>
      <w:tr w:rsidR="00387237" w:rsidTr="00B9710E">
        <w:trPr>
          <w:trHeight w:val="590"/>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both"/>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hint="eastAsia"/>
                <w:sz w:val="21"/>
                <w:szCs w:val="21"/>
                <w:u w:color="000000"/>
              </w:rPr>
              <w:t>某项具体工作</w:t>
            </w:r>
          </w:p>
        </w:tc>
        <w:tc>
          <w:tcPr>
            <w:tcW w:w="111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0</w:t>
            </w:r>
          </w:p>
        </w:tc>
        <w:tc>
          <w:tcPr>
            <w:tcW w:w="1218"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0</w:t>
            </w:r>
          </w:p>
        </w:tc>
        <w:tc>
          <w:tcPr>
            <w:tcW w:w="767"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50</w:t>
            </w:r>
          </w:p>
        </w:tc>
        <w:tc>
          <w:tcPr>
            <w:tcW w:w="881"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100</w:t>
            </w:r>
          </w:p>
        </w:tc>
      </w:tr>
      <w:tr w:rsidR="00387237" w:rsidTr="00B9710E">
        <w:trPr>
          <w:trHeight w:val="510"/>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both"/>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hint="eastAsia"/>
                <w:sz w:val="21"/>
                <w:szCs w:val="21"/>
                <w:u w:color="000000"/>
              </w:rPr>
              <w:t>某项具体工作是否满意</w:t>
            </w:r>
          </w:p>
        </w:tc>
        <w:tc>
          <w:tcPr>
            <w:tcW w:w="111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0</w:t>
            </w:r>
          </w:p>
        </w:tc>
        <w:tc>
          <w:tcPr>
            <w:tcW w:w="1218"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0</w:t>
            </w:r>
          </w:p>
        </w:tc>
        <w:tc>
          <w:tcPr>
            <w:tcW w:w="767"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50</w:t>
            </w:r>
          </w:p>
        </w:tc>
        <w:tc>
          <w:tcPr>
            <w:tcW w:w="881"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100</w:t>
            </w:r>
          </w:p>
        </w:tc>
      </w:tr>
      <w:tr w:rsidR="00387237" w:rsidTr="00B9710E">
        <w:trPr>
          <w:trHeight w:val="585"/>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both"/>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hint="eastAsia"/>
                <w:sz w:val="21"/>
                <w:szCs w:val="21"/>
                <w:u w:color="000000"/>
              </w:rPr>
              <w:t>您对某项具体工作了解程度如何</w:t>
            </w:r>
          </w:p>
        </w:tc>
        <w:tc>
          <w:tcPr>
            <w:tcW w:w="111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0</w:t>
            </w:r>
          </w:p>
        </w:tc>
        <w:tc>
          <w:tcPr>
            <w:tcW w:w="1218"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0</w:t>
            </w:r>
          </w:p>
        </w:tc>
        <w:tc>
          <w:tcPr>
            <w:tcW w:w="767"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50</w:t>
            </w:r>
          </w:p>
        </w:tc>
        <w:tc>
          <w:tcPr>
            <w:tcW w:w="881" w:type="dxa"/>
            <w:tcBorders>
              <w:top w:val="single" w:sz="4" w:space="0" w:color="000000"/>
              <w:left w:val="single" w:sz="4" w:space="0" w:color="000000"/>
              <w:bottom w:val="single" w:sz="4" w:space="0" w:color="000000"/>
              <w:right w:val="single" w:sz="4" w:space="0" w:color="000000"/>
            </w:tcBorders>
            <w:vAlign w:val="center"/>
          </w:tcPr>
          <w:p w:rsidR="00387237" w:rsidRDefault="00387237" w:rsidP="00B9710E">
            <w:pPr>
              <w:spacing w:after="0" w:line="360" w:lineRule="auto"/>
              <w:jc w:val="center"/>
              <w:textAlignment w:val="baseline"/>
              <w:rPr>
                <w:rFonts w:asciiTheme="minorEastAsia" w:eastAsiaTheme="minorEastAsia" w:hAnsiTheme="minorEastAsia" w:cs="Times New Roman"/>
                <w:sz w:val="21"/>
                <w:szCs w:val="21"/>
                <w:u w:color="000000"/>
              </w:rPr>
            </w:pPr>
            <w:r>
              <w:rPr>
                <w:rFonts w:asciiTheme="minorEastAsia" w:eastAsiaTheme="minorEastAsia" w:hAnsiTheme="minorEastAsia" w:cs="Times New Roman"/>
                <w:sz w:val="21"/>
                <w:szCs w:val="21"/>
                <w:u w:color="000000"/>
              </w:rPr>
              <w:t>100</w:t>
            </w:r>
          </w:p>
        </w:tc>
      </w:tr>
    </w:tbl>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调查问卷共分为3个单项，每个单项满分为100分。其中：每一单项满分为100分：满意为100分，一般为50分，不满意为0分。</w:t>
      </w:r>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单项满意度得分=总分数/总人数</w:t>
      </w:r>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总体满意度得分=∑1/3</w:t>
      </w:r>
      <w:proofErr w:type="gramStart"/>
      <w:r>
        <w:rPr>
          <w:rFonts w:ascii="仿宋_GB2312" w:eastAsia="仿宋_GB2312" w:hAnsiTheme="minorEastAsia" w:cs="Times New Roman" w:hint="eastAsia"/>
          <w:sz w:val="32"/>
          <w:szCs w:val="32"/>
          <w:u w:color="000000"/>
        </w:rPr>
        <w:t>各</w:t>
      </w:r>
      <w:proofErr w:type="gramEnd"/>
      <w:r>
        <w:rPr>
          <w:rFonts w:ascii="仿宋_GB2312" w:eastAsia="仿宋_GB2312" w:hAnsiTheme="minorEastAsia" w:cs="Times New Roman" w:hint="eastAsia"/>
          <w:sz w:val="32"/>
          <w:szCs w:val="32"/>
          <w:u w:color="000000"/>
        </w:rPr>
        <w:t>单项满意度得分</w:t>
      </w:r>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经计算，总体得分为</w:t>
      </w:r>
      <w:r>
        <w:rPr>
          <w:rFonts w:ascii="仿宋_GB2312" w:eastAsia="仿宋_GB2312" w:hAnsiTheme="minorEastAsia" w:cs="Times New Roman"/>
          <w:sz w:val="32"/>
          <w:szCs w:val="32"/>
          <w:u w:color="000000"/>
        </w:rPr>
        <w:t>100</w:t>
      </w:r>
      <w:r>
        <w:rPr>
          <w:rFonts w:ascii="仿宋_GB2312" w:eastAsia="仿宋_GB2312" w:hAnsiTheme="minorEastAsia" w:cs="Times New Roman" w:hint="eastAsia"/>
          <w:sz w:val="32"/>
          <w:szCs w:val="32"/>
          <w:u w:color="000000"/>
        </w:rPr>
        <w:t>分，小于(大于）90分，评价等级为“优”。</w:t>
      </w:r>
    </w:p>
    <w:p w:rsidR="00387237" w:rsidRDefault="00387237" w:rsidP="00387237">
      <w:pPr>
        <w:spacing w:after="0" w:line="360" w:lineRule="auto"/>
        <w:ind w:firstLineChars="200" w:firstLine="640"/>
        <w:jc w:val="both"/>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该指标实际得分</w:t>
      </w:r>
      <w:r>
        <w:rPr>
          <w:rFonts w:ascii="仿宋_GB2312" w:eastAsia="仿宋_GB2312" w:hAnsiTheme="minorEastAsia" w:cs="Times New Roman"/>
          <w:sz w:val="32"/>
          <w:szCs w:val="32"/>
          <w:u w:color="000000"/>
        </w:rPr>
        <w:t>5</w:t>
      </w:r>
      <w:r>
        <w:rPr>
          <w:rFonts w:ascii="仿宋_GB2312" w:eastAsia="仿宋_GB2312" w:hAnsiTheme="minorEastAsia" w:cs="Times New Roman" w:hint="eastAsia"/>
          <w:sz w:val="32"/>
          <w:szCs w:val="32"/>
          <w:u w:color="000000"/>
        </w:rPr>
        <w:t>分。</w:t>
      </w:r>
    </w:p>
    <w:p w:rsidR="00387237" w:rsidRDefault="00387237" w:rsidP="00387237">
      <w:pPr>
        <w:pStyle w:val="2"/>
        <w:keepNext w:val="0"/>
        <w:keepLines w:val="0"/>
        <w:suppressLineNumbers/>
        <w:spacing w:before="0" w:after="0" w:line="360" w:lineRule="auto"/>
        <w:ind w:firstLineChars="200" w:firstLine="643"/>
        <w:rPr>
          <w:rFonts w:ascii="黑体"/>
        </w:rPr>
      </w:pPr>
      <w:bookmarkStart w:id="75" w:name="_Toc13757"/>
      <w:r>
        <w:rPr>
          <w:rFonts w:ascii="黑体" w:hint="eastAsia"/>
        </w:rPr>
        <w:lastRenderedPageBreak/>
        <w:t>五、绩效评价发现的问题</w:t>
      </w:r>
      <w:bookmarkStart w:id="76" w:name="_Toc492652789"/>
      <w:bookmarkEnd w:id="72"/>
      <w:bookmarkEnd w:id="73"/>
      <w:bookmarkEnd w:id="74"/>
      <w:bookmarkEnd w:id="75"/>
      <w:r w:rsidR="00086B15">
        <w:rPr>
          <w:rFonts w:ascii="黑体" w:hint="eastAsia"/>
        </w:rPr>
        <w:t>及</w:t>
      </w:r>
      <w:r w:rsidR="00086B15">
        <w:rPr>
          <w:rFonts w:ascii="黑体"/>
        </w:rPr>
        <w:t>改进措施</w:t>
      </w:r>
    </w:p>
    <w:p w:rsidR="00387237" w:rsidRDefault="00387237" w:rsidP="00387237">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通过对各指标得分及扣分原因的分析，</w:t>
      </w:r>
      <w:proofErr w:type="gramStart"/>
      <w:r w:rsidRPr="00A979B5">
        <w:rPr>
          <w:rFonts w:ascii="仿宋_GB2312" w:eastAsia="仿宋_GB2312" w:cs="DengXian-Regular" w:hint="eastAsia"/>
          <w:sz w:val="32"/>
          <w:szCs w:val="32"/>
        </w:rPr>
        <w:t>区教体局</w:t>
      </w:r>
      <w:proofErr w:type="gramEnd"/>
      <w:r>
        <w:rPr>
          <w:rFonts w:ascii="仿宋_GB2312" w:eastAsia="仿宋_GB2312" w:hAnsiTheme="minorEastAsia" w:cs="Times New Roman" w:hint="eastAsia"/>
          <w:sz w:val="32"/>
          <w:szCs w:val="32"/>
          <w:u w:color="000000"/>
        </w:rPr>
        <w:t>2019年部门整体支出基本按相关要求执行预算、决算，完成了绩效目标，资金使用效益良好。通过评价，也发现一些不足之处，具体情况如下：</w:t>
      </w:r>
      <w:bookmarkStart w:id="77" w:name="_Toc20723"/>
    </w:p>
    <w:p w:rsidR="005B140B" w:rsidRDefault="005B140B" w:rsidP="005B140B">
      <w:pPr>
        <w:spacing w:after="0" w:line="360" w:lineRule="auto"/>
        <w:ind w:firstLineChars="200" w:firstLine="640"/>
        <w:jc w:val="both"/>
        <w:textAlignment w:val="baseline"/>
        <w:rPr>
          <w:rFonts w:ascii="仿宋_GB2312" w:eastAsia="仿宋_GB2312" w:cs="DengXian-Regular"/>
          <w:sz w:val="32"/>
          <w:szCs w:val="32"/>
        </w:rPr>
      </w:pPr>
      <w:bookmarkStart w:id="78" w:name="_Toc465149521"/>
      <w:bookmarkEnd w:id="76"/>
      <w:bookmarkEnd w:id="77"/>
      <w:r>
        <w:rPr>
          <w:rFonts w:ascii="仿宋_GB2312" w:eastAsia="仿宋_GB2312" w:cs="DengXian-Regular" w:hint="eastAsia"/>
          <w:sz w:val="32"/>
          <w:szCs w:val="32"/>
        </w:rPr>
        <w:t>1.提高预算项目</w:t>
      </w:r>
      <w:r>
        <w:rPr>
          <w:rFonts w:ascii="仿宋_GB2312" w:eastAsia="仿宋_GB2312" w:cs="DengXian-Regular"/>
          <w:sz w:val="32"/>
          <w:szCs w:val="32"/>
        </w:rPr>
        <w:t>细化率</w:t>
      </w:r>
    </w:p>
    <w:p w:rsidR="005B140B" w:rsidRDefault="005B140B" w:rsidP="005B140B">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2.项目资金使用率</w:t>
      </w:r>
    </w:p>
    <w:p w:rsidR="005B140B" w:rsidRDefault="005B140B" w:rsidP="005B140B">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3.部分基础数据信息方面</w:t>
      </w:r>
    </w:p>
    <w:p w:rsidR="00086B15" w:rsidRDefault="00086B15" w:rsidP="00086B1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针对此次绩效评价过程中发现的问题，</w:t>
      </w:r>
      <w:proofErr w:type="gramStart"/>
      <w:r>
        <w:rPr>
          <w:rFonts w:ascii="仿宋_GB2312" w:eastAsia="仿宋_GB2312" w:cs="DengXian-Regular" w:hint="eastAsia"/>
          <w:sz w:val="32"/>
          <w:szCs w:val="32"/>
        </w:rPr>
        <w:t>我部门</w:t>
      </w:r>
      <w:proofErr w:type="gramEnd"/>
      <w:r>
        <w:rPr>
          <w:rFonts w:ascii="仿宋_GB2312" w:eastAsia="仿宋_GB2312" w:cs="DengXian-Regular"/>
          <w:sz w:val="32"/>
          <w:szCs w:val="32"/>
        </w:rPr>
        <w:t>计划采取以下措施</w:t>
      </w:r>
      <w:r>
        <w:rPr>
          <w:rFonts w:ascii="仿宋_GB2312" w:eastAsia="仿宋_GB2312" w:cs="DengXian-Regular" w:hint="eastAsia"/>
          <w:sz w:val="32"/>
          <w:szCs w:val="32"/>
        </w:rPr>
        <w:t>：</w:t>
      </w:r>
    </w:p>
    <w:p w:rsidR="00086B15" w:rsidRDefault="005B140B" w:rsidP="00086B1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1</w:t>
      </w:r>
      <w:r w:rsidR="00086B15">
        <w:rPr>
          <w:rFonts w:ascii="仿宋_GB2312" w:eastAsia="仿宋_GB2312" w:cs="DengXian-Regular" w:hint="eastAsia"/>
          <w:sz w:val="32"/>
          <w:szCs w:val="32"/>
        </w:rPr>
        <w:t>.提高预算编制质量</w:t>
      </w:r>
    </w:p>
    <w:p w:rsidR="00086B15" w:rsidRDefault="00086B15" w:rsidP="00086B1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部门预算编制工作要全面反映和体现部门职责，根据具体情况及时调整预算的编制，缩小预算与决算差额，减少中期预算追加，提高预算编制质量，发挥预算约束作用。</w:t>
      </w:r>
    </w:p>
    <w:p w:rsidR="00086B15" w:rsidRDefault="005B140B" w:rsidP="00086B1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2</w:t>
      </w:r>
      <w:r w:rsidR="00086B15">
        <w:rPr>
          <w:rFonts w:ascii="仿宋_GB2312" w:eastAsia="仿宋_GB2312" w:cs="DengXian-Regular" w:hint="eastAsia"/>
          <w:sz w:val="32"/>
          <w:szCs w:val="32"/>
        </w:rPr>
        <w:t>.提高项目资金使用率</w:t>
      </w:r>
    </w:p>
    <w:p w:rsidR="00086B15" w:rsidRDefault="00086B15" w:rsidP="00086B15">
      <w:pPr>
        <w:spacing w:after="0" w:line="360" w:lineRule="auto"/>
        <w:ind w:firstLineChars="200" w:firstLine="64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加强对项目资金的梳理，督促项目进度和资金支付进度，对于按规定可以结转至下年的中央及省级项目资金，在下年的项目安排时优先考虑。</w:t>
      </w:r>
    </w:p>
    <w:p w:rsidR="00086B15" w:rsidRDefault="005B140B" w:rsidP="00086B15">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hint="eastAsia"/>
          <w:sz w:val="32"/>
          <w:szCs w:val="32"/>
        </w:rPr>
        <w:t>3</w:t>
      </w:r>
      <w:r w:rsidR="00086B15">
        <w:rPr>
          <w:rFonts w:ascii="仿宋_GB2312" w:eastAsia="仿宋_GB2312" w:cs="DengXian-Regular"/>
          <w:sz w:val="32"/>
          <w:szCs w:val="32"/>
        </w:rPr>
        <w:t>.完善基础信息管理</w:t>
      </w:r>
    </w:p>
    <w:p w:rsidR="00CA248B" w:rsidRDefault="00086B15" w:rsidP="00D07482">
      <w:pPr>
        <w:spacing w:after="0" w:line="360" w:lineRule="auto"/>
        <w:ind w:firstLineChars="200" w:firstLine="640"/>
        <w:jc w:val="both"/>
        <w:textAlignment w:val="baseline"/>
        <w:rPr>
          <w:rFonts w:ascii="仿宋_GB2312" w:eastAsia="仿宋_GB2312" w:cs="DengXian-Regular"/>
          <w:sz w:val="32"/>
          <w:szCs w:val="32"/>
        </w:rPr>
      </w:pPr>
      <w:r>
        <w:rPr>
          <w:rFonts w:ascii="仿宋_GB2312" w:eastAsia="仿宋_GB2312" w:cs="DengXian-Regular"/>
          <w:sz w:val="32"/>
          <w:szCs w:val="32"/>
        </w:rPr>
        <w:t>严格按照档案管理的相关规定对基础数据信息档案资料及时归档保存，保证项目资料的完整性和</w:t>
      </w:r>
      <w:proofErr w:type="gramStart"/>
      <w:r>
        <w:rPr>
          <w:rFonts w:ascii="仿宋_GB2312" w:eastAsia="仿宋_GB2312" w:cs="DengXian-Regular"/>
          <w:sz w:val="32"/>
          <w:szCs w:val="32"/>
        </w:rPr>
        <w:t>可</w:t>
      </w:r>
      <w:proofErr w:type="gramEnd"/>
      <w:r>
        <w:rPr>
          <w:rFonts w:ascii="仿宋_GB2312" w:eastAsia="仿宋_GB2312" w:cs="DengXian-Regular"/>
          <w:sz w:val="32"/>
          <w:szCs w:val="32"/>
        </w:rPr>
        <w:t>查阅性。</w:t>
      </w:r>
    </w:p>
    <w:p w:rsidR="006A29DD" w:rsidRPr="00D07482" w:rsidRDefault="006A29DD" w:rsidP="00D07482">
      <w:pPr>
        <w:spacing w:after="0" w:line="360" w:lineRule="auto"/>
        <w:ind w:firstLineChars="200" w:firstLine="640"/>
        <w:jc w:val="both"/>
        <w:textAlignment w:val="baseline"/>
        <w:rPr>
          <w:rFonts w:ascii="仿宋_GB2312" w:eastAsia="仿宋_GB2312" w:cs="DengXian-Regular" w:hint="eastAsia"/>
          <w:sz w:val="32"/>
          <w:szCs w:val="32"/>
        </w:rPr>
      </w:pPr>
    </w:p>
    <w:p w:rsidR="00387237" w:rsidRDefault="00086B15" w:rsidP="00086B15">
      <w:pPr>
        <w:pStyle w:val="2"/>
        <w:keepNext w:val="0"/>
        <w:keepLines w:val="0"/>
        <w:suppressLineNumbers/>
        <w:spacing w:before="0" w:after="0" w:line="360" w:lineRule="auto"/>
        <w:ind w:firstLineChars="200" w:firstLine="643"/>
        <w:rPr>
          <w:rFonts w:ascii="黑体"/>
        </w:rPr>
      </w:pPr>
      <w:r>
        <w:rPr>
          <w:rFonts w:ascii="黑体" w:hint="eastAsia"/>
        </w:rPr>
        <w:lastRenderedPageBreak/>
        <w:t>六、绩效评价</w:t>
      </w:r>
      <w:r>
        <w:rPr>
          <w:rFonts w:ascii="黑体"/>
        </w:rPr>
        <w:t>组织机构</w:t>
      </w:r>
    </w:p>
    <w:p w:rsidR="00086B15" w:rsidRPr="00894112" w:rsidRDefault="00086B15" w:rsidP="00894112">
      <w:pPr>
        <w:ind w:firstLineChars="200" w:firstLine="640"/>
        <w:rPr>
          <w:rFonts w:ascii="仿宋_GB2312" w:eastAsia="仿宋_GB2312" w:cs="DengXian-Regular"/>
          <w:sz w:val="32"/>
          <w:szCs w:val="32"/>
        </w:rPr>
      </w:pPr>
      <w:r w:rsidRPr="00894112">
        <w:rPr>
          <w:rFonts w:ascii="仿宋_GB2312" w:eastAsia="仿宋_GB2312" w:cs="DengXian-Regular" w:hint="eastAsia"/>
          <w:sz w:val="32"/>
          <w:szCs w:val="32"/>
        </w:rPr>
        <w:t>组长：</w:t>
      </w:r>
      <w:r w:rsidR="00894112" w:rsidRPr="00894112">
        <w:rPr>
          <w:rFonts w:ascii="仿宋_GB2312" w:eastAsia="仿宋_GB2312" w:cs="DengXian-Regular" w:hint="eastAsia"/>
          <w:sz w:val="32"/>
          <w:szCs w:val="32"/>
        </w:rPr>
        <w:t>杨</w:t>
      </w:r>
      <w:r w:rsidR="00894112" w:rsidRPr="00894112">
        <w:rPr>
          <w:rFonts w:ascii="仿宋_GB2312" w:eastAsia="仿宋_GB2312" w:cs="DengXian-Regular"/>
          <w:sz w:val="32"/>
          <w:szCs w:val="32"/>
        </w:rPr>
        <w:t>自群</w:t>
      </w:r>
    </w:p>
    <w:p w:rsidR="00894112" w:rsidRDefault="00894112" w:rsidP="00894112">
      <w:pPr>
        <w:ind w:firstLineChars="200" w:firstLine="640"/>
        <w:rPr>
          <w:rFonts w:ascii="仿宋_GB2312" w:eastAsia="仿宋_GB2312" w:cs="DengXian-Regular"/>
          <w:sz w:val="32"/>
          <w:szCs w:val="32"/>
        </w:rPr>
      </w:pPr>
      <w:r w:rsidRPr="00894112">
        <w:rPr>
          <w:rFonts w:ascii="仿宋_GB2312" w:eastAsia="仿宋_GB2312" w:cs="DengXian-Regular" w:hint="eastAsia"/>
          <w:sz w:val="32"/>
          <w:szCs w:val="32"/>
        </w:rPr>
        <w:t>副</w:t>
      </w:r>
      <w:r w:rsidRPr="00894112">
        <w:rPr>
          <w:rFonts w:ascii="仿宋_GB2312" w:eastAsia="仿宋_GB2312" w:cs="DengXian-Regular"/>
          <w:sz w:val="32"/>
          <w:szCs w:val="32"/>
        </w:rPr>
        <w:t>组长：贾树龙</w:t>
      </w:r>
    </w:p>
    <w:p w:rsidR="00894112" w:rsidRPr="00894112" w:rsidRDefault="00086B15" w:rsidP="00894112">
      <w:pPr>
        <w:ind w:firstLineChars="200" w:firstLine="640"/>
        <w:rPr>
          <w:rFonts w:ascii="仿宋_GB2312" w:eastAsia="仿宋_GB2312" w:cs="DengXian-Regular"/>
          <w:sz w:val="32"/>
          <w:szCs w:val="32"/>
        </w:rPr>
      </w:pPr>
      <w:r w:rsidRPr="00894112">
        <w:rPr>
          <w:rFonts w:ascii="仿宋_GB2312" w:eastAsia="仿宋_GB2312" w:cs="DengXian-Regular" w:hint="eastAsia"/>
          <w:sz w:val="32"/>
          <w:szCs w:val="32"/>
        </w:rPr>
        <w:t>组员</w:t>
      </w:r>
      <w:r w:rsidRPr="00894112">
        <w:rPr>
          <w:rFonts w:ascii="仿宋_GB2312" w:eastAsia="仿宋_GB2312" w:cs="DengXian-Regular"/>
          <w:sz w:val="32"/>
          <w:szCs w:val="32"/>
        </w:rPr>
        <w:t>：</w:t>
      </w:r>
      <w:proofErr w:type="gramStart"/>
      <w:r w:rsidR="00894112" w:rsidRPr="00894112">
        <w:rPr>
          <w:rFonts w:ascii="仿宋_GB2312" w:eastAsia="仿宋_GB2312" w:cs="DengXian-Regular"/>
          <w:sz w:val="32"/>
          <w:szCs w:val="32"/>
        </w:rPr>
        <w:t>王丽行</w:t>
      </w:r>
      <w:proofErr w:type="gramEnd"/>
      <w:r w:rsidR="00894112" w:rsidRPr="00894112">
        <w:rPr>
          <w:rFonts w:ascii="仿宋_GB2312" w:eastAsia="仿宋_GB2312" w:cs="DengXian-Regular" w:hint="eastAsia"/>
          <w:sz w:val="32"/>
          <w:szCs w:val="32"/>
        </w:rPr>
        <w:t xml:space="preserve"> 陈</w:t>
      </w:r>
      <w:r w:rsidR="00894112" w:rsidRPr="00894112">
        <w:rPr>
          <w:rFonts w:ascii="仿宋_GB2312" w:eastAsia="仿宋_GB2312" w:cs="DengXian-Regular"/>
          <w:sz w:val="32"/>
          <w:szCs w:val="32"/>
        </w:rPr>
        <w:t>波</w:t>
      </w:r>
      <w:r w:rsidR="00894112" w:rsidRPr="00894112">
        <w:rPr>
          <w:rFonts w:ascii="仿宋_GB2312" w:eastAsia="仿宋_GB2312" w:cs="DengXian-Regular" w:hint="eastAsia"/>
          <w:sz w:val="32"/>
          <w:szCs w:val="32"/>
        </w:rPr>
        <w:t xml:space="preserve"> 范</w:t>
      </w:r>
      <w:r w:rsidR="00894112" w:rsidRPr="00894112">
        <w:rPr>
          <w:rFonts w:ascii="仿宋_GB2312" w:eastAsia="仿宋_GB2312" w:cs="DengXian-Regular"/>
          <w:sz w:val="32"/>
          <w:szCs w:val="32"/>
        </w:rPr>
        <w:t>国英</w:t>
      </w:r>
      <w:r w:rsidR="00894112" w:rsidRPr="00894112">
        <w:rPr>
          <w:rFonts w:ascii="仿宋_GB2312" w:eastAsia="仿宋_GB2312" w:cs="DengXian-Regular" w:hint="eastAsia"/>
          <w:sz w:val="32"/>
          <w:szCs w:val="32"/>
        </w:rPr>
        <w:t xml:space="preserve"> </w:t>
      </w:r>
      <w:r w:rsidR="00894112" w:rsidRPr="00894112">
        <w:rPr>
          <w:rFonts w:ascii="仿宋_GB2312" w:eastAsia="仿宋_GB2312" w:cs="DengXian-Regular"/>
          <w:sz w:val="32"/>
          <w:szCs w:val="32"/>
        </w:rPr>
        <w:t xml:space="preserve"> </w:t>
      </w:r>
      <w:r w:rsidR="00894112" w:rsidRPr="00894112">
        <w:rPr>
          <w:rFonts w:ascii="仿宋_GB2312" w:eastAsia="仿宋_GB2312" w:cs="DengXian-Regular" w:hint="eastAsia"/>
          <w:sz w:val="32"/>
          <w:szCs w:val="32"/>
        </w:rPr>
        <w:t>安</w:t>
      </w:r>
      <w:r w:rsidR="00894112" w:rsidRPr="00894112">
        <w:rPr>
          <w:rFonts w:ascii="仿宋_GB2312" w:eastAsia="仿宋_GB2312" w:cs="DengXian-Regular"/>
          <w:sz w:val="32"/>
          <w:szCs w:val="32"/>
        </w:rPr>
        <w:t>国医</w:t>
      </w:r>
      <w:r w:rsidR="00894112" w:rsidRPr="00894112">
        <w:rPr>
          <w:rFonts w:ascii="仿宋_GB2312" w:eastAsia="仿宋_GB2312" w:cs="DengXian-Regular" w:hint="eastAsia"/>
          <w:sz w:val="32"/>
          <w:szCs w:val="32"/>
        </w:rPr>
        <w:t xml:space="preserve">  刘</w:t>
      </w:r>
      <w:r w:rsidR="00894112" w:rsidRPr="00894112">
        <w:rPr>
          <w:rFonts w:ascii="仿宋_GB2312" w:eastAsia="仿宋_GB2312" w:cs="DengXian-Regular"/>
          <w:sz w:val="32"/>
          <w:szCs w:val="32"/>
        </w:rPr>
        <w:t>艳</w:t>
      </w:r>
    </w:p>
    <w:p w:rsidR="00086B15" w:rsidRDefault="00086B15" w:rsidP="00387237">
      <w:pPr>
        <w:spacing w:after="0" w:line="360" w:lineRule="auto"/>
        <w:jc w:val="both"/>
        <w:textAlignment w:val="baseline"/>
      </w:pPr>
    </w:p>
    <w:p w:rsidR="000A7F2D" w:rsidRPr="00894112" w:rsidRDefault="000A7F2D" w:rsidP="00387237">
      <w:pPr>
        <w:spacing w:after="0" w:line="360" w:lineRule="auto"/>
        <w:jc w:val="both"/>
        <w:textAlignment w:val="baseline"/>
        <w:rPr>
          <w:rFonts w:ascii="仿宋_GB2312" w:eastAsia="仿宋_GB2312" w:hAnsiTheme="minorEastAsia" w:cs="Times New Roman"/>
          <w:sz w:val="32"/>
          <w:szCs w:val="32"/>
          <w:u w:color="000000"/>
        </w:rPr>
      </w:pPr>
    </w:p>
    <w:p w:rsidR="00086B15" w:rsidRDefault="00086B15" w:rsidP="00387237">
      <w:pPr>
        <w:spacing w:after="0" w:line="360" w:lineRule="auto"/>
        <w:jc w:val="both"/>
        <w:textAlignment w:val="baseline"/>
        <w:rPr>
          <w:rFonts w:ascii="仿宋_GB2312" w:eastAsia="仿宋_GB2312" w:hAnsiTheme="minorEastAsia" w:cs="Times New Roman"/>
          <w:sz w:val="32"/>
          <w:szCs w:val="32"/>
          <w:u w:color="000000"/>
        </w:rPr>
      </w:pPr>
    </w:p>
    <w:p w:rsidR="00387237" w:rsidRDefault="00387237" w:rsidP="00387237">
      <w:pPr>
        <w:spacing w:after="0" w:line="360" w:lineRule="auto"/>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附件：1.保定市徐水</w:t>
      </w:r>
      <w:r>
        <w:rPr>
          <w:rFonts w:ascii="仿宋_GB2312" w:eastAsia="仿宋_GB2312" w:cs="DengXian-Regular" w:hint="eastAsia"/>
          <w:sz w:val="32"/>
          <w:szCs w:val="32"/>
        </w:rPr>
        <w:t>区</w:t>
      </w:r>
      <w:r w:rsidR="00034DC2">
        <w:rPr>
          <w:rFonts w:ascii="仿宋_GB2312" w:eastAsia="仿宋_GB2312" w:cs="DengXian-Regular" w:hint="eastAsia"/>
          <w:sz w:val="32"/>
          <w:szCs w:val="32"/>
        </w:rPr>
        <w:t>教育</w:t>
      </w:r>
      <w:r w:rsidR="00034DC2">
        <w:rPr>
          <w:rFonts w:ascii="仿宋_GB2312" w:eastAsia="仿宋_GB2312" w:cs="DengXian-Regular"/>
          <w:sz w:val="32"/>
          <w:szCs w:val="32"/>
        </w:rPr>
        <w:t>和体育局</w:t>
      </w:r>
      <w:r>
        <w:rPr>
          <w:rFonts w:ascii="仿宋_GB2312" w:eastAsia="仿宋_GB2312" w:hAnsiTheme="minorEastAsia" w:cs="Times New Roman" w:hint="eastAsia"/>
          <w:sz w:val="32"/>
          <w:szCs w:val="32"/>
          <w:u w:color="000000"/>
        </w:rPr>
        <w:t>部</w:t>
      </w:r>
      <w:proofErr w:type="gramStart"/>
      <w:r>
        <w:rPr>
          <w:rFonts w:ascii="仿宋_GB2312" w:eastAsia="仿宋_GB2312" w:hAnsiTheme="minorEastAsia" w:cs="Times New Roman" w:hint="eastAsia"/>
          <w:sz w:val="32"/>
          <w:szCs w:val="32"/>
          <w:u w:color="000000"/>
        </w:rPr>
        <w:t>门基本</w:t>
      </w:r>
      <w:proofErr w:type="gramEnd"/>
      <w:r>
        <w:rPr>
          <w:rFonts w:ascii="仿宋_GB2312" w:eastAsia="仿宋_GB2312" w:hAnsiTheme="minorEastAsia" w:cs="Times New Roman" w:hint="eastAsia"/>
          <w:sz w:val="32"/>
          <w:szCs w:val="32"/>
          <w:u w:color="000000"/>
        </w:rPr>
        <w:t>情况及主要职责</w:t>
      </w:r>
    </w:p>
    <w:p w:rsidR="00387237" w:rsidRDefault="00387237" w:rsidP="00387237">
      <w:pPr>
        <w:spacing w:after="0" w:line="540" w:lineRule="exact"/>
        <w:ind w:firstLineChars="300" w:firstLine="960"/>
        <w:jc w:val="both"/>
        <w:textAlignment w:val="baseline"/>
        <w:rPr>
          <w:rFonts w:ascii="仿宋_GB2312" w:eastAsia="仿宋_GB2312" w:hAnsiTheme="minorEastAsia" w:cs="Times New Roman"/>
          <w:sz w:val="32"/>
          <w:szCs w:val="32"/>
          <w:u w:color="000000"/>
        </w:rPr>
      </w:pPr>
      <w:r>
        <w:rPr>
          <w:rFonts w:ascii="仿宋_GB2312" w:eastAsia="仿宋_GB2312" w:hAnsiTheme="minorEastAsia" w:cs="Times New Roman" w:hint="eastAsia"/>
          <w:sz w:val="32"/>
          <w:szCs w:val="32"/>
          <w:u w:color="000000"/>
        </w:rPr>
        <w:t>2.2019年度保定市徐水区</w:t>
      </w:r>
      <w:r w:rsidR="00034DC2">
        <w:rPr>
          <w:rFonts w:ascii="仿宋_GB2312" w:eastAsia="仿宋_GB2312" w:cs="DengXian-Regular" w:hint="eastAsia"/>
          <w:sz w:val="32"/>
          <w:szCs w:val="32"/>
        </w:rPr>
        <w:t>教育和</w:t>
      </w:r>
      <w:r w:rsidR="00034DC2">
        <w:rPr>
          <w:rFonts w:ascii="仿宋_GB2312" w:eastAsia="仿宋_GB2312" w:cs="DengXian-Regular"/>
          <w:sz w:val="32"/>
          <w:szCs w:val="32"/>
        </w:rPr>
        <w:t>体育局</w:t>
      </w:r>
      <w:r>
        <w:rPr>
          <w:rFonts w:ascii="仿宋_GB2312" w:eastAsia="仿宋_GB2312" w:hAnsiTheme="minorEastAsia" w:cs="Times New Roman" w:hint="eastAsia"/>
          <w:sz w:val="32"/>
          <w:szCs w:val="32"/>
          <w:u w:color="000000"/>
        </w:rPr>
        <w:t>收支预算及决算明细表</w:t>
      </w:r>
    </w:p>
    <w:p w:rsidR="00387237" w:rsidRDefault="00387237" w:rsidP="00387237">
      <w:pPr>
        <w:spacing w:after="0" w:line="540" w:lineRule="exact"/>
        <w:ind w:firstLineChars="300" w:firstLine="960"/>
        <w:jc w:val="both"/>
        <w:textAlignment w:val="baseline"/>
        <w:rPr>
          <w:rFonts w:ascii="仿宋_GB2312" w:eastAsia="仿宋_GB2312" w:hAnsiTheme="minorEastAsia" w:cs="Times New Roman"/>
          <w:sz w:val="32"/>
          <w:szCs w:val="32"/>
          <w:u w:color="000000"/>
        </w:rPr>
      </w:pPr>
      <w:bookmarkStart w:id="79" w:name="_Toc465149534"/>
      <w:r>
        <w:rPr>
          <w:rFonts w:ascii="仿宋_GB2312" w:eastAsia="仿宋_GB2312" w:hAnsiTheme="minorEastAsia" w:cs="Times New Roman" w:hint="eastAsia"/>
          <w:sz w:val="32"/>
          <w:szCs w:val="32"/>
          <w:u w:color="000000"/>
        </w:rPr>
        <w:t>3.</w:t>
      </w:r>
      <w:bookmarkEnd w:id="79"/>
      <w:r>
        <w:rPr>
          <w:rFonts w:ascii="仿宋_GB2312" w:eastAsia="仿宋_GB2312" w:hAnsiTheme="minorEastAsia" w:cs="Times New Roman" w:hint="eastAsia"/>
          <w:sz w:val="32"/>
          <w:szCs w:val="32"/>
          <w:u w:color="000000"/>
        </w:rPr>
        <w:t>部门整体支出绩效评价指标体系</w:t>
      </w:r>
    </w:p>
    <w:p w:rsidR="00852C43" w:rsidRPr="00F65633" w:rsidRDefault="00387237" w:rsidP="00F65633">
      <w:pPr>
        <w:spacing w:after="0" w:line="540" w:lineRule="exact"/>
        <w:ind w:firstLineChars="300" w:firstLine="960"/>
        <w:jc w:val="both"/>
        <w:textAlignment w:val="baseline"/>
        <w:rPr>
          <w:rFonts w:ascii="仿宋_GB2312" w:eastAsia="仿宋_GB2312" w:hAnsiTheme="minorEastAsia" w:cs="Times New Roman"/>
          <w:sz w:val="32"/>
          <w:szCs w:val="32"/>
          <w:u w:color="000000"/>
        </w:rPr>
      </w:pPr>
      <w:bookmarkStart w:id="80" w:name="_Toc465149544"/>
      <w:r>
        <w:rPr>
          <w:rFonts w:ascii="仿宋_GB2312" w:eastAsia="仿宋_GB2312" w:hAnsiTheme="minorEastAsia" w:cs="Times New Roman" w:hint="eastAsia"/>
          <w:sz w:val="32"/>
          <w:szCs w:val="32"/>
          <w:u w:color="000000"/>
        </w:rPr>
        <w:t>4.</w:t>
      </w:r>
      <w:bookmarkEnd w:id="80"/>
      <w:r>
        <w:rPr>
          <w:rFonts w:ascii="仿宋_GB2312" w:eastAsia="仿宋_GB2312" w:hAnsiTheme="minorEastAsia" w:cs="Times New Roman" w:hint="eastAsia"/>
          <w:sz w:val="32"/>
          <w:szCs w:val="32"/>
          <w:u w:color="000000"/>
        </w:rPr>
        <w:t>2019年徐水区</w:t>
      </w:r>
      <w:r w:rsidR="00034DC2">
        <w:rPr>
          <w:rFonts w:ascii="仿宋_GB2312" w:eastAsia="仿宋_GB2312" w:cs="DengXian-Regular" w:hint="eastAsia"/>
          <w:sz w:val="32"/>
          <w:szCs w:val="32"/>
        </w:rPr>
        <w:t>教育和</w:t>
      </w:r>
      <w:r w:rsidR="00034DC2">
        <w:rPr>
          <w:rFonts w:ascii="仿宋_GB2312" w:eastAsia="仿宋_GB2312" w:cs="DengXian-Regular"/>
          <w:sz w:val="32"/>
          <w:szCs w:val="32"/>
        </w:rPr>
        <w:t>体育局</w:t>
      </w:r>
      <w:r>
        <w:rPr>
          <w:rFonts w:ascii="仿宋_GB2312" w:eastAsia="仿宋_GB2312" w:hAnsiTheme="minorEastAsia" w:cs="Times New Roman" w:hint="eastAsia"/>
          <w:sz w:val="32"/>
          <w:szCs w:val="32"/>
          <w:u w:color="000000"/>
        </w:rPr>
        <w:t>工作活动绩效目标、绩效指标一览表</w:t>
      </w:r>
      <w:bookmarkEnd w:id="78"/>
    </w:p>
    <w:sectPr w:rsidR="00852C43" w:rsidRPr="00F65633" w:rsidSect="00852C43">
      <w:footerReference w:type="default" r:id="rId14"/>
      <w:pgSz w:w="11906" w:h="16838"/>
      <w:pgMar w:top="1440" w:right="1797" w:bottom="1191" w:left="179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659" w:rsidRDefault="007C0659" w:rsidP="00852C43">
      <w:pPr>
        <w:spacing w:after="0"/>
      </w:pPr>
      <w:r>
        <w:separator/>
      </w:r>
    </w:p>
  </w:endnote>
  <w:endnote w:type="continuationSeparator" w:id="0">
    <w:p w:rsidR="007C0659" w:rsidRDefault="007C0659" w:rsidP="00852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DengXian-Regular">
    <w:altName w:val="宋体"/>
    <w:charset w:val="86"/>
    <w:family w:val="auto"/>
    <w:pitch w:val="default"/>
    <w:sig w:usb0="00000000" w:usb1="00000000" w:usb2="0000001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14B" w:rsidRDefault="00ED714B">
    <w:pPr>
      <w:pStyle w:val="a8"/>
      <w:jc w:val="center"/>
    </w:pPr>
  </w:p>
  <w:p w:rsidR="00ED714B" w:rsidRDefault="00ED714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14B" w:rsidRDefault="00ED714B">
    <w:pPr>
      <w:pStyle w:val="a8"/>
      <w:jc w:val="center"/>
    </w:pPr>
    <w:r>
      <w:fldChar w:fldCharType="begin"/>
    </w:r>
    <w:r>
      <w:instrText xml:space="preserve"> PAGE   \* MERGEFORMAT </w:instrText>
    </w:r>
    <w:r>
      <w:fldChar w:fldCharType="separate"/>
    </w:r>
    <w:r w:rsidR="003B0F4A" w:rsidRPr="003B0F4A">
      <w:rPr>
        <w:noProof/>
        <w:lang w:val="zh-CN"/>
      </w:rPr>
      <w:t>19</w:t>
    </w:r>
    <w:r>
      <w:rPr>
        <w:lang w:val="zh-CN"/>
      </w:rPr>
      <w:fldChar w:fldCharType="end"/>
    </w:r>
  </w:p>
  <w:p w:rsidR="00ED714B" w:rsidRDefault="00ED714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659" w:rsidRDefault="007C0659" w:rsidP="00852C43">
      <w:pPr>
        <w:spacing w:after="0"/>
      </w:pPr>
      <w:r>
        <w:separator/>
      </w:r>
    </w:p>
  </w:footnote>
  <w:footnote w:type="continuationSeparator" w:id="0">
    <w:p w:rsidR="007C0659" w:rsidRDefault="007C0659" w:rsidP="00852C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5B78E3"/>
    <w:multiLevelType w:val="hybridMultilevel"/>
    <w:tmpl w:val="784C7846"/>
    <w:lvl w:ilvl="0" w:tplc="EE2A63B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0240"/>
    <w:rsid w:val="00004179"/>
    <w:rsid w:val="0000439F"/>
    <w:rsid w:val="00007CA0"/>
    <w:rsid w:val="00015C39"/>
    <w:rsid w:val="000174D3"/>
    <w:rsid w:val="000239E0"/>
    <w:rsid w:val="0002415F"/>
    <w:rsid w:val="00025620"/>
    <w:rsid w:val="00026896"/>
    <w:rsid w:val="0002705B"/>
    <w:rsid w:val="000317D7"/>
    <w:rsid w:val="00031E56"/>
    <w:rsid w:val="00032B03"/>
    <w:rsid w:val="000334C2"/>
    <w:rsid w:val="0003450B"/>
    <w:rsid w:val="0003465E"/>
    <w:rsid w:val="00034910"/>
    <w:rsid w:val="00034DC2"/>
    <w:rsid w:val="0003506D"/>
    <w:rsid w:val="000409C0"/>
    <w:rsid w:val="0004123E"/>
    <w:rsid w:val="00044599"/>
    <w:rsid w:val="000446E5"/>
    <w:rsid w:val="00044A25"/>
    <w:rsid w:val="00047D7B"/>
    <w:rsid w:val="000509B6"/>
    <w:rsid w:val="00050A62"/>
    <w:rsid w:val="000516BA"/>
    <w:rsid w:val="00051DBC"/>
    <w:rsid w:val="00052010"/>
    <w:rsid w:val="00052CD5"/>
    <w:rsid w:val="00056E24"/>
    <w:rsid w:val="00061096"/>
    <w:rsid w:val="000612A2"/>
    <w:rsid w:val="00063117"/>
    <w:rsid w:val="0006579B"/>
    <w:rsid w:val="0006738D"/>
    <w:rsid w:val="00072BF5"/>
    <w:rsid w:val="000752C6"/>
    <w:rsid w:val="00075B78"/>
    <w:rsid w:val="00077648"/>
    <w:rsid w:val="00080E48"/>
    <w:rsid w:val="00081719"/>
    <w:rsid w:val="000858A5"/>
    <w:rsid w:val="00086B15"/>
    <w:rsid w:val="00091D50"/>
    <w:rsid w:val="00092E3A"/>
    <w:rsid w:val="000935D5"/>
    <w:rsid w:val="0009618D"/>
    <w:rsid w:val="00096195"/>
    <w:rsid w:val="0009756F"/>
    <w:rsid w:val="000A09D1"/>
    <w:rsid w:val="000A1F67"/>
    <w:rsid w:val="000A2079"/>
    <w:rsid w:val="000A5467"/>
    <w:rsid w:val="000A7F2D"/>
    <w:rsid w:val="000B09F3"/>
    <w:rsid w:val="000B0C4A"/>
    <w:rsid w:val="000B23E8"/>
    <w:rsid w:val="000B62FE"/>
    <w:rsid w:val="000B72BC"/>
    <w:rsid w:val="000B72FC"/>
    <w:rsid w:val="000B78D7"/>
    <w:rsid w:val="000B7C79"/>
    <w:rsid w:val="000C0B80"/>
    <w:rsid w:val="000C1EA5"/>
    <w:rsid w:val="000C52FB"/>
    <w:rsid w:val="000C55E6"/>
    <w:rsid w:val="000C6D5A"/>
    <w:rsid w:val="000D09B2"/>
    <w:rsid w:val="000D3410"/>
    <w:rsid w:val="000D7098"/>
    <w:rsid w:val="000D7C38"/>
    <w:rsid w:val="000E0902"/>
    <w:rsid w:val="000E3830"/>
    <w:rsid w:val="000F070B"/>
    <w:rsid w:val="000F3158"/>
    <w:rsid w:val="000F364D"/>
    <w:rsid w:val="000F4432"/>
    <w:rsid w:val="000F465E"/>
    <w:rsid w:val="000F5E8C"/>
    <w:rsid w:val="001000B2"/>
    <w:rsid w:val="00104C6C"/>
    <w:rsid w:val="0010560E"/>
    <w:rsid w:val="0010612A"/>
    <w:rsid w:val="00106FF7"/>
    <w:rsid w:val="00107111"/>
    <w:rsid w:val="001073D6"/>
    <w:rsid w:val="00107819"/>
    <w:rsid w:val="0011574B"/>
    <w:rsid w:val="00116132"/>
    <w:rsid w:val="00117B9C"/>
    <w:rsid w:val="00117E7D"/>
    <w:rsid w:val="00120EA6"/>
    <w:rsid w:val="00122196"/>
    <w:rsid w:val="00123964"/>
    <w:rsid w:val="0012439D"/>
    <w:rsid w:val="0012587C"/>
    <w:rsid w:val="0013591D"/>
    <w:rsid w:val="001366A1"/>
    <w:rsid w:val="00140A4C"/>
    <w:rsid w:val="00141DE8"/>
    <w:rsid w:val="00144105"/>
    <w:rsid w:val="00145B4E"/>
    <w:rsid w:val="001544E1"/>
    <w:rsid w:val="001551CE"/>
    <w:rsid w:val="00164732"/>
    <w:rsid w:val="00164FE1"/>
    <w:rsid w:val="001703D7"/>
    <w:rsid w:val="001719D0"/>
    <w:rsid w:val="00172245"/>
    <w:rsid w:val="0017403C"/>
    <w:rsid w:val="00174241"/>
    <w:rsid w:val="00176E7D"/>
    <w:rsid w:val="001804B7"/>
    <w:rsid w:val="001827F5"/>
    <w:rsid w:val="00183C43"/>
    <w:rsid w:val="00185652"/>
    <w:rsid w:val="00186089"/>
    <w:rsid w:val="00187750"/>
    <w:rsid w:val="00190292"/>
    <w:rsid w:val="0019202B"/>
    <w:rsid w:val="001926B8"/>
    <w:rsid w:val="0019341A"/>
    <w:rsid w:val="001952EC"/>
    <w:rsid w:val="00195C06"/>
    <w:rsid w:val="001970E8"/>
    <w:rsid w:val="001A0F7A"/>
    <w:rsid w:val="001A1677"/>
    <w:rsid w:val="001A5FD3"/>
    <w:rsid w:val="001B0380"/>
    <w:rsid w:val="001B04A4"/>
    <w:rsid w:val="001B30D5"/>
    <w:rsid w:val="001B382A"/>
    <w:rsid w:val="001B5C88"/>
    <w:rsid w:val="001B6CE6"/>
    <w:rsid w:val="001C046D"/>
    <w:rsid w:val="001C1412"/>
    <w:rsid w:val="001C391F"/>
    <w:rsid w:val="001C5135"/>
    <w:rsid w:val="001C6C85"/>
    <w:rsid w:val="001C796E"/>
    <w:rsid w:val="001D1367"/>
    <w:rsid w:val="001D5041"/>
    <w:rsid w:val="001D5A7C"/>
    <w:rsid w:val="001D76AA"/>
    <w:rsid w:val="001E21EA"/>
    <w:rsid w:val="001E288A"/>
    <w:rsid w:val="001E3ABB"/>
    <w:rsid w:val="001E4C24"/>
    <w:rsid w:val="001E5C43"/>
    <w:rsid w:val="001F07B6"/>
    <w:rsid w:val="001F0B92"/>
    <w:rsid w:val="001F1094"/>
    <w:rsid w:val="001F27AC"/>
    <w:rsid w:val="001F2F0E"/>
    <w:rsid w:val="001F33AA"/>
    <w:rsid w:val="001F6236"/>
    <w:rsid w:val="001F6C4C"/>
    <w:rsid w:val="00200051"/>
    <w:rsid w:val="00202D5A"/>
    <w:rsid w:val="00205F02"/>
    <w:rsid w:val="002061F2"/>
    <w:rsid w:val="00210A89"/>
    <w:rsid w:val="00211CB4"/>
    <w:rsid w:val="0021307B"/>
    <w:rsid w:val="002142B8"/>
    <w:rsid w:val="002161F4"/>
    <w:rsid w:val="00216E75"/>
    <w:rsid w:val="00221907"/>
    <w:rsid w:val="00222FA8"/>
    <w:rsid w:val="0022532A"/>
    <w:rsid w:val="00227AFB"/>
    <w:rsid w:val="00235741"/>
    <w:rsid w:val="00236B18"/>
    <w:rsid w:val="002401EA"/>
    <w:rsid w:val="00241B9D"/>
    <w:rsid w:val="002439D4"/>
    <w:rsid w:val="00245CB2"/>
    <w:rsid w:val="00246A44"/>
    <w:rsid w:val="00250BAC"/>
    <w:rsid w:val="00260245"/>
    <w:rsid w:val="0026252A"/>
    <w:rsid w:val="00262BB1"/>
    <w:rsid w:val="00263D3A"/>
    <w:rsid w:val="002643BE"/>
    <w:rsid w:val="00265325"/>
    <w:rsid w:val="00266E84"/>
    <w:rsid w:val="002715FC"/>
    <w:rsid w:val="002736FD"/>
    <w:rsid w:val="00274CFA"/>
    <w:rsid w:val="00275677"/>
    <w:rsid w:val="00275A3F"/>
    <w:rsid w:val="0028068C"/>
    <w:rsid w:val="00282A89"/>
    <w:rsid w:val="00283F8F"/>
    <w:rsid w:val="002869F9"/>
    <w:rsid w:val="00292F98"/>
    <w:rsid w:val="002939A0"/>
    <w:rsid w:val="002959A3"/>
    <w:rsid w:val="0029626E"/>
    <w:rsid w:val="00296E59"/>
    <w:rsid w:val="00297CEF"/>
    <w:rsid w:val="002A0364"/>
    <w:rsid w:val="002A1661"/>
    <w:rsid w:val="002A1A25"/>
    <w:rsid w:val="002A26F8"/>
    <w:rsid w:val="002A563C"/>
    <w:rsid w:val="002B05EF"/>
    <w:rsid w:val="002B092B"/>
    <w:rsid w:val="002B2E34"/>
    <w:rsid w:val="002B76FA"/>
    <w:rsid w:val="002C029E"/>
    <w:rsid w:val="002C2C71"/>
    <w:rsid w:val="002C385B"/>
    <w:rsid w:val="002C5A65"/>
    <w:rsid w:val="002C71F3"/>
    <w:rsid w:val="002D2112"/>
    <w:rsid w:val="002D53D7"/>
    <w:rsid w:val="002D5508"/>
    <w:rsid w:val="002D5FC1"/>
    <w:rsid w:val="002D6C48"/>
    <w:rsid w:val="002D7AB3"/>
    <w:rsid w:val="002E1D3C"/>
    <w:rsid w:val="002E1F73"/>
    <w:rsid w:val="002E269D"/>
    <w:rsid w:val="002E3460"/>
    <w:rsid w:val="002E4C61"/>
    <w:rsid w:val="002E70AE"/>
    <w:rsid w:val="002E797D"/>
    <w:rsid w:val="002F0C41"/>
    <w:rsid w:val="002F5B6A"/>
    <w:rsid w:val="002F5BF5"/>
    <w:rsid w:val="002F5ECA"/>
    <w:rsid w:val="00305D0B"/>
    <w:rsid w:val="00306572"/>
    <w:rsid w:val="003079C7"/>
    <w:rsid w:val="00311AB8"/>
    <w:rsid w:val="003169F3"/>
    <w:rsid w:val="00316D20"/>
    <w:rsid w:val="0032078D"/>
    <w:rsid w:val="00321CE0"/>
    <w:rsid w:val="0032231F"/>
    <w:rsid w:val="00323B43"/>
    <w:rsid w:val="00325BCC"/>
    <w:rsid w:val="003309A3"/>
    <w:rsid w:val="003345BC"/>
    <w:rsid w:val="00340B66"/>
    <w:rsid w:val="00343662"/>
    <w:rsid w:val="0035365E"/>
    <w:rsid w:val="00355403"/>
    <w:rsid w:val="003569A8"/>
    <w:rsid w:val="00361FFF"/>
    <w:rsid w:val="00362340"/>
    <w:rsid w:val="003653A5"/>
    <w:rsid w:val="00366831"/>
    <w:rsid w:val="00366971"/>
    <w:rsid w:val="00367DF7"/>
    <w:rsid w:val="00370AFA"/>
    <w:rsid w:val="0037120F"/>
    <w:rsid w:val="0037242E"/>
    <w:rsid w:val="003724CF"/>
    <w:rsid w:val="0037429B"/>
    <w:rsid w:val="003743E9"/>
    <w:rsid w:val="0038005F"/>
    <w:rsid w:val="003803CC"/>
    <w:rsid w:val="003826F8"/>
    <w:rsid w:val="00382949"/>
    <w:rsid w:val="00387237"/>
    <w:rsid w:val="00391AE3"/>
    <w:rsid w:val="00396D4C"/>
    <w:rsid w:val="003A02BE"/>
    <w:rsid w:val="003A1765"/>
    <w:rsid w:val="003A1872"/>
    <w:rsid w:val="003A3C32"/>
    <w:rsid w:val="003A4D02"/>
    <w:rsid w:val="003A4D52"/>
    <w:rsid w:val="003A536E"/>
    <w:rsid w:val="003B0F4A"/>
    <w:rsid w:val="003B6DEC"/>
    <w:rsid w:val="003B79D3"/>
    <w:rsid w:val="003C194D"/>
    <w:rsid w:val="003C1D95"/>
    <w:rsid w:val="003C2B92"/>
    <w:rsid w:val="003D126B"/>
    <w:rsid w:val="003D1D33"/>
    <w:rsid w:val="003D22C9"/>
    <w:rsid w:val="003D2774"/>
    <w:rsid w:val="003D28AC"/>
    <w:rsid w:val="003D37D8"/>
    <w:rsid w:val="003D3BA4"/>
    <w:rsid w:val="003D7B2A"/>
    <w:rsid w:val="003E056D"/>
    <w:rsid w:val="003E266C"/>
    <w:rsid w:val="003E3C05"/>
    <w:rsid w:val="003E3CCD"/>
    <w:rsid w:val="003F15F2"/>
    <w:rsid w:val="003F282F"/>
    <w:rsid w:val="003F28B0"/>
    <w:rsid w:val="003F5060"/>
    <w:rsid w:val="003F5385"/>
    <w:rsid w:val="00400E89"/>
    <w:rsid w:val="00401AB4"/>
    <w:rsid w:val="00401BA6"/>
    <w:rsid w:val="00402CA2"/>
    <w:rsid w:val="00402D95"/>
    <w:rsid w:val="00403ADD"/>
    <w:rsid w:val="00407629"/>
    <w:rsid w:val="004108EE"/>
    <w:rsid w:val="00410F1A"/>
    <w:rsid w:val="00412A31"/>
    <w:rsid w:val="00416E6E"/>
    <w:rsid w:val="004200B9"/>
    <w:rsid w:val="00423085"/>
    <w:rsid w:val="00426133"/>
    <w:rsid w:val="004300B1"/>
    <w:rsid w:val="00430AF8"/>
    <w:rsid w:val="0043148F"/>
    <w:rsid w:val="0043354D"/>
    <w:rsid w:val="00434B98"/>
    <w:rsid w:val="00434EB0"/>
    <w:rsid w:val="004358AB"/>
    <w:rsid w:val="00435DA7"/>
    <w:rsid w:val="004370A2"/>
    <w:rsid w:val="00445C28"/>
    <w:rsid w:val="004468B5"/>
    <w:rsid w:val="00451E9F"/>
    <w:rsid w:val="004535AC"/>
    <w:rsid w:val="004551F1"/>
    <w:rsid w:val="00456648"/>
    <w:rsid w:val="00457E00"/>
    <w:rsid w:val="00461E7C"/>
    <w:rsid w:val="004639E0"/>
    <w:rsid w:val="00463A6D"/>
    <w:rsid w:val="00465A21"/>
    <w:rsid w:val="0047047F"/>
    <w:rsid w:val="00472015"/>
    <w:rsid w:val="00472C49"/>
    <w:rsid w:val="00474DE3"/>
    <w:rsid w:val="00474FA8"/>
    <w:rsid w:val="00477959"/>
    <w:rsid w:val="00486217"/>
    <w:rsid w:val="00486A56"/>
    <w:rsid w:val="00494D73"/>
    <w:rsid w:val="004A19C4"/>
    <w:rsid w:val="004A68FC"/>
    <w:rsid w:val="004A6EA4"/>
    <w:rsid w:val="004B146A"/>
    <w:rsid w:val="004B1E69"/>
    <w:rsid w:val="004B4146"/>
    <w:rsid w:val="004B5892"/>
    <w:rsid w:val="004B59DD"/>
    <w:rsid w:val="004B5E88"/>
    <w:rsid w:val="004B5EDE"/>
    <w:rsid w:val="004C0341"/>
    <w:rsid w:val="004C46D3"/>
    <w:rsid w:val="004C5D39"/>
    <w:rsid w:val="004C7656"/>
    <w:rsid w:val="004C7C48"/>
    <w:rsid w:val="004D21B9"/>
    <w:rsid w:val="004D21FF"/>
    <w:rsid w:val="004D2DD5"/>
    <w:rsid w:val="004D41F0"/>
    <w:rsid w:val="004D55F1"/>
    <w:rsid w:val="004D578A"/>
    <w:rsid w:val="004D656B"/>
    <w:rsid w:val="004D7523"/>
    <w:rsid w:val="004E058C"/>
    <w:rsid w:val="004E0AA9"/>
    <w:rsid w:val="004E147D"/>
    <w:rsid w:val="004E1AEF"/>
    <w:rsid w:val="004E3774"/>
    <w:rsid w:val="004E446B"/>
    <w:rsid w:val="004E5448"/>
    <w:rsid w:val="004E5DFC"/>
    <w:rsid w:val="004E642E"/>
    <w:rsid w:val="004E6503"/>
    <w:rsid w:val="004E7ADC"/>
    <w:rsid w:val="004F4875"/>
    <w:rsid w:val="005031BA"/>
    <w:rsid w:val="00507211"/>
    <w:rsid w:val="00507934"/>
    <w:rsid w:val="00510AC7"/>
    <w:rsid w:val="0051171B"/>
    <w:rsid w:val="00512D1D"/>
    <w:rsid w:val="005131A5"/>
    <w:rsid w:val="00515160"/>
    <w:rsid w:val="005156F0"/>
    <w:rsid w:val="00516D5A"/>
    <w:rsid w:val="005170FB"/>
    <w:rsid w:val="0051727D"/>
    <w:rsid w:val="00520467"/>
    <w:rsid w:val="0052300D"/>
    <w:rsid w:val="00523B77"/>
    <w:rsid w:val="0052474C"/>
    <w:rsid w:val="00525074"/>
    <w:rsid w:val="00525520"/>
    <w:rsid w:val="005319EE"/>
    <w:rsid w:val="00531BE2"/>
    <w:rsid w:val="00541110"/>
    <w:rsid w:val="005421AC"/>
    <w:rsid w:val="005445B2"/>
    <w:rsid w:val="00544C1A"/>
    <w:rsid w:val="00545CCC"/>
    <w:rsid w:val="00546D1B"/>
    <w:rsid w:val="0055027D"/>
    <w:rsid w:val="00554FA1"/>
    <w:rsid w:val="00556934"/>
    <w:rsid w:val="005607DF"/>
    <w:rsid w:val="00564377"/>
    <w:rsid w:val="00564538"/>
    <w:rsid w:val="00564666"/>
    <w:rsid w:val="00566A89"/>
    <w:rsid w:val="00567E07"/>
    <w:rsid w:val="005771F7"/>
    <w:rsid w:val="00577B7B"/>
    <w:rsid w:val="00583289"/>
    <w:rsid w:val="00583F7F"/>
    <w:rsid w:val="0058600B"/>
    <w:rsid w:val="00587913"/>
    <w:rsid w:val="00593428"/>
    <w:rsid w:val="00593B65"/>
    <w:rsid w:val="005A15D6"/>
    <w:rsid w:val="005A1FD8"/>
    <w:rsid w:val="005A317D"/>
    <w:rsid w:val="005A79F9"/>
    <w:rsid w:val="005B0A76"/>
    <w:rsid w:val="005B140B"/>
    <w:rsid w:val="005B194F"/>
    <w:rsid w:val="005C2278"/>
    <w:rsid w:val="005C3594"/>
    <w:rsid w:val="005C43B1"/>
    <w:rsid w:val="005C46B7"/>
    <w:rsid w:val="005C7C8B"/>
    <w:rsid w:val="005D5617"/>
    <w:rsid w:val="005D6591"/>
    <w:rsid w:val="005D6869"/>
    <w:rsid w:val="005D7446"/>
    <w:rsid w:val="005E4AC5"/>
    <w:rsid w:val="005E5F88"/>
    <w:rsid w:val="005E76C6"/>
    <w:rsid w:val="005F06F5"/>
    <w:rsid w:val="005F46C0"/>
    <w:rsid w:val="005F471D"/>
    <w:rsid w:val="005F720A"/>
    <w:rsid w:val="005F7467"/>
    <w:rsid w:val="005F78E7"/>
    <w:rsid w:val="006007F3"/>
    <w:rsid w:val="00602829"/>
    <w:rsid w:val="0060402C"/>
    <w:rsid w:val="006079FC"/>
    <w:rsid w:val="00610299"/>
    <w:rsid w:val="00612457"/>
    <w:rsid w:val="0061252A"/>
    <w:rsid w:val="006135B3"/>
    <w:rsid w:val="006138D4"/>
    <w:rsid w:val="006163E4"/>
    <w:rsid w:val="00616C03"/>
    <w:rsid w:val="00616F30"/>
    <w:rsid w:val="00617033"/>
    <w:rsid w:val="006175D9"/>
    <w:rsid w:val="006215A2"/>
    <w:rsid w:val="00621F7D"/>
    <w:rsid w:val="00622AD1"/>
    <w:rsid w:val="00623267"/>
    <w:rsid w:val="006251CA"/>
    <w:rsid w:val="00625428"/>
    <w:rsid w:val="0062670B"/>
    <w:rsid w:val="00630B86"/>
    <w:rsid w:val="00630F5B"/>
    <w:rsid w:val="006312F7"/>
    <w:rsid w:val="006337AE"/>
    <w:rsid w:val="00634C66"/>
    <w:rsid w:val="006352D1"/>
    <w:rsid w:val="00636E1A"/>
    <w:rsid w:val="00642BA5"/>
    <w:rsid w:val="006434E0"/>
    <w:rsid w:val="00650C90"/>
    <w:rsid w:val="0065172D"/>
    <w:rsid w:val="006526F5"/>
    <w:rsid w:val="0065287D"/>
    <w:rsid w:val="0065671B"/>
    <w:rsid w:val="00656A5A"/>
    <w:rsid w:val="00663A42"/>
    <w:rsid w:val="0066418E"/>
    <w:rsid w:val="0066469F"/>
    <w:rsid w:val="0067780F"/>
    <w:rsid w:val="00683E74"/>
    <w:rsid w:val="006848E3"/>
    <w:rsid w:val="00686C30"/>
    <w:rsid w:val="00690FA3"/>
    <w:rsid w:val="0069331D"/>
    <w:rsid w:val="00695708"/>
    <w:rsid w:val="00696DF8"/>
    <w:rsid w:val="0069783E"/>
    <w:rsid w:val="00697E26"/>
    <w:rsid w:val="006A0330"/>
    <w:rsid w:val="006A29DD"/>
    <w:rsid w:val="006A3AE1"/>
    <w:rsid w:val="006A3B57"/>
    <w:rsid w:val="006A6AB2"/>
    <w:rsid w:val="006B117D"/>
    <w:rsid w:val="006B19B7"/>
    <w:rsid w:val="006B392C"/>
    <w:rsid w:val="006B4CC0"/>
    <w:rsid w:val="006B65B0"/>
    <w:rsid w:val="006C5198"/>
    <w:rsid w:val="006C6A07"/>
    <w:rsid w:val="006C75D2"/>
    <w:rsid w:val="006D5ADD"/>
    <w:rsid w:val="006E06D9"/>
    <w:rsid w:val="006E0A3D"/>
    <w:rsid w:val="006E27F1"/>
    <w:rsid w:val="006E451A"/>
    <w:rsid w:val="006E5BC8"/>
    <w:rsid w:val="006E7CBA"/>
    <w:rsid w:val="006F222F"/>
    <w:rsid w:val="006F319A"/>
    <w:rsid w:val="006F7B69"/>
    <w:rsid w:val="0070241F"/>
    <w:rsid w:val="007024A9"/>
    <w:rsid w:val="00703C96"/>
    <w:rsid w:val="007130D7"/>
    <w:rsid w:val="00713E98"/>
    <w:rsid w:val="00715591"/>
    <w:rsid w:val="00715AE8"/>
    <w:rsid w:val="0072224A"/>
    <w:rsid w:val="0072516F"/>
    <w:rsid w:val="0073034D"/>
    <w:rsid w:val="00731ADC"/>
    <w:rsid w:val="007330F2"/>
    <w:rsid w:val="00733DB0"/>
    <w:rsid w:val="00735043"/>
    <w:rsid w:val="00740444"/>
    <w:rsid w:val="00744577"/>
    <w:rsid w:val="007452CF"/>
    <w:rsid w:val="00746055"/>
    <w:rsid w:val="00746DA9"/>
    <w:rsid w:val="00747086"/>
    <w:rsid w:val="007515E2"/>
    <w:rsid w:val="00756D66"/>
    <w:rsid w:val="00761D80"/>
    <w:rsid w:val="0076364A"/>
    <w:rsid w:val="00766FC5"/>
    <w:rsid w:val="00770E5B"/>
    <w:rsid w:val="00772930"/>
    <w:rsid w:val="00776E20"/>
    <w:rsid w:val="007814AF"/>
    <w:rsid w:val="007825F0"/>
    <w:rsid w:val="00787F88"/>
    <w:rsid w:val="00794246"/>
    <w:rsid w:val="0079721A"/>
    <w:rsid w:val="007A095C"/>
    <w:rsid w:val="007A0AF8"/>
    <w:rsid w:val="007A283A"/>
    <w:rsid w:val="007A65C8"/>
    <w:rsid w:val="007A6B16"/>
    <w:rsid w:val="007A7AC4"/>
    <w:rsid w:val="007B2361"/>
    <w:rsid w:val="007B639C"/>
    <w:rsid w:val="007B7036"/>
    <w:rsid w:val="007C0659"/>
    <w:rsid w:val="007C0870"/>
    <w:rsid w:val="007C2D10"/>
    <w:rsid w:val="007C457D"/>
    <w:rsid w:val="007D02A9"/>
    <w:rsid w:val="007D166D"/>
    <w:rsid w:val="007D17C7"/>
    <w:rsid w:val="007D2766"/>
    <w:rsid w:val="007D2FF7"/>
    <w:rsid w:val="007D67FB"/>
    <w:rsid w:val="007D74D8"/>
    <w:rsid w:val="007E13A4"/>
    <w:rsid w:val="007E20CA"/>
    <w:rsid w:val="007E28ED"/>
    <w:rsid w:val="007E3988"/>
    <w:rsid w:val="007E4698"/>
    <w:rsid w:val="007E5A8C"/>
    <w:rsid w:val="007E6959"/>
    <w:rsid w:val="007E6991"/>
    <w:rsid w:val="007E7A36"/>
    <w:rsid w:val="007F222D"/>
    <w:rsid w:val="007F3FB7"/>
    <w:rsid w:val="007F518D"/>
    <w:rsid w:val="007F68FE"/>
    <w:rsid w:val="007F7E7E"/>
    <w:rsid w:val="007F7E88"/>
    <w:rsid w:val="00803C29"/>
    <w:rsid w:val="00804E5E"/>
    <w:rsid w:val="00804FAA"/>
    <w:rsid w:val="00805678"/>
    <w:rsid w:val="00805C39"/>
    <w:rsid w:val="00805D26"/>
    <w:rsid w:val="0081553D"/>
    <w:rsid w:val="00815BE9"/>
    <w:rsid w:val="00815C94"/>
    <w:rsid w:val="00815CF6"/>
    <w:rsid w:val="00816990"/>
    <w:rsid w:val="00817981"/>
    <w:rsid w:val="00821640"/>
    <w:rsid w:val="00822851"/>
    <w:rsid w:val="00824A75"/>
    <w:rsid w:val="0082509A"/>
    <w:rsid w:val="00825A51"/>
    <w:rsid w:val="00825D53"/>
    <w:rsid w:val="008272DF"/>
    <w:rsid w:val="00831065"/>
    <w:rsid w:val="008337A7"/>
    <w:rsid w:val="00835BCB"/>
    <w:rsid w:val="00836773"/>
    <w:rsid w:val="00836E6A"/>
    <w:rsid w:val="008410D0"/>
    <w:rsid w:val="00841559"/>
    <w:rsid w:val="0084558B"/>
    <w:rsid w:val="00845924"/>
    <w:rsid w:val="00846107"/>
    <w:rsid w:val="00847E07"/>
    <w:rsid w:val="0085100F"/>
    <w:rsid w:val="00851297"/>
    <w:rsid w:val="00852C43"/>
    <w:rsid w:val="00853737"/>
    <w:rsid w:val="008541B8"/>
    <w:rsid w:val="00857249"/>
    <w:rsid w:val="00861067"/>
    <w:rsid w:val="00862AE2"/>
    <w:rsid w:val="00862C25"/>
    <w:rsid w:val="00863CA2"/>
    <w:rsid w:val="00864A80"/>
    <w:rsid w:val="008655ED"/>
    <w:rsid w:val="00866942"/>
    <w:rsid w:val="00871B0D"/>
    <w:rsid w:val="00871B14"/>
    <w:rsid w:val="0087326B"/>
    <w:rsid w:val="008735A1"/>
    <w:rsid w:val="00875962"/>
    <w:rsid w:val="00880325"/>
    <w:rsid w:val="00882ABD"/>
    <w:rsid w:val="008844A4"/>
    <w:rsid w:val="008844C0"/>
    <w:rsid w:val="008857CC"/>
    <w:rsid w:val="00885D4C"/>
    <w:rsid w:val="0089314F"/>
    <w:rsid w:val="0089328E"/>
    <w:rsid w:val="00894112"/>
    <w:rsid w:val="0089513A"/>
    <w:rsid w:val="00896069"/>
    <w:rsid w:val="00896786"/>
    <w:rsid w:val="008976AB"/>
    <w:rsid w:val="008A2C15"/>
    <w:rsid w:val="008A3DBA"/>
    <w:rsid w:val="008A483E"/>
    <w:rsid w:val="008A5601"/>
    <w:rsid w:val="008B233B"/>
    <w:rsid w:val="008B7726"/>
    <w:rsid w:val="008C08EC"/>
    <w:rsid w:val="008C2997"/>
    <w:rsid w:val="008C443B"/>
    <w:rsid w:val="008C538A"/>
    <w:rsid w:val="008D000D"/>
    <w:rsid w:val="008D0618"/>
    <w:rsid w:val="008D1AEB"/>
    <w:rsid w:val="008D1E23"/>
    <w:rsid w:val="008D2A7C"/>
    <w:rsid w:val="008D3031"/>
    <w:rsid w:val="008D4BC4"/>
    <w:rsid w:val="008D4F00"/>
    <w:rsid w:val="008D7DBC"/>
    <w:rsid w:val="008E08B2"/>
    <w:rsid w:val="008E0AFC"/>
    <w:rsid w:val="008E1E43"/>
    <w:rsid w:val="008E3116"/>
    <w:rsid w:val="008E41FA"/>
    <w:rsid w:val="008E637F"/>
    <w:rsid w:val="008E66FE"/>
    <w:rsid w:val="008F1140"/>
    <w:rsid w:val="008F27DB"/>
    <w:rsid w:val="008F4E52"/>
    <w:rsid w:val="008F5B6F"/>
    <w:rsid w:val="009002A3"/>
    <w:rsid w:val="0090038C"/>
    <w:rsid w:val="009007EC"/>
    <w:rsid w:val="00900EF5"/>
    <w:rsid w:val="00901EE5"/>
    <w:rsid w:val="0090421D"/>
    <w:rsid w:val="00906447"/>
    <w:rsid w:val="0091349D"/>
    <w:rsid w:val="009141C7"/>
    <w:rsid w:val="009160EA"/>
    <w:rsid w:val="00920597"/>
    <w:rsid w:val="00921E42"/>
    <w:rsid w:val="00922872"/>
    <w:rsid w:val="0092425B"/>
    <w:rsid w:val="00924D39"/>
    <w:rsid w:val="00924FFE"/>
    <w:rsid w:val="009263C3"/>
    <w:rsid w:val="009266BE"/>
    <w:rsid w:val="009268AB"/>
    <w:rsid w:val="00930BEF"/>
    <w:rsid w:val="009364FF"/>
    <w:rsid w:val="00942397"/>
    <w:rsid w:val="009425B4"/>
    <w:rsid w:val="00946F52"/>
    <w:rsid w:val="00950F44"/>
    <w:rsid w:val="00952A7D"/>
    <w:rsid w:val="00952BF8"/>
    <w:rsid w:val="00953747"/>
    <w:rsid w:val="0095565A"/>
    <w:rsid w:val="00955918"/>
    <w:rsid w:val="0095774D"/>
    <w:rsid w:val="00960439"/>
    <w:rsid w:val="00961D67"/>
    <w:rsid w:val="00962D93"/>
    <w:rsid w:val="009636EF"/>
    <w:rsid w:val="0096408D"/>
    <w:rsid w:val="009651A8"/>
    <w:rsid w:val="009657E9"/>
    <w:rsid w:val="0096666B"/>
    <w:rsid w:val="009719C3"/>
    <w:rsid w:val="0097578E"/>
    <w:rsid w:val="00976E55"/>
    <w:rsid w:val="009814B0"/>
    <w:rsid w:val="00983263"/>
    <w:rsid w:val="00984D41"/>
    <w:rsid w:val="009852BB"/>
    <w:rsid w:val="009853C4"/>
    <w:rsid w:val="0098547C"/>
    <w:rsid w:val="009860B4"/>
    <w:rsid w:val="00986724"/>
    <w:rsid w:val="0098718E"/>
    <w:rsid w:val="00992C6B"/>
    <w:rsid w:val="009938F4"/>
    <w:rsid w:val="00994269"/>
    <w:rsid w:val="0099439A"/>
    <w:rsid w:val="00994737"/>
    <w:rsid w:val="0099792B"/>
    <w:rsid w:val="009A0F00"/>
    <w:rsid w:val="009A37AE"/>
    <w:rsid w:val="009A4059"/>
    <w:rsid w:val="009A47EF"/>
    <w:rsid w:val="009B1979"/>
    <w:rsid w:val="009B1E1B"/>
    <w:rsid w:val="009B2CC0"/>
    <w:rsid w:val="009B37D9"/>
    <w:rsid w:val="009B3B8C"/>
    <w:rsid w:val="009B4C38"/>
    <w:rsid w:val="009C0620"/>
    <w:rsid w:val="009C0DAB"/>
    <w:rsid w:val="009C1E20"/>
    <w:rsid w:val="009D0378"/>
    <w:rsid w:val="009D0F18"/>
    <w:rsid w:val="009D1EFB"/>
    <w:rsid w:val="009D5964"/>
    <w:rsid w:val="009D6A0C"/>
    <w:rsid w:val="009E0725"/>
    <w:rsid w:val="009E1492"/>
    <w:rsid w:val="009E4B3F"/>
    <w:rsid w:val="009E5877"/>
    <w:rsid w:val="009E758C"/>
    <w:rsid w:val="009F6728"/>
    <w:rsid w:val="009F69B0"/>
    <w:rsid w:val="00A00F93"/>
    <w:rsid w:val="00A0310D"/>
    <w:rsid w:val="00A073F4"/>
    <w:rsid w:val="00A07BBE"/>
    <w:rsid w:val="00A16439"/>
    <w:rsid w:val="00A21057"/>
    <w:rsid w:val="00A216D7"/>
    <w:rsid w:val="00A217CE"/>
    <w:rsid w:val="00A21E86"/>
    <w:rsid w:val="00A22DFB"/>
    <w:rsid w:val="00A305E3"/>
    <w:rsid w:val="00A353F1"/>
    <w:rsid w:val="00A357B0"/>
    <w:rsid w:val="00A35B22"/>
    <w:rsid w:val="00A42B99"/>
    <w:rsid w:val="00A479B6"/>
    <w:rsid w:val="00A50D3C"/>
    <w:rsid w:val="00A532E3"/>
    <w:rsid w:val="00A54D9C"/>
    <w:rsid w:val="00A57200"/>
    <w:rsid w:val="00A57865"/>
    <w:rsid w:val="00A62B31"/>
    <w:rsid w:val="00A64850"/>
    <w:rsid w:val="00A65003"/>
    <w:rsid w:val="00A65202"/>
    <w:rsid w:val="00A73299"/>
    <w:rsid w:val="00A7536B"/>
    <w:rsid w:val="00A76EB5"/>
    <w:rsid w:val="00A80356"/>
    <w:rsid w:val="00A816B6"/>
    <w:rsid w:val="00A82D81"/>
    <w:rsid w:val="00A82E09"/>
    <w:rsid w:val="00A96E79"/>
    <w:rsid w:val="00AA2033"/>
    <w:rsid w:val="00AA4A07"/>
    <w:rsid w:val="00AA6230"/>
    <w:rsid w:val="00AB632D"/>
    <w:rsid w:val="00AB6F8A"/>
    <w:rsid w:val="00AB736E"/>
    <w:rsid w:val="00AC4B9D"/>
    <w:rsid w:val="00AC5444"/>
    <w:rsid w:val="00AC70E1"/>
    <w:rsid w:val="00AD1D29"/>
    <w:rsid w:val="00AD328E"/>
    <w:rsid w:val="00AD5147"/>
    <w:rsid w:val="00AE0837"/>
    <w:rsid w:val="00AE0911"/>
    <w:rsid w:val="00AE11C8"/>
    <w:rsid w:val="00AE2B6A"/>
    <w:rsid w:val="00AE355C"/>
    <w:rsid w:val="00AE3BC2"/>
    <w:rsid w:val="00AE4EFC"/>
    <w:rsid w:val="00AE5731"/>
    <w:rsid w:val="00AE7127"/>
    <w:rsid w:val="00AE7699"/>
    <w:rsid w:val="00AF10BB"/>
    <w:rsid w:val="00AF6BA2"/>
    <w:rsid w:val="00AF7801"/>
    <w:rsid w:val="00B019E2"/>
    <w:rsid w:val="00B020ED"/>
    <w:rsid w:val="00B036CB"/>
    <w:rsid w:val="00B130D5"/>
    <w:rsid w:val="00B13566"/>
    <w:rsid w:val="00B13A54"/>
    <w:rsid w:val="00B14220"/>
    <w:rsid w:val="00B16868"/>
    <w:rsid w:val="00B17251"/>
    <w:rsid w:val="00B2159A"/>
    <w:rsid w:val="00B21D32"/>
    <w:rsid w:val="00B313B2"/>
    <w:rsid w:val="00B34A43"/>
    <w:rsid w:val="00B36912"/>
    <w:rsid w:val="00B404A0"/>
    <w:rsid w:val="00B4256A"/>
    <w:rsid w:val="00B432AB"/>
    <w:rsid w:val="00B54C3A"/>
    <w:rsid w:val="00B54D75"/>
    <w:rsid w:val="00B55221"/>
    <w:rsid w:val="00B55CD0"/>
    <w:rsid w:val="00B60C2A"/>
    <w:rsid w:val="00B6343A"/>
    <w:rsid w:val="00B65FC0"/>
    <w:rsid w:val="00B707DD"/>
    <w:rsid w:val="00B719F4"/>
    <w:rsid w:val="00B73995"/>
    <w:rsid w:val="00B74DBC"/>
    <w:rsid w:val="00B75E08"/>
    <w:rsid w:val="00B76684"/>
    <w:rsid w:val="00B7698F"/>
    <w:rsid w:val="00B85F5F"/>
    <w:rsid w:val="00B86395"/>
    <w:rsid w:val="00B86A9C"/>
    <w:rsid w:val="00B86E2B"/>
    <w:rsid w:val="00B91DEC"/>
    <w:rsid w:val="00B92A56"/>
    <w:rsid w:val="00B931F8"/>
    <w:rsid w:val="00B95DB0"/>
    <w:rsid w:val="00B96852"/>
    <w:rsid w:val="00B9710E"/>
    <w:rsid w:val="00B9722F"/>
    <w:rsid w:val="00B97741"/>
    <w:rsid w:val="00BA0721"/>
    <w:rsid w:val="00BA1883"/>
    <w:rsid w:val="00BA227D"/>
    <w:rsid w:val="00BA4C84"/>
    <w:rsid w:val="00BB04D7"/>
    <w:rsid w:val="00BB6C0A"/>
    <w:rsid w:val="00BC09FC"/>
    <w:rsid w:val="00BC0DD5"/>
    <w:rsid w:val="00BC60E6"/>
    <w:rsid w:val="00BD11B3"/>
    <w:rsid w:val="00BD5180"/>
    <w:rsid w:val="00BD7EE3"/>
    <w:rsid w:val="00BE5873"/>
    <w:rsid w:val="00BE66AA"/>
    <w:rsid w:val="00BE73B9"/>
    <w:rsid w:val="00BF0761"/>
    <w:rsid w:val="00BF12C6"/>
    <w:rsid w:val="00BF444F"/>
    <w:rsid w:val="00BF77F5"/>
    <w:rsid w:val="00C01D8A"/>
    <w:rsid w:val="00C023EF"/>
    <w:rsid w:val="00C03964"/>
    <w:rsid w:val="00C15415"/>
    <w:rsid w:val="00C16FE4"/>
    <w:rsid w:val="00C172EB"/>
    <w:rsid w:val="00C22F98"/>
    <w:rsid w:val="00C2363B"/>
    <w:rsid w:val="00C23A8D"/>
    <w:rsid w:val="00C2487A"/>
    <w:rsid w:val="00C24F25"/>
    <w:rsid w:val="00C26560"/>
    <w:rsid w:val="00C3062F"/>
    <w:rsid w:val="00C32E7A"/>
    <w:rsid w:val="00C362D5"/>
    <w:rsid w:val="00C36FA1"/>
    <w:rsid w:val="00C408D9"/>
    <w:rsid w:val="00C42DB9"/>
    <w:rsid w:val="00C447FD"/>
    <w:rsid w:val="00C44B90"/>
    <w:rsid w:val="00C51434"/>
    <w:rsid w:val="00C51743"/>
    <w:rsid w:val="00C51A61"/>
    <w:rsid w:val="00C5474F"/>
    <w:rsid w:val="00C55817"/>
    <w:rsid w:val="00C57393"/>
    <w:rsid w:val="00C64C71"/>
    <w:rsid w:val="00C6528B"/>
    <w:rsid w:val="00C661B3"/>
    <w:rsid w:val="00C70300"/>
    <w:rsid w:val="00C7037D"/>
    <w:rsid w:val="00C70637"/>
    <w:rsid w:val="00C71DC8"/>
    <w:rsid w:val="00C73E69"/>
    <w:rsid w:val="00C74592"/>
    <w:rsid w:val="00C767BA"/>
    <w:rsid w:val="00C8048C"/>
    <w:rsid w:val="00C80C68"/>
    <w:rsid w:val="00C83B97"/>
    <w:rsid w:val="00C86E9A"/>
    <w:rsid w:val="00C93A3D"/>
    <w:rsid w:val="00C94F0A"/>
    <w:rsid w:val="00C956DA"/>
    <w:rsid w:val="00C97CE2"/>
    <w:rsid w:val="00CA248B"/>
    <w:rsid w:val="00CA3203"/>
    <w:rsid w:val="00CA6058"/>
    <w:rsid w:val="00CA6BD1"/>
    <w:rsid w:val="00CA7DCE"/>
    <w:rsid w:val="00CB1B1B"/>
    <w:rsid w:val="00CB3E03"/>
    <w:rsid w:val="00CB580D"/>
    <w:rsid w:val="00CB6098"/>
    <w:rsid w:val="00CB623E"/>
    <w:rsid w:val="00CC0BA5"/>
    <w:rsid w:val="00CC1F3E"/>
    <w:rsid w:val="00CC236E"/>
    <w:rsid w:val="00CC2B2A"/>
    <w:rsid w:val="00CC2D7B"/>
    <w:rsid w:val="00CC6216"/>
    <w:rsid w:val="00CC6A8D"/>
    <w:rsid w:val="00CC70FA"/>
    <w:rsid w:val="00CD37C3"/>
    <w:rsid w:val="00CD3911"/>
    <w:rsid w:val="00CD48EF"/>
    <w:rsid w:val="00CD4BA1"/>
    <w:rsid w:val="00CD59A6"/>
    <w:rsid w:val="00CE1E76"/>
    <w:rsid w:val="00CE33C1"/>
    <w:rsid w:val="00CE3834"/>
    <w:rsid w:val="00CF148C"/>
    <w:rsid w:val="00CF2655"/>
    <w:rsid w:val="00CF3D94"/>
    <w:rsid w:val="00CF455D"/>
    <w:rsid w:val="00CF48A3"/>
    <w:rsid w:val="00CF5081"/>
    <w:rsid w:val="00D058E4"/>
    <w:rsid w:val="00D068D5"/>
    <w:rsid w:val="00D07178"/>
    <w:rsid w:val="00D07482"/>
    <w:rsid w:val="00D11C0B"/>
    <w:rsid w:val="00D11EE9"/>
    <w:rsid w:val="00D13F47"/>
    <w:rsid w:val="00D14E66"/>
    <w:rsid w:val="00D15F71"/>
    <w:rsid w:val="00D17631"/>
    <w:rsid w:val="00D17CD3"/>
    <w:rsid w:val="00D21B22"/>
    <w:rsid w:val="00D24AEB"/>
    <w:rsid w:val="00D24AFD"/>
    <w:rsid w:val="00D2591B"/>
    <w:rsid w:val="00D2772B"/>
    <w:rsid w:val="00D27902"/>
    <w:rsid w:val="00D27984"/>
    <w:rsid w:val="00D31D50"/>
    <w:rsid w:val="00D323E9"/>
    <w:rsid w:val="00D34F5B"/>
    <w:rsid w:val="00D35023"/>
    <w:rsid w:val="00D403B8"/>
    <w:rsid w:val="00D415D4"/>
    <w:rsid w:val="00D45C1B"/>
    <w:rsid w:val="00D45E14"/>
    <w:rsid w:val="00D51C9A"/>
    <w:rsid w:val="00D5289C"/>
    <w:rsid w:val="00D5318C"/>
    <w:rsid w:val="00D53371"/>
    <w:rsid w:val="00D53BD5"/>
    <w:rsid w:val="00D55621"/>
    <w:rsid w:val="00D6000E"/>
    <w:rsid w:val="00D713D6"/>
    <w:rsid w:val="00D72DAF"/>
    <w:rsid w:val="00D75BB9"/>
    <w:rsid w:val="00D76276"/>
    <w:rsid w:val="00D76390"/>
    <w:rsid w:val="00D77919"/>
    <w:rsid w:val="00D8083C"/>
    <w:rsid w:val="00D85F8D"/>
    <w:rsid w:val="00D8663D"/>
    <w:rsid w:val="00D87F81"/>
    <w:rsid w:val="00D90E39"/>
    <w:rsid w:val="00D9718B"/>
    <w:rsid w:val="00D97E89"/>
    <w:rsid w:val="00DA4129"/>
    <w:rsid w:val="00DA45EE"/>
    <w:rsid w:val="00DA58A3"/>
    <w:rsid w:val="00DB2F5B"/>
    <w:rsid w:val="00DB46CB"/>
    <w:rsid w:val="00DB695F"/>
    <w:rsid w:val="00DC03E7"/>
    <w:rsid w:val="00DC3710"/>
    <w:rsid w:val="00DC3B9E"/>
    <w:rsid w:val="00DC4FB9"/>
    <w:rsid w:val="00DC545F"/>
    <w:rsid w:val="00DC54A9"/>
    <w:rsid w:val="00DC6139"/>
    <w:rsid w:val="00DC6654"/>
    <w:rsid w:val="00DC6686"/>
    <w:rsid w:val="00DC6D84"/>
    <w:rsid w:val="00DC7F68"/>
    <w:rsid w:val="00DD03BD"/>
    <w:rsid w:val="00DD1D7F"/>
    <w:rsid w:val="00DD360A"/>
    <w:rsid w:val="00DD39E5"/>
    <w:rsid w:val="00DD7F91"/>
    <w:rsid w:val="00DE0985"/>
    <w:rsid w:val="00DE42BF"/>
    <w:rsid w:val="00DE4A1A"/>
    <w:rsid w:val="00DE4A76"/>
    <w:rsid w:val="00DE4E11"/>
    <w:rsid w:val="00DE53FE"/>
    <w:rsid w:val="00DE6ED8"/>
    <w:rsid w:val="00DF1D3E"/>
    <w:rsid w:val="00DF658A"/>
    <w:rsid w:val="00E00A5F"/>
    <w:rsid w:val="00E05D64"/>
    <w:rsid w:val="00E07ABB"/>
    <w:rsid w:val="00E07D8F"/>
    <w:rsid w:val="00E13762"/>
    <w:rsid w:val="00E14E2F"/>
    <w:rsid w:val="00E1552D"/>
    <w:rsid w:val="00E1640B"/>
    <w:rsid w:val="00E317A6"/>
    <w:rsid w:val="00E3190E"/>
    <w:rsid w:val="00E31F05"/>
    <w:rsid w:val="00E32285"/>
    <w:rsid w:val="00E34295"/>
    <w:rsid w:val="00E3667E"/>
    <w:rsid w:val="00E41C21"/>
    <w:rsid w:val="00E4228D"/>
    <w:rsid w:val="00E4254E"/>
    <w:rsid w:val="00E4608C"/>
    <w:rsid w:val="00E502A2"/>
    <w:rsid w:val="00E521B6"/>
    <w:rsid w:val="00E52931"/>
    <w:rsid w:val="00E53ACE"/>
    <w:rsid w:val="00E5519B"/>
    <w:rsid w:val="00E55FEE"/>
    <w:rsid w:val="00E57BD3"/>
    <w:rsid w:val="00E57D38"/>
    <w:rsid w:val="00E65332"/>
    <w:rsid w:val="00E65F77"/>
    <w:rsid w:val="00E670CD"/>
    <w:rsid w:val="00E67EA9"/>
    <w:rsid w:val="00E70352"/>
    <w:rsid w:val="00E7727F"/>
    <w:rsid w:val="00E83519"/>
    <w:rsid w:val="00E91889"/>
    <w:rsid w:val="00E91F0F"/>
    <w:rsid w:val="00E944E2"/>
    <w:rsid w:val="00E95C54"/>
    <w:rsid w:val="00E96103"/>
    <w:rsid w:val="00EA027D"/>
    <w:rsid w:val="00EA5A84"/>
    <w:rsid w:val="00EB20C5"/>
    <w:rsid w:val="00EB22CF"/>
    <w:rsid w:val="00EB2C39"/>
    <w:rsid w:val="00EB3414"/>
    <w:rsid w:val="00EB39DD"/>
    <w:rsid w:val="00EB40E4"/>
    <w:rsid w:val="00EB6359"/>
    <w:rsid w:val="00EB67BA"/>
    <w:rsid w:val="00EC16F8"/>
    <w:rsid w:val="00EC26AF"/>
    <w:rsid w:val="00EC306F"/>
    <w:rsid w:val="00EC408E"/>
    <w:rsid w:val="00EC41F2"/>
    <w:rsid w:val="00EC45B2"/>
    <w:rsid w:val="00EC4EB3"/>
    <w:rsid w:val="00EC5617"/>
    <w:rsid w:val="00EC7C9E"/>
    <w:rsid w:val="00ED230D"/>
    <w:rsid w:val="00ED2440"/>
    <w:rsid w:val="00ED714B"/>
    <w:rsid w:val="00EE1C0B"/>
    <w:rsid w:val="00EE3163"/>
    <w:rsid w:val="00EE59D0"/>
    <w:rsid w:val="00EE7EB5"/>
    <w:rsid w:val="00EE7FF3"/>
    <w:rsid w:val="00EF0965"/>
    <w:rsid w:val="00EF26BF"/>
    <w:rsid w:val="00EF4861"/>
    <w:rsid w:val="00EF50C7"/>
    <w:rsid w:val="00EF5E19"/>
    <w:rsid w:val="00EF779D"/>
    <w:rsid w:val="00EF7E82"/>
    <w:rsid w:val="00F01970"/>
    <w:rsid w:val="00F01B91"/>
    <w:rsid w:val="00F01DFD"/>
    <w:rsid w:val="00F025DB"/>
    <w:rsid w:val="00F06AF6"/>
    <w:rsid w:val="00F079A5"/>
    <w:rsid w:val="00F07F69"/>
    <w:rsid w:val="00F107F9"/>
    <w:rsid w:val="00F111E0"/>
    <w:rsid w:val="00F117D4"/>
    <w:rsid w:val="00F16475"/>
    <w:rsid w:val="00F1697B"/>
    <w:rsid w:val="00F207B3"/>
    <w:rsid w:val="00F22957"/>
    <w:rsid w:val="00F22D55"/>
    <w:rsid w:val="00F24A9A"/>
    <w:rsid w:val="00F2592D"/>
    <w:rsid w:val="00F25C5F"/>
    <w:rsid w:val="00F27AE8"/>
    <w:rsid w:val="00F3182D"/>
    <w:rsid w:val="00F34EF2"/>
    <w:rsid w:val="00F3580F"/>
    <w:rsid w:val="00F406BB"/>
    <w:rsid w:val="00F40C31"/>
    <w:rsid w:val="00F44AD0"/>
    <w:rsid w:val="00F50379"/>
    <w:rsid w:val="00F5124B"/>
    <w:rsid w:val="00F55102"/>
    <w:rsid w:val="00F57115"/>
    <w:rsid w:val="00F6298B"/>
    <w:rsid w:val="00F63B02"/>
    <w:rsid w:val="00F65350"/>
    <w:rsid w:val="00F65633"/>
    <w:rsid w:val="00F65C21"/>
    <w:rsid w:val="00F6743C"/>
    <w:rsid w:val="00F700A6"/>
    <w:rsid w:val="00F760D1"/>
    <w:rsid w:val="00F8151A"/>
    <w:rsid w:val="00F83788"/>
    <w:rsid w:val="00F84015"/>
    <w:rsid w:val="00F84D69"/>
    <w:rsid w:val="00F85054"/>
    <w:rsid w:val="00F87AEF"/>
    <w:rsid w:val="00F87C14"/>
    <w:rsid w:val="00F94F61"/>
    <w:rsid w:val="00FA17B4"/>
    <w:rsid w:val="00FA3581"/>
    <w:rsid w:val="00FB10B8"/>
    <w:rsid w:val="00FB24BA"/>
    <w:rsid w:val="00FB28C8"/>
    <w:rsid w:val="00FB381D"/>
    <w:rsid w:val="00FB6172"/>
    <w:rsid w:val="00FB6492"/>
    <w:rsid w:val="00FC007D"/>
    <w:rsid w:val="00FC131A"/>
    <w:rsid w:val="00FC224A"/>
    <w:rsid w:val="00FC43D6"/>
    <w:rsid w:val="00FC7ABE"/>
    <w:rsid w:val="00FD2208"/>
    <w:rsid w:val="00FD2EC4"/>
    <w:rsid w:val="00FD63D3"/>
    <w:rsid w:val="00FD717D"/>
    <w:rsid w:val="00FE44CF"/>
    <w:rsid w:val="00FF1239"/>
    <w:rsid w:val="00FF1AC1"/>
    <w:rsid w:val="00FF4E5E"/>
    <w:rsid w:val="00FF5DE3"/>
    <w:rsid w:val="00FF62F7"/>
    <w:rsid w:val="00FF6EAF"/>
    <w:rsid w:val="00FF7408"/>
    <w:rsid w:val="01F65399"/>
    <w:rsid w:val="026A1A9F"/>
    <w:rsid w:val="03226A0E"/>
    <w:rsid w:val="04260169"/>
    <w:rsid w:val="04CC4830"/>
    <w:rsid w:val="050945F2"/>
    <w:rsid w:val="050E4034"/>
    <w:rsid w:val="056F4DC0"/>
    <w:rsid w:val="05F86FA8"/>
    <w:rsid w:val="06174B4A"/>
    <w:rsid w:val="06342461"/>
    <w:rsid w:val="065C2670"/>
    <w:rsid w:val="06677EA2"/>
    <w:rsid w:val="06F06056"/>
    <w:rsid w:val="07021FF9"/>
    <w:rsid w:val="071C7BC7"/>
    <w:rsid w:val="075A67A2"/>
    <w:rsid w:val="0840050B"/>
    <w:rsid w:val="086D38AF"/>
    <w:rsid w:val="08C44882"/>
    <w:rsid w:val="08C94E4D"/>
    <w:rsid w:val="0915227D"/>
    <w:rsid w:val="09164C3B"/>
    <w:rsid w:val="099842FD"/>
    <w:rsid w:val="0A3A2559"/>
    <w:rsid w:val="0A805158"/>
    <w:rsid w:val="0AF87126"/>
    <w:rsid w:val="0B4B1CD9"/>
    <w:rsid w:val="0B9B2EBC"/>
    <w:rsid w:val="0BA309DB"/>
    <w:rsid w:val="0BC90D6D"/>
    <w:rsid w:val="0BCB508B"/>
    <w:rsid w:val="0C070B14"/>
    <w:rsid w:val="0C1A22A8"/>
    <w:rsid w:val="0C26236E"/>
    <w:rsid w:val="0C9306BE"/>
    <w:rsid w:val="0CB05CD1"/>
    <w:rsid w:val="0D1B39E9"/>
    <w:rsid w:val="0DCB2021"/>
    <w:rsid w:val="0E3A01CC"/>
    <w:rsid w:val="0E9172D3"/>
    <w:rsid w:val="0EF1422C"/>
    <w:rsid w:val="0F3B23D4"/>
    <w:rsid w:val="0F3B3DD7"/>
    <w:rsid w:val="107B6AE8"/>
    <w:rsid w:val="11195DC6"/>
    <w:rsid w:val="115A70AD"/>
    <w:rsid w:val="116421D6"/>
    <w:rsid w:val="11EA1B00"/>
    <w:rsid w:val="121F5AC5"/>
    <w:rsid w:val="125037BB"/>
    <w:rsid w:val="12521250"/>
    <w:rsid w:val="12524B60"/>
    <w:rsid w:val="12E866AF"/>
    <w:rsid w:val="130C55D8"/>
    <w:rsid w:val="13244A23"/>
    <w:rsid w:val="13EE6B6B"/>
    <w:rsid w:val="1472386E"/>
    <w:rsid w:val="148F0FC6"/>
    <w:rsid w:val="151600A7"/>
    <w:rsid w:val="159F345A"/>
    <w:rsid w:val="15E43EF8"/>
    <w:rsid w:val="16A81136"/>
    <w:rsid w:val="16AC4207"/>
    <w:rsid w:val="178A56FB"/>
    <w:rsid w:val="17A8647B"/>
    <w:rsid w:val="18253B4C"/>
    <w:rsid w:val="190F1674"/>
    <w:rsid w:val="19132D2F"/>
    <w:rsid w:val="19210747"/>
    <w:rsid w:val="196E7CB2"/>
    <w:rsid w:val="198759D2"/>
    <w:rsid w:val="19D72BB5"/>
    <w:rsid w:val="1AD212BF"/>
    <w:rsid w:val="1AF900F3"/>
    <w:rsid w:val="1AFC6A2C"/>
    <w:rsid w:val="1BE0351A"/>
    <w:rsid w:val="1C120302"/>
    <w:rsid w:val="1C442FCB"/>
    <w:rsid w:val="1C532B00"/>
    <w:rsid w:val="1CCC12C5"/>
    <w:rsid w:val="1D1B1BAD"/>
    <w:rsid w:val="1D401A6B"/>
    <w:rsid w:val="1DCC5DA5"/>
    <w:rsid w:val="1E8A015B"/>
    <w:rsid w:val="1EA00E4A"/>
    <w:rsid w:val="1F4F1109"/>
    <w:rsid w:val="1F6A0646"/>
    <w:rsid w:val="206A0332"/>
    <w:rsid w:val="2091595B"/>
    <w:rsid w:val="20F51AC3"/>
    <w:rsid w:val="21AE6D2F"/>
    <w:rsid w:val="21C21552"/>
    <w:rsid w:val="21C3713A"/>
    <w:rsid w:val="24DA6297"/>
    <w:rsid w:val="252F3CBE"/>
    <w:rsid w:val="26694CDB"/>
    <w:rsid w:val="282C171E"/>
    <w:rsid w:val="2849297F"/>
    <w:rsid w:val="2936596A"/>
    <w:rsid w:val="2997006D"/>
    <w:rsid w:val="29AC5EF0"/>
    <w:rsid w:val="2B040631"/>
    <w:rsid w:val="2B0B5AF1"/>
    <w:rsid w:val="2B793244"/>
    <w:rsid w:val="2C094BA0"/>
    <w:rsid w:val="2C60205D"/>
    <w:rsid w:val="2C8F5C68"/>
    <w:rsid w:val="2CAD317E"/>
    <w:rsid w:val="2CC97424"/>
    <w:rsid w:val="2D2725F0"/>
    <w:rsid w:val="2D345768"/>
    <w:rsid w:val="2D73679B"/>
    <w:rsid w:val="2E994608"/>
    <w:rsid w:val="2E9C375A"/>
    <w:rsid w:val="2EA60EE0"/>
    <w:rsid w:val="2ED8262F"/>
    <w:rsid w:val="2F242CBD"/>
    <w:rsid w:val="2FB34058"/>
    <w:rsid w:val="300C74C4"/>
    <w:rsid w:val="304B3830"/>
    <w:rsid w:val="307D5A91"/>
    <w:rsid w:val="317B20C5"/>
    <w:rsid w:val="32A33E31"/>
    <w:rsid w:val="32D048D8"/>
    <w:rsid w:val="32D3622F"/>
    <w:rsid w:val="32D63CF2"/>
    <w:rsid w:val="32F26097"/>
    <w:rsid w:val="3341799D"/>
    <w:rsid w:val="337A399F"/>
    <w:rsid w:val="337F2EFA"/>
    <w:rsid w:val="339029A7"/>
    <w:rsid w:val="33CC5FD9"/>
    <w:rsid w:val="34697607"/>
    <w:rsid w:val="34DC6FBF"/>
    <w:rsid w:val="352019FA"/>
    <w:rsid w:val="35731520"/>
    <w:rsid w:val="35F436C6"/>
    <w:rsid w:val="36037C49"/>
    <w:rsid w:val="36B804EA"/>
    <w:rsid w:val="371766EB"/>
    <w:rsid w:val="3728049C"/>
    <w:rsid w:val="37CD3E9A"/>
    <w:rsid w:val="37D03480"/>
    <w:rsid w:val="37D87189"/>
    <w:rsid w:val="37E87EA7"/>
    <w:rsid w:val="37F761BE"/>
    <w:rsid w:val="380B1A51"/>
    <w:rsid w:val="382056BC"/>
    <w:rsid w:val="38AB6B19"/>
    <w:rsid w:val="39035D73"/>
    <w:rsid w:val="39144BF9"/>
    <w:rsid w:val="39236305"/>
    <w:rsid w:val="397D1814"/>
    <w:rsid w:val="3991694F"/>
    <w:rsid w:val="3A096C45"/>
    <w:rsid w:val="3B3315C9"/>
    <w:rsid w:val="3B3666AA"/>
    <w:rsid w:val="3B5D03F9"/>
    <w:rsid w:val="3B9C69ED"/>
    <w:rsid w:val="3C075E40"/>
    <w:rsid w:val="3C0F314C"/>
    <w:rsid w:val="3C8400FD"/>
    <w:rsid w:val="3C8D5215"/>
    <w:rsid w:val="3CB96E1E"/>
    <w:rsid w:val="3E2A5A13"/>
    <w:rsid w:val="3E6A5C1B"/>
    <w:rsid w:val="3E951BD3"/>
    <w:rsid w:val="3EB91E59"/>
    <w:rsid w:val="3FA23A80"/>
    <w:rsid w:val="3FB75DF9"/>
    <w:rsid w:val="418368ED"/>
    <w:rsid w:val="425C64FC"/>
    <w:rsid w:val="4278675D"/>
    <w:rsid w:val="431F105C"/>
    <w:rsid w:val="43F003B4"/>
    <w:rsid w:val="446458DA"/>
    <w:rsid w:val="446645C4"/>
    <w:rsid w:val="44E00C2F"/>
    <w:rsid w:val="44F12828"/>
    <w:rsid w:val="453F4EE8"/>
    <w:rsid w:val="457E0C0E"/>
    <w:rsid w:val="45A27895"/>
    <w:rsid w:val="4654463C"/>
    <w:rsid w:val="469D1E1F"/>
    <w:rsid w:val="4703453A"/>
    <w:rsid w:val="47401AE3"/>
    <w:rsid w:val="47847F9B"/>
    <w:rsid w:val="47B6276E"/>
    <w:rsid w:val="47D7714D"/>
    <w:rsid w:val="48CA305E"/>
    <w:rsid w:val="491D1161"/>
    <w:rsid w:val="4945471C"/>
    <w:rsid w:val="49C23604"/>
    <w:rsid w:val="4A6500D9"/>
    <w:rsid w:val="4B4D56DB"/>
    <w:rsid w:val="4BCB58DC"/>
    <w:rsid w:val="4BE87F26"/>
    <w:rsid w:val="4C081E20"/>
    <w:rsid w:val="4C3974A1"/>
    <w:rsid w:val="4C4D743A"/>
    <w:rsid w:val="4C561056"/>
    <w:rsid w:val="4CDC25C4"/>
    <w:rsid w:val="4D2A1AAB"/>
    <w:rsid w:val="4DBE15DE"/>
    <w:rsid w:val="4DFF45BC"/>
    <w:rsid w:val="4E61428A"/>
    <w:rsid w:val="4E7B705D"/>
    <w:rsid w:val="4ECB455C"/>
    <w:rsid w:val="4EF16D21"/>
    <w:rsid w:val="4F4E6BEF"/>
    <w:rsid w:val="4F6745C5"/>
    <w:rsid w:val="4F751E54"/>
    <w:rsid w:val="4FA9510C"/>
    <w:rsid w:val="50891C17"/>
    <w:rsid w:val="520E7D39"/>
    <w:rsid w:val="527310FD"/>
    <w:rsid w:val="52C145B3"/>
    <w:rsid w:val="532C19FA"/>
    <w:rsid w:val="536C046F"/>
    <w:rsid w:val="53777260"/>
    <w:rsid w:val="53BD324D"/>
    <w:rsid w:val="53DA3FDB"/>
    <w:rsid w:val="54B52F23"/>
    <w:rsid w:val="559025B5"/>
    <w:rsid w:val="55BE6F35"/>
    <w:rsid w:val="56AB5747"/>
    <w:rsid w:val="57466A30"/>
    <w:rsid w:val="57E7750E"/>
    <w:rsid w:val="582C3304"/>
    <w:rsid w:val="583E683E"/>
    <w:rsid w:val="584263FC"/>
    <w:rsid w:val="58AA248A"/>
    <w:rsid w:val="592757C1"/>
    <w:rsid w:val="5A097D45"/>
    <w:rsid w:val="5A232744"/>
    <w:rsid w:val="5A8E433F"/>
    <w:rsid w:val="5ACC5639"/>
    <w:rsid w:val="5AFE0937"/>
    <w:rsid w:val="5B022AFF"/>
    <w:rsid w:val="5B1C238B"/>
    <w:rsid w:val="5BB72396"/>
    <w:rsid w:val="5BDA2541"/>
    <w:rsid w:val="5C8E70AE"/>
    <w:rsid w:val="5C9700DF"/>
    <w:rsid w:val="5CFF5AEE"/>
    <w:rsid w:val="5D5260D6"/>
    <w:rsid w:val="5E4106DA"/>
    <w:rsid w:val="5E4B362D"/>
    <w:rsid w:val="5E4B3828"/>
    <w:rsid w:val="5EC32979"/>
    <w:rsid w:val="5EFC5263"/>
    <w:rsid w:val="5F2B51D9"/>
    <w:rsid w:val="5F37440C"/>
    <w:rsid w:val="609E7926"/>
    <w:rsid w:val="60CC769A"/>
    <w:rsid w:val="60F3280A"/>
    <w:rsid w:val="615A0826"/>
    <w:rsid w:val="616E5025"/>
    <w:rsid w:val="62117B48"/>
    <w:rsid w:val="6233066F"/>
    <w:rsid w:val="625714F8"/>
    <w:rsid w:val="62AF2B34"/>
    <w:rsid w:val="62D7081D"/>
    <w:rsid w:val="63687194"/>
    <w:rsid w:val="638E50BC"/>
    <w:rsid w:val="64D27A6F"/>
    <w:rsid w:val="65765688"/>
    <w:rsid w:val="65A40D91"/>
    <w:rsid w:val="66F55A6B"/>
    <w:rsid w:val="67327F2E"/>
    <w:rsid w:val="674609A7"/>
    <w:rsid w:val="67465B30"/>
    <w:rsid w:val="68082611"/>
    <w:rsid w:val="688C533B"/>
    <w:rsid w:val="692F0DD2"/>
    <w:rsid w:val="692F6DB1"/>
    <w:rsid w:val="696B16A5"/>
    <w:rsid w:val="69772905"/>
    <w:rsid w:val="6A360EF4"/>
    <w:rsid w:val="6A736A2C"/>
    <w:rsid w:val="6AC4173D"/>
    <w:rsid w:val="6B3F6E7C"/>
    <w:rsid w:val="6B4F76A1"/>
    <w:rsid w:val="6BB6746F"/>
    <w:rsid w:val="6BFD03AE"/>
    <w:rsid w:val="6BFF6077"/>
    <w:rsid w:val="6C2308EC"/>
    <w:rsid w:val="6C867767"/>
    <w:rsid w:val="6CA34648"/>
    <w:rsid w:val="6D031FFE"/>
    <w:rsid w:val="6D870368"/>
    <w:rsid w:val="6DEF74D5"/>
    <w:rsid w:val="6E9856D0"/>
    <w:rsid w:val="6EB840FC"/>
    <w:rsid w:val="6EE920DC"/>
    <w:rsid w:val="6F377C99"/>
    <w:rsid w:val="6F7E7DE2"/>
    <w:rsid w:val="6FAA433E"/>
    <w:rsid w:val="704F1D50"/>
    <w:rsid w:val="7062369D"/>
    <w:rsid w:val="70D8666D"/>
    <w:rsid w:val="70F82977"/>
    <w:rsid w:val="711203ED"/>
    <w:rsid w:val="712A76BE"/>
    <w:rsid w:val="716D6D00"/>
    <w:rsid w:val="719901C6"/>
    <w:rsid w:val="71B131C3"/>
    <w:rsid w:val="71CC5821"/>
    <w:rsid w:val="71F26BCA"/>
    <w:rsid w:val="720542F1"/>
    <w:rsid w:val="72380013"/>
    <w:rsid w:val="72540D30"/>
    <w:rsid w:val="73426C39"/>
    <w:rsid w:val="73594771"/>
    <w:rsid w:val="740F0E4D"/>
    <w:rsid w:val="7469799F"/>
    <w:rsid w:val="74A66F51"/>
    <w:rsid w:val="74E24705"/>
    <w:rsid w:val="750506F3"/>
    <w:rsid w:val="758944AE"/>
    <w:rsid w:val="758C4507"/>
    <w:rsid w:val="75AA1A6C"/>
    <w:rsid w:val="76C0735A"/>
    <w:rsid w:val="76DE39EB"/>
    <w:rsid w:val="774B42DA"/>
    <w:rsid w:val="77CC2AC5"/>
    <w:rsid w:val="78AC0F28"/>
    <w:rsid w:val="78AD7E4B"/>
    <w:rsid w:val="7922758B"/>
    <w:rsid w:val="79766799"/>
    <w:rsid w:val="79B255D2"/>
    <w:rsid w:val="79B45BBB"/>
    <w:rsid w:val="79D0307E"/>
    <w:rsid w:val="79DE121D"/>
    <w:rsid w:val="79E249A2"/>
    <w:rsid w:val="7A5C7B4D"/>
    <w:rsid w:val="7B1F1C18"/>
    <w:rsid w:val="7B387938"/>
    <w:rsid w:val="7C341C52"/>
    <w:rsid w:val="7D033238"/>
    <w:rsid w:val="7D2F6ABF"/>
    <w:rsid w:val="7D50024E"/>
    <w:rsid w:val="7D637EF4"/>
    <w:rsid w:val="7E341B98"/>
    <w:rsid w:val="7E51328E"/>
    <w:rsid w:val="7F14576E"/>
    <w:rsid w:val="7FB735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D4D14C3-6725-4A67-8ECA-7D8FAD4E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unhideWhenUsed="1" w:qFormat="1"/>
    <w:lsdException w:name="heading 5" w:uiPriority="0" w:unhideWhenUsed="1"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qFormat="1"/>
    <w:lsdException w:name="Document Map" w:semiHidden="1"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C43"/>
    <w:pPr>
      <w:adjustRightInd w:val="0"/>
      <w:snapToGrid w:val="0"/>
      <w:spacing w:after="200"/>
    </w:pPr>
    <w:rPr>
      <w:rFonts w:ascii="Tahoma" w:eastAsia="微软雅黑" w:hAnsi="Tahoma" w:cstheme="minorBidi"/>
      <w:sz w:val="22"/>
      <w:szCs w:val="22"/>
    </w:rPr>
  </w:style>
  <w:style w:type="paragraph" w:styleId="1">
    <w:name w:val="heading 1"/>
    <w:basedOn w:val="a"/>
    <w:next w:val="a"/>
    <w:link w:val="1Char"/>
    <w:uiPriority w:val="99"/>
    <w:qFormat/>
    <w:rsid w:val="00852C43"/>
    <w:pPr>
      <w:keepNext/>
      <w:keepLines/>
      <w:adjustRightInd/>
      <w:snapToGrid/>
      <w:spacing w:before="200" w:line="360" w:lineRule="auto"/>
      <w:jc w:val="center"/>
      <w:textAlignment w:val="baseline"/>
      <w:outlineLvl w:val="0"/>
    </w:pPr>
    <w:rPr>
      <w:rFonts w:ascii="Times New Roman" w:eastAsia="黑体" w:hAnsi="Times New Roman" w:cs="Times New Roman"/>
      <w:b/>
      <w:bCs/>
      <w:color w:val="000000"/>
      <w:kern w:val="44"/>
      <w:sz w:val="36"/>
      <w:szCs w:val="44"/>
      <w:u w:color="000000"/>
    </w:rPr>
  </w:style>
  <w:style w:type="paragraph" w:styleId="2">
    <w:name w:val="heading 2"/>
    <w:basedOn w:val="a"/>
    <w:next w:val="a"/>
    <w:link w:val="2Char"/>
    <w:uiPriority w:val="99"/>
    <w:qFormat/>
    <w:rsid w:val="00852C43"/>
    <w:pPr>
      <w:keepNext/>
      <w:keepLines/>
      <w:widowControl w:val="0"/>
      <w:adjustRightInd/>
      <w:snapToGrid/>
      <w:spacing w:before="260" w:after="260" w:line="416" w:lineRule="auto"/>
      <w:jc w:val="both"/>
      <w:outlineLvl w:val="1"/>
    </w:pPr>
    <w:rPr>
      <w:rFonts w:ascii="Arial" w:eastAsia="黑体" w:hAnsi="Arial" w:cs="Times New Roman"/>
      <w:b/>
      <w:bCs/>
      <w:kern w:val="2"/>
      <w:sz w:val="32"/>
      <w:szCs w:val="32"/>
    </w:rPr>
  </w:style>
  <w:style w:type="paragraph" w:styleId="3">
    <w:name w:val="heading 3"/>
    <w:basedOn w:val="a"/>
    <w:next w:val="a"/>
    <w:link w:val="3Char"/>
    <w:uiPriority w:val="99"/>
    <w:qFormat/>
    <w:rsid w:val="00852C43"/>
    <w:pPr>
      <w:keepNext/>
      <w:keepLines/>
      <w:adjustRightInd/>
      <w:snapToGrid/>
      <w:spacing w:before="260" w:after="260" w:line="360" w:lineRule="auto"/>
      <w:textAlignment w:val="baseline"/>
      <w:outlineLvl w:val="2"/>
    </w:pPr>
    <w:rPr>
      <w:rFonts w:ascii="Times New Roman" w:eastAsia="仿宋_GB2312" w:hAnsi="Times New Roman" w:cs="Times New Roman"/>
      <w:b/>
      <w:bCs/>
      <w:sz w:val="30"/>
      <w:szCs w:val="32"/>
      <w:u w:color="000000"/>
    </w:rPr>
  </w:style>
  <w:style w:type="paragraph" w:styleId="4">
    <w:name w:val="heading 4"/>
    <w:basedOn w:val="a"/>
    <w:next w:val="a"/>
    <w:link w:val="4Char"/>
    <w:unhideWhenUsed/>
    <w:qFormat/>
    <w:rsid w:val="00852C43"/>
    <w:pPr>
      <w:keepNext/>
      <w:keepLines/>
      <w:widowControl w:val="0"/>
      <w:adjustRightInd/>
      <w:snapToGrid/>
      <w:spacing w:before="280" w:after="290" w:line="376" w:lineRule="auto"/>
      <w:jc w:val="both"/>
      <w:outlineLvl w:val="3"/>
    </w:pPr>
    <w:rPr>
      <w:rFonts w:asciiTheme="majorHAnsi" w:eastAsiaTheme="majorEastAsia" w:hAnsiTheme="majorHAnsi" w:cstheme="majorBidi"/>
      <w:b/>
      <w:bCs/>
      <w:kern w:val="2"/>
      <w:sz w:val="28"/>
      <w:szCs w:val="28"/>
    </w:rPr>
  </w:style>
  <w:style w:type="paragraph" w:styleId="5">
    <w:name w:val="heading 5"/>
    <w:basedOn w:val="a"/>
    <w:next w:val="a"/>
    <w:link w:val="5Char"/>
    <w:unhideWhenUsed/>
    <w:qFormat/>
    <w:rsid w:val="00852C43"/>
    <w:pPr>
      <w:keepNext/>
      <w:keepLines/>
      <w:widowControl w:val="0"/>
      <w:adjustRightInd/>
      <w:snapToGrid/>
      <w:spacing w:before="280" w:after="290" w:line="376" w:lineRule="auto"/>
      <w:jc w:val="both"/>
      <w:outlineLvl w:val="4"/>
    </w:pPr>
    <w:rPr>
      <w:rFonts w:ascii="Times New Roman" w:eastAsia="宋体" w:hAnsi="Times New Roman" w:cs="Times New Roman"/>
      <w:b/>
      <w:bCs/>
      <w:kern w:val="2"/>
      <w:sz w:val="28"/>
      <w:szCs w:val="28"/>
    </w:rPr>
  </w:style>
  <w:style w:type="paragraph" w:styleId="6">
    <w:name w:val="heading 6"/>
    <w:basedOn w:val="a"/>
    <w:next w:val="a"/>
    <w:link w:val="6Char"/>
    <w:unhideWhenUsed/>
    <w:qFormat/>
    <w:rsid w:val="00852C43"/>
    <w:pPr>
      <w:keepNext/>
      <w:keepLines/>
      <w:widowControl w:val="0"/>
      <w:adjustRightInd/>
      <w:snapToGrid/>
      <w:spacing w:before="240" w:after="64" w:line="320" w:lineRule="auto"/>
      <w:jc w:val="both"/>
      <w:outlineLvl w:val="5"/>
    </w:pPr>
    <w:rPr>
      <w:rFonts w:asciiTheme="majorHAnsi" w:eastAsiaTheme="majorEastAsia" w:hAnsiTheme="majorHAnsi" w:cstheme="majorBidi"/>
      <w:b/>
      <w:bC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852C43"/>
    <w:pPr>
      <w:widowControl w:val="0"/>
      <w:shd w:val="clear" w:color="auto" w:fill="000080"/>
      <w:adjustRightInd/>
      <w:snapToGrid/>
      <w:spacing w:after="0"/>
      <w:jc w:val="both"/>
    </w:pPr>
    <w:rPr>
      <w:rFonts w:ascii="Times New Roman" w:eastAsia="宋体" w:hAnsi="Times New Roman" w:cs="Times New Roman"/>
      <w:kern w:val="2"/>
      <w:sz w:val="21"/>
      <w:szCs w:val="24"/>
    </w:rPr>
  </w:style>
  <w:style w:type="paragraph" w:styleId="a4">
    <w:name w:val="annotation text"/>
    <w:basedOn w:val="a"/>
    <w:link w:val="Char0"/>
    <w:uiPriority w:val="99"/>
    <w:unhideWhenUsed/>
    <w:qFormat/>
    <w:rsid w:val="00852C43"/>
  </w:style>
  <w:style w:type="paragraph" w:styleId="a5">
    <w:name w:val="Body Text"/>
    <w:basedOn w:val="a"/>
    <w:link w:val="Char1"/>
    <w:uiPriority w:val="99"/>
    <w:qFormat/>
    <w:rsid w:val="00852C43"/>
    <w:pPr>
      <w:widowControl w:val="0"/>
      <w:adjustRightInd/>
      <w:snapToGrid/>
      <w:spacing w:after="120"/>
      <w:jc w:val="both"/>
    </w:pPr>
    <w:rPr>
      <w:rFonts w:ascii="Times New Roman" w:eastAsia="宋体" w:hAnsi="Times New Roman" w:cs="Times New Roman"/>
      <w:kern w:val="2"/>
      <w:sz w:val="21"/>
      <w:szCs w:val="24"/>
    </w:rPr>
  </w:style>
  <w:style w:type="paragraph" w:styleId="30">
    <w:name w:val="toc 3"/>
    <w:basedOn w:val="a"/>
    <w:next w:val="a"/>
    <w:uiPriority w:val="39"/>
    <w:qFormat/>
    <w:rsid w:val="00852C43"/>
    <w:pPr>
      <w:widowControl w:val="0"/>
      <w:adjustRightInd/>
      <w:snapToGrid/>
      <w:spacing w:after="0"/>
      <w:ind w:leftChars="400" w:left="840"/>
      <w:jc w:val="both"/>
    </w:pPr>
    <w:rPr>
      <w:rFonts w:ascii="Times New Roman" w:eastAsia="宋体" w:hAnsi="Times New Roman" w:cs="Times New Roman"/>
      <w:kern w:val="2"/>
      <w:sz w:val="28"/>
      <w:szCs w:val="24"/>
    </w:rPr>
  </w:style>
  <w:style w:type="paragraph" w:styleId="a6">
    <w:name w:val="Plain Text"/>
    <w:basedOn w:val="a"/>
    <w:link w:val="Char2"/>
    <w:uiPriority w:val="99"/>
    <w:qFormat/>
    <w:rsid w:val="00852C43"/>
    <w:pPr>
      <w:adjustRightInd/>
      <w:snapToGrid/>
      <w:spacing w:after="0" w:line="351" w:lineRule="atLeast"/>
      <w:ind w:firstLine="419"/>
      <w:jc w:val="both"/>
      <w:textAlignment w:val="baseline"/>
    </w:pPr>
    <w:rPr>
      <w:rFonts w:ascii="宋体" w:eastAsia="宋体" w:hAnsi="Times New Roman" w:cs="Times New Roman"/>
      <w:color w:val="000000"/>
      <w:sz w:val="21"/>
      <w:szCs w:val="20"/>
      <w:u w:color="000000"/>
    </w:rPr>
  </w:style>
  <w:style w:type="paragraph" w:styleId="a7">
    <w:name w:val="Balloon Text"/>
    <w:basedOn w:val="a"/>
    <w:link w:val="Char3"/>
    <w:uiPriority w:val="99"/>
    <w:qFormat/>
    <w:rsid w:val="00852C43"/>
    <w:pPr>
      <w:widowControl w:val="0"/>
      <w:adjustRightInd/>
      <w:snapToGrid/>
      <w:spacing w:after="0"/>
      <w:jc w:val="both"/>
    </w:pPr>
    <w:rPr>
      <w:rFonts w:ascii="Times New Roman" w:eastAsia="宋体" w:hAnsi="Times New Roman" w:cs="Times New Roman"/>
      <w:kern w:val="2"/>
      <w:sz w:val="18"/>
      <w:szCs w:val="18"/>
    </w:rPr>
  </w:style>
  <w:style w:type="paragraph" w:styleId="a8">
    <w:name w:val="footer"/>
    <w:basedOn w:val="a"/>
    <w:link w:val="Char4"/>
    <w:uiPriority w:val="99"/>
    <w:unhideWhenUsed/>
    <w:qFormat/>
    <w:rsid w:val="00852C43"/>
    <w:pPr>
      <w:tabs>
        <w:tab w:val="center" w:pos="4153"/>
        <w:tab w:val="right" w:pos="8306"/>
      </w:tabs>
    </w:pPr>
    <w:rPr>
      <w:sz w:val="18"/>
      <w:szCs w:val="18"/>
    </w:rPr>
  </w:style>
  <w:style w:type="paragraph" w:styleId="a9">
    <w:name w:val="header"/>
    <w:basedOn w:val="a"/>
    <w:link w:val="Char5"/>
    <w:uiPriority w:val="99"/>
    <w:unhideWhenUsed/>
    <w:qFormat/>
    <w:rsid w:val="00852C43"/>
    <w:pPr>
      <w:pBdr>
        <w:bottom w:val="single" w:sz="6" w:space="1" w:color="auto"/>
      </w:pBdr>
      <w:tabs>
        <w:tab w:val="center" w:pos="4153"/>
        <w:tab w:val="right" w:pos="8306"/>
      </w:tabs>
      <w:jc w:val="center"/>
    </w:pPr>
    <w:rPr>
      <w:sz w:val="18"/>
      <w:szCs w:val="18"/>
    </w:rPr>
  </w:style>
  <w:style w:type="paragraph" w:styleId="10">
    <w:name w:val="toc 1"/>
    <w:basedOn w:val="a"/>
    <w:next w:val="a"/>
    <w:uiPriority w:val="39"/>
    <w:qFormat/>
    <w:rsid w:val="00852C43"/>
    <w:pPr>
      <w:widowControl w:val="0"/>
      <w:tabs>
        <w:tab w:val="right" w:leader="dot" w:pos="8777"/>
      </w:tabs>
      <w:adjustRightInd/>
      <w:snapToGrid/>
      <w:spacing w:after="0" w:line="360" w:lineRule="auto"/>
      <w:jc w:val="both"/>
    </w:pPr>
    <w:rPr>
      <w:rFonts w:ascii="Times New Roman" w:eastAsia="黑体" w:hAnsi="Times New Roman" w:cs="Times New Roman"/>
      <w:kern w:val="2"/>
      <w:sz w:val="32"/>
      <w:szCs w:val="32"/>
    </w:rPr>
  </w:style>
  <w:style w:type="paragraph" w:styleId="aa">
    <w:name w:val="footnote text"/>
    <w:basedOn w:val="a"/>
    <w:link w:val="Char6"/>
    <w:uiPriority w:val="99"/>
    <w:qFormat/>
    <w:rsid w:val="00852C43"/>
    <w:pPr>
      <w:widowControl w:val="0"/>
      <w:adjustRightInd/>
      <w:spacing w:after="0"/>
    </w:pPr>
    <w:rPr>
      <w:rFonts w:ascii="Times New Roman" w:eastAsia="宋体" w:hAnsi="Times New Roman" w:cs="Times New Roman"/>
      <w:kern w:val="2"/>
      <w:sz w:val="18"/>
      <w:szCs w:val="18"/>
    </w:rPr>
  </w:style>
  <w:style w:type="paragraph" w:styleId="20">
    <w:name w:val="toc 2"/>
    <w:basedOn w:val="a"/>
    <w:next w:val="a"/>
    <w:uiPriority w:val="39"/>
    <w:qFormat/>
    <w:rsid w:val="00852C43"/>
    <w:pPr>
      <w:widowControl w:val="0"/>
      <w:adjustRightInd/>
      <w:snapToGrid/>
      <w:spacing w:after="0"/>
      <w:ind w:leftChars="200" w:left="420"/>
      <w:jc w:val="both"/>
    </w:pPr>
    <w:rPr>
      <w:rFonts w:ascii="Times New Roman" w:eastAsia="宋体" w:hAnsi="Times New Roman" w:cs="Times New Roman"/>
      <w:kern w:val="2"/>
      <w:sz w:val="30"/>
      <w:szCs w:val="24"/>
    </w:rPr>
  </w:style>
  <w:style w:type="paragraph" w:styleId="HTML">
    <w:name w:val="HTML Preformatted"/>
    <w:basedOn w:val="a"/>
    <w:link w:val="HTMLChar"/>
    <w:unhideWhenUsed/>
    <w:qFormat/>
    <w:rsid w:val="00852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paragraph" w:styleId="ab">
    <w:name w:val="Normal (Web)"/>
    <w:basedOn w:val="a"/>
    <w:uiPriority w:val="99"/>
    <w:qFormat/>
    <w:rsid w:val="00852C43"/>
    <w:pPr>
      <w:adjustRightInd/>
      <w:snapToGrid/>
      <w:spacing w:before="100" w:beforeAutospacing="1" w:after="100" w:afterAutospacing="1"/>
    </w:pPr>
    <w:rPr>
      <w:rFonts w:ascii="宋体" w:eastAsia="宋体" w:hAnsi="宋体" w:cs="宋体"/>
      <w:sz w:val="24"/>
      <w:szCs w:val="24"/>
    </w:rPr>
  </w:style>
  <w:style w:type="paragraph" w:styleId="ac">
    <w:name w:val="Title"/>
    <w:basedOn w:val="a"/>
    <w:next w:val="a"/>
    <w:link w:val="Char7"/>
    <w:qFormat/>
    <w:rsid w:val="00852C43"/>
    <w:pPr>
      <w:widowControl w:val="0"/>
      <w:adjustRightInd/>
      <w:snapToGrid/>
      <w:spacing w:before="240" w:after="60"/>
      <w:jc w:val="center"/>
      <w:outlineLvl w:val="0"/>
    </w:pPr>
    <w:rPr>
      <w:rFonts w:asciiTheme="majorHAnsi" w:eastAsia="宋体" w:hAnsiTheme="majorHAnsi" w:cstheme="majorBidi"/>
      <w:b/>
      <w:bCs/>
      <w:kern w:val="2"/>
      <w:sz w:val="32"/>
      <w:szCs w:val="32"/>
    </w:rPr>
  </w:style>
  <w:style w:type="paragraph" w:styleId="ad">
    <w:name w:val="annotation subject"/>
    <w:basedOn w:val="a4"/>
    <w:next w:val="a4"/>
    <w:link w:val="Char8"/>
    <w:uiPriority w:val="99"/>
    <w:qFormat/>
    <w:rsid w:val="00852C43"/>
    <w:pPr>
      <w:widowControl w:val="0"/>
      <w:adjustRightInd/>
      <w:snapToGrid/>
      <w:spacing w:after="0"/>
    </w:pPr>
    <w:rPr>
      <w:rFonts w:ascii="Times New Roman" w:eastAsia="宋体" w:hAnsi="Times New Roman" w:cs="Times New Roman"/>
      <w:b/>
      <w:bCs/>
      <w:kern w:val="2"/>
      <w:sz w:val="21"/>
      <w:szCs w:val="24"/>
    </w:rPr>
  </w:style>
  <w:style w:type="character" w:styleId="ae">
    <w:name w:val="page number"/>
    <w:basedOn w:val="a0"/>
    <w:uiPriority w:val="99"/>
    <w:qFormat/>
    <w:rsid w:val="00852C43"/>
  </w:style>
  <w:style w:type="character" w:styleId="af">
    <w:name w:val="FollowedHyperlink"/>
    <w:basedOn w:val="a0"/>
    <w:uiPriority w:val="99"/>
    <w:unhideWhenUsed/>
    <w:qFormat/>
    <w:rsid w:val="00852C43"/>
    <w:rPr>
      <w:color w:val="800080"/>
      <w:u w:val="single"/>
    </w:rPr>
  </w:style>
  <w:style w:type="character" w:styleId="af0">
    <w:name w:val="Emphasis"/>
    <w:uiPriority w:val="99"/>
    <w:qFormat/>
    <w:rsid w:val="00852C43"/>
    <w:rPr>
      <w:color w:val="CC0000"/>
    </w:rPr>
  </w:style>
  <w:style w:type="character" w:styleId="af1">
    <w:name w:val="Hyperlink"/>
    <w:uiPriority w:val="99"/>
    <w:qFormat/>
    <w:rsid w:val="00852C43"/>
    <w:rPr>
      <w:color w:val="0000FF"/>
      <w:u w:val="single"/>
    </w:rPr>
  </w:style>
  <w:style w:type="character" w:styleId="af2">
    <w:name w:val="annotation reference"/>
    <w:basedOn w:val="a0"/>
    <w:uiPriority w:val="99"/>
    <w:qFormat/>
    <w:rsid w:val="00852C43"/>
    <w:rPr>
      <w:sz w:val="21"/>
      <w:szCs w:val="21"/>
    </w:rPr>
  </w:style>
  <w:style w:type="character" w:styleId="af3">
    <w:name w:val="footnote reference"/>
    <w:basedOn w:val="a0"/>
    <w:uiPriority w:val="99"/>
    <w:qFormat/>
    <w:rsid w:val="00852C43"/>
    <w:rPr>
      <w:vertAlign w:val="superscript"/>
    </w:rPr>
  </w:style>
  <w:style w:type="character" w:customStyle="1" w:styleId="1Char">
    <w:name w:val="标题 1 Char"/>
    <w:basedOn w:val="a0"/>
    <w:link w:val="1"/>
    <w:uiPriority w:val="99"/>
    <w:qFormat/>
    <w:rsid w:val="00852C43"/>
    <w:rPr>
      <w:rFonts w:ascii="Times New Roman" w:eastAsia="黑体" w:hAnsi="Times New Roman" w:cs="Times New Roman"/>
      <w:b/>
      <w:bCs/>
      <w:color w:val="000000"/>
      <w:kern w:val="44"/>
      <w:sz w:val="36"/>
      <w:szCs w:val="44"/>
      <w:u w:color="000000"/>
    </w:rPr>
  </w:style>
  <w:style w:type="character" w:customStyle="1" w:styleId="2Char">
    <w:name w:val="标题 2 Char"/>
    <w:basedOn w:val="a0"/>
    <w:link w:val="2"/>
    <w:uiPriority w:val="99"/>
    <w:qFormat/>
    <w:rsid w:val="00852C43"/>
    <w:rPr>
      <w:rFonts w:ascii="Arial" w:eastAsia="黑体" w:hAnsi="Arial" w:cs="Times New Roman"/>
      <w:b/>
      <w:bCs/>
      <w:kern w:val="2"/>
      <w:sz w:val="32"/>
      <w:szCs w:val="32"/>
    </w:rPr>
  </w:style>
  <w:style w:type="character" w:customStyle="1" w:styleId="3Char">
    <w:name w:val="标题 3 Char"/>
    <w:basedOn w:val="a0"/>
    <w:link w:val="3"/>
    <w:uiPriority w:val="99"/>
    <w:qFormat/>
    <w:rsid w:val="00852C43"/>
    <w:rPr>
      <w:rFonts w:ascii="Times New Roman" w:eastAsia="仿宋_GB2312" w:hAnsi="Times New Roman" w:cs="Times New Roman"/>
      <w:b/>
      <w:bCs/>
      <w:sz w:val="30"/>
      <w:szCs w:val="32"/>
      <w:u w:color="000000"/>
    </w:rPr>
  </w:style>
  <w:style w:type="character" w:customStyle="1" w:styleId="4Char">
    <w:name w:val="标题 4 Char"/>
    <w:basedOn w:val="a0"/>
    <w:link w:val="4"/>
    <w:qFormat/>
    <w:rsid w:val="00852C43"/>
    <w:rPr>
      <w:rFonts w:asciiTheme="majorHAnsi" w:eastAsiaTheme="majorEastAsia" w:hAnsiTheme="majorHAnsi" w:cstheme="majorBidi"/>
      <w:b/>
      <w:bCs/>
      <w:kern w:val="2"/>
      <w:sz w:val="28"/>
      <w:szCs w:val="28"/>
    </w:rPr>
  </w:style>
  <w:style w:type="character" w:customStyle="1" w:styleId="5Char">
    <w:name w:val="标题 5 Char"/>
    <w:basedOn w:val="a0"/>
    <w:link w:val="5"/>
    <w:qFormat/>
    <w:rsid w:val="00852C43"/>
    <w:rPr>
      <w:rFonts w:ascii="Times New Roman" w:eastAsia="宋体" w:hAnsi="Times New Roman" w:cs="Times New Roman"/>
      <w:b/>
      <w:bCs/>
      <w:kern w:val="2"/>
      <w:sz w:val="28"/>
      <w:szCs w:val="28"/>
    </w:rPr>
  </w:style>
  <w:style w:type="character" w:customStyle="1" w:styleId="6Char">
    <w:name w:val="标题 6 Char"/>
    <w:basedOn w:val="a0"/>
    <w:link w:val="6"/>
    <w:qFormat/>
    <w:rsid w:val="00852C43"/>
    <w:rPr>
      <w:rFonts w:asciiTheme="majorHAnsi" w:eastAsiaTheme="majorEastAsia" w:hAnsiTheme="majorHAnsi" w:cstheme="majorBidi"/>
      <w:b/>
      <w:bCs/>
      <w:kern w:val="2"/>
      <w:sz w:val="24"/>
      <w:szCs w:val="24"/>
    </w:rPr>
  </w:style>
  <w:style w:type="character" w:customStyle="1" w:styleId="Char5">
    <w:name w:val="页眉 Char"/>
    <w:basedOn w:val="a0"/>
    <w:link w:val="a9"/>
    <w:uiPriority w:val="99"/>
    <w:qFormat/>
    <w:rsid w:val="00852C43"/>
    <w:rPr>
      <w:rFonts w:ascii="Tahoma" w:hAnsi="Tahoma"/>
      <w:sz w:val="18"/>
      <w:szCs w:val="18"/>
    </w:rPr>
  </w:style>
  <w:style w:type="character" w:customStyle="1" w:styleId="Char4">
    <w:name w:val="页脚 Char"/>
    <w:basedOn w:val="a0"/>
    <w:link w:val="a8"/>
    <w:uiPriority w:val="99"/>
    <w:qFormat/>
    <w:rsid w:val="00852C43"/>
    <w:rPr>
      <w:rFonts w:ascii="Tahoma" w:hAnsi="Tahoma"/>
      <w:sz w:val="18"/>
      <w:szCs w:val="18"/>
    </w:rPr>
  </w:style>
  <w:style w:type="paragraph" w:customStyle="1" w:styleId="11">
    <w:name w:val="标题1"/>
    <w:basedOn w:val="a"/>
    <w:qFormat/>
    <w:rsid w:val="00852C43"/>
    <w:pPr>
      <w:widowControl w:val="0"/>
      <w:adjustRightInd/>
      <w:snapToGrid/>
      <w:spacing w:after="0"/>
      <w:ind w:firstLineChars="200" w:firstLine="640"/>
      <w:jc w:val="center"/>
    </w:pPr>
    <w:rPr>
      <w:rFonts w:ascii="Times New Roman" w:eastAsia="黑体" w:hAnsi="Times New Roman" w:cs="Times New Roman"/>
      <w:kern w:val="2"/>
      <w:sz w:val="32"/>
      <w:szCs w:val="21"/>
    </w:rPr>
  </w:style>
  <w:style w:type="paragraph" w:styleId="af4">
    <w:name w:val="List Paragraph"/>
    <w:basedOn w:val="a"/>
    <w:uiPriority w:val="99"/>
    <w:qFormat/>
    <w:rsid w:val="00852C43"/>
    <w:pPr>
      <w:ind w:firstLineChars="200" w:firstLine="420"/>
    </w:pPr>
  </w:style>
  <w:style w:type="character" w:customStyle="1" w:styleId="Char0">
    <w:name w:val="批注文字 Char"/>
    <w:basedOn w:val="a0"/>
    <w:link w:val="a4"/>
    <w:uiPriority w:val="99"/>
    <w:qFormat/>
    <w:rsid w:val="00852C43"/>
    <w:rPr>
      <w:rFonts w:ascii="Tahoma" w:hAnsi="Tahoma"/>
    </w:rPr>
  </w:style>
  <w:style w:type="character" w:customStyle="1" w:styleId="Char8">
    <w:name w:val="批注主题 Char"/>
    <w:basedOn w:val="Char0"/>
    <w:link w:val="ad"/>
    <w:uiPriority w:val="99"/>
    <w:qFormat/>
    <w:rsid w:val="00852C43"/>
    <w:rPr>
      <w:rFonts w:ascii="Times New Roman" w:eastAsia="宋体" w:hAnsi="Times New Roman" w:cs="Times New Roman"/>
      <w:b/>
      <w:bCs/>
      <w:kern w:val="2"/>
      <w:sz w:val="21"/>
      <w:szCs w:val="24"/>
    </w:rPr>
  </w:style>
  <w:style w:type="character" w:customStyle="1" w:styleId="Char">
    <w:name w:val="文档结构图 Char"/>
    <w:basedOn w:val="a0"/>
    <w:link w:val="a3"/>
    <w:uiPriority w:val="99"/>
    <w:semiHidden/>
    <w:qFormat/>
    <w:rsid w:val="00852C43"/>
    <w:rPr>
      <w:rFonts w:ascii="Times New Roman" w:eastAsia="宋体" w:hAnsi="Times New Roman" w:cs="Times New Roman"/>
      <w:kern w:val="2"/>
      <w:sz w:val="21"/>
      <w:szCs w:val="24"/>
      <w:shd w:val="clear" w:color="auto" w:fill="000080"/>
    </w:rPr>
  </w:style>
  <w:style w:type="character" w:customStyle="1" w:styleId="Char1">
    <w:name w:val="正文文本 Char"/>
    <w:basedOn w:val="a0"/>
    <w:link w:val="a5"/>
    <w:uiPriority w:val="99"/>
    <w:qFormat/>
    <w:rsid w:val="00852C43"/>
    <w:rPr>
      <w:rFonts w:ascii="Times New Roman" w:eastAsia="宋体" w:hAnsi="Times New Roman" w:cs="Times New Roman"/>
      <w:kern w:val="2"/>
      <w:sz w:val="21"/>
      <w:szCs w:val="24"/>
    </w:rPr>
  </w:style>
  <w:style w:type="character" w:customStyle="1" w:styleId="Char2">
    <w:name w:val="纯文本 Char"/>
    <w:basedOn w:val="a0"/>
    <w:link w:val="a6"/>
    <w:uiPriority w:val="99"/>
    <w:qFormat/>
    <w:rsid w:val="00852C43"/>
    <w:rPr>
      <w:rFonts w:ascii="宋体" w:eastAsia="宋体" w:hAnsi="Times New Roman" w:cs="Times New Roman"/>
      <w:color w:val="000000"/>
      <w:sz w:val="21"/>
      <w:szCs w:val="20"/>
      <w:u w:color="000000"/>
    </w:rPr>
  </w:style>
  <w:style w:type="character" w:customStyle="1" w:styleId="Char3">
    <w:name w:val="批注框文本 Char"/>
    <w:basedOn w:val="a0"/>
    <w:link w:val="a7"/>
    <w:uiPriority w:val="99"/>
    <w:qFormat/>
    <w:rsid w:val="00852C43"/>
    <w:rPr>
      <w:rFonts w:ascii="Times New Roman" w:eastAsia="宋体" w:hAnsi="Times New Roman" w:cs="Times New Roman"/>
      <w:kern w:val="2"/>
      <w:sz w:val="18"/>
      <w:szCs w:val="18"/>
    </w:rPr>
  </w:style>
  <w:style w:type="character" w:customStyle="1" w:styleId="Char6">
    <w:name w:val="脚注文本 Char"/>
    <w:basedOn w:val="a0"/>
    <w:link w:val="aa"/>
    <w:uiPriority w:val="99"/>
    <w:qFormat/>
    <w:rsid w:val="00852C43"/>
    <w:rPr>
      <w:rFonts w:ascii="Times New Roman" w:eastAsia="宋体" w:hAnsi="Times New Roman" w:cs="Times New Roman"/>
      <w:kern w:val="2"/>
      <w:sz w:val="18"/>
      <w:szCs w:val="18"/>
    </w:rPr>
  </w:style>
  <w:style w:type="character" w:customStyle="1" w:styleId="HTMLChar">
    <w:name w:val="HTML 预设格式 Char"/>
    <w:basedOn w:val="a0"/>
    <w:link w:val="HTML"/>
    <w:qFormat/>
    <w:rsid w:val="00852C43"/>
    <w:rPr>
      <w:rFonts w:ascii="宋体" w:eastAsia="宋体" w:hAnsi="宋体" w:cs="宋体"/>
      <w:sz w:val="24"/>
      <w:szCs w:val="24"/>
    </w:rPr>
  </w:style>
  <w:style w:type="paragraph" w:customStyle="1" w:styleId="xl69">
    <w:name w:val="xl69"/>
    <w:basedOn w:val="a"/>
    <w:uiPriority w:val="99"/>
    <w:qFormat/>
    <w:rsid w:val="00852C43"/>
    <w:pPr>
      <w:pBdr>
        <w:top w:val="single" w:sz="8" w:space="0" w:color="auto"/>
        <w:left w:val="single" w:sz="8" w:space="0" w:color="auto"/>
        <w:right w:val="single" w:sz="8" w:space="0" w:color="auto"/>
      </w:pBdr>
      <w:adjustRightInd/>
      <w:snapToGrid/>
      <w:spacing w:before="100" w:beforeAutospacing="1" w:after="100" w:afterAutospacing="1"/>
      <w:jc w:val="center"/>
    </w:pPr>
    <w:rPr>
      <w:rFonts w:ascii="宋体" w:eastAsia="宋体" w:hAnsi="宋体" w:cs="宋体"/>
      <w:b/>
      <w:bCs/>
      <w:sz w:val="24"/>
      <w:szCs w:val="24"/>
    </w:rPr>
  </w:style>
  <w:style w:type="paragraph" w:customStyle="1" w:styleId="xl74">
    <w:name w:val="xl74"/>
    <w:basedOn w:val="a"/>
    <w:uiPriority w:val="99"/>
    <w:qFormat/>
    <w:rsid w:val="00852C43"/>
    <w:pPr>
      <w:pBdr>
        <w:right w:val="single" w:sz="8" w:space="0" w:color="auto"/>
      </w:pBdr>
      <w:adjustRightInd/>
      <w:snapToGrid/>
      <w:spacing w:before="100" w:beforeAutospacing="1" w:after="100" w:afterAutospacing="1"/>
      <w:jc w:val="center"/>
    </w:pPr>
    <w:rPr>
      <w:rFonts w:ascii="宋体" w:eastAsia="宋体" w:hAnsi="宋体" w:cs="宋体"/>
    </w:rPr>
  </w:style>
  <w:style w:type="paragraph" w:customStyle="1" w:styleId="xl70">
    <w:name w:val="xl70"/>
    <w:basedOn w:val="a"/>
    <w:uiPriority w:val="99"/>
    <w:qFormat/>
    <w:rsid w:val="00852C43"/>
    <w:pPr>
      <w:pBdr>
        <w:left w:val="single" w:sz="8" w:space="0" w:color="auto"/>
        <w:bottom w:val="single" w:sz="8" w:space="0" w:color="auto"/>
        <w:right w:val="single" w:sz="8" w:space="0" w:color="auto"/>
      </w:pBdr>
      <w:adjustRightInd/>
      <w:snapToGrid/>
      <w:spacing w:before="100" w:beforeAutospacing="1" w:after="100" w:afterAutospacing="1"/>
      <w:jc w:val="center"/>
    </w:pPr>
    <w:rPr>
      <w:rFonts w:ascii="宋体" w:eastAsia="宋体" w:hAnsi="宋体" w:cs="宋体"/>
      <w:b/>
      <w:bCs/>
      <w:sz w:val="24"/>
      <w:szCs w:val="24"/>
    </w:rPr>
  </w:style>
  <w:style w:type="paragraph" w:customStyle="1" w:styleId="font7">
    <w:name w:val="font7"/>
    <w:basedOn w:val="a"/>
    <w:uiPriority w:val="99"/>
    <w:qFormat/>
    <w:rsid w:val="00852C43"/>
    <w:pPr>
      <w:adjustRightInd/>
      <w:snapToGrid/>
      <w:spacing w:before="100" w:beforeAutospacing="1" w:after="100" w:afterAutospacing="1"/>
    </w:pPr>
    <w:rPr>
      <w:rFonts w:ascii="宋体" w:eastAsia="宋体" w:hAnsi="宋体" w:cs="宋体"/>
      <w:color w:val="000000"/>
      <w:sz w:val="24"/>
      <w:szCs w:val="24"/>
    </w:rPr>
  </w:style>
  <w:style w:type="paragraph" w:customStyle="1" w:styleId="xl72">
    <w:name w:val="xl72"/>
    <w:basedOn w:val="a"/>
    <w:uiPriority w:val="99"/>
    <w:qFormat/>
    <w:rsid w:val="00852C43"/>
    <w:pPr>
      <w:pBdr>
        <w:bottom w:val="single" w:sz="8" w:space="0" w:color="auto"/>
        <w:right w:val="single" w:sz="8" w:space="0" w:color="auto"/>
      </w:pBdr>
      <w:adjustRightInd/>
      <w:snapToGrid/>
      <w:spacing w:before="100" w:beforeAutospacing="1" w:after="100" w:afterAutospacing="1"/>
      <w:jc w:val="center"/>
    </w:pPr>
    <w:rPr>
      <w:rFonts w:ascii="宋体" w:eastAsia="宋体" w:hAnsi="宋体" w:cs="宋体"/>
      <w:b/>
      <w:bCs/>
    </w:rPr>
  </w:style>
  <w:style w:type="paragraph" w:customStyle="1" w:styleId="xl67">
    <w:name w:val="xl67"/>
    <w:basedOn w:val="a"/>
    <w:uiPriority w:val="99"/>
    <w:qFormat/>
    <w:rsid w:val="00852C43"/>
    <w:pPr>
      <w:pBdr>
        <w:bottom w:val="single" w:sz="8" w:space="0" w:color="auto"/>
        <w:right w:val="single" w:sz="8" w:space="0" w:color="auto"/>
      </w:pBdr>
      <w:adjustRightInd/>
      <w:snapToGrid/>
      <w:spacing w:before="100" w:beforeAutospacing="1" w:after="100" w:afterAutospacing="1"/>
      <w:jc w:val="center"/>
    </w:pPr>
    <w:rPr>
      <w:rFonts w:ascii="宋体" w:eastAsia="宋体" w:hAnsi="宋体" w:cs="宋体"/>
      <w:b/>
      <w:bCs/>
      <w:sz w:val="24"/>
      <w:szCs w:val="24"/>
    </w:rPr>
  </w:style>
  <w:style w:type="paragraph" w:customStyle="1" w:styleId="font5">
    <w:name w:val="font5"/>
    <w:basedOn w:val="a"/>
    <w:uiPriority w:val="99"/>
    <w:qFormat/>
    <w:rsid w:val="00852C43"/>
    <w:pPr>
      <w:adjustRightInd/>
      <w:snapToGrid/>
      <w:spacing w:before="100" w:beforeAutospacing="1" w:after="100" w:afterAutospacing="1"/>
    </w:pPr>
    <w:rPr>
      <w:rFonts w:ascii="宋体" w:eastAsia="宋体" w:hAnsi="宋体" w:cs="宋体"/>
      <w:b/>
      <w:bCs/>
      <w:color w:val="000000"/>
      <w:sz w:val="24"/>
      <w:szCs w:val="24"/>
    </w:rPr>
  </w:style>
  <w:style w:type="paragraph" w:customStyle="1" w:styleId="xl65">
    <w:name w:val="xl65"/>
    <w:basedOn w:val="a"/>
    <w:uiPriority w:val="99"/>
    <w:qFormat/>
    <w:rsid w:val="00852C43"/>
    <w:pPr>
      <w:adjustRightInd/>
      <w:snapToGrid/>
      <w:spacing w:before="100" w:beforeAutospacing="1" w:after="100" w:afterAutospacing="1"/>
    </w:pPr>
    <w:rPr>
      <w:rFonts w:ascii="宋体" w:eastAsia="宋体" w:hAnsi="宋体" w:cs="宋体"/>
      <w:sz w:val="24"/>
      <w:szCs w:val="24"/>
    </w:rPr>
  </w:style>
  <w:style w:type="paragraph" w:customStyle="1" w:styleId="font6">
    <w:name w:val="font6"/>
    <w:basedOn w:val="a"/>
    <w:uiPriority w:val="99"/>
    <w:qFormat/>
    <w:rsid w:val="00852C43"/>
    <w:pPr>
      <w:adjustRightInd/>
      <w:snapToGrid/>
      <w:spacing w:before="100" w:beforeAutospacing="1" w:after="100" w:afterAutospacing="1"/>
    </w:pPr>
    <w:rPr>
      <w:rFonts w:ascii="宋体" w:eastAsia="宋体" w:hAnsi="宋体" w:cs="宋体"/>
      <w:color w:val="000000"/>
    </w:rPr>
  </w:style>
  <w:style w:type="paragraph" w:customStyle="1" w:styleId="xl75">
    <w:name w:val="xl75"/>
    <w:basedOn w:val="a"/>
    <w:uiPriority w:val="99"/>
    <w:qFormat/>
    <w:rsid w:val="00852C43"/>
    <w:pPr>
      <w:pBdr>
        <w:bottom w:val="single" w:sz="8" w:space="0" w:color="auto"/>
        <w:right w:val="single" w:sz="8" w:space="0" w:color="auto"/>
      </w:pBdr>
      <w:adjustRightInd/>
      <w:snapToGrid/>
      <w:spacing w:before="100" w:beforeAutospacing="1" w:after="100" w:afterAutospacing="1"/>
      <w:jc w:val="center"/>
    </w:pPr>
    <w:rPr>
      <w:rFonts w:ascii="宋体" w:eastAsia="宋体" w:hAnsi="宋体" w:cs="宋体"/>
    </w:rPr>
  </w:style>
  <w:style w:type="paragraph" w:customStyle="1" w:styleId="CharCharCharCharCharChar1Char">
    <w:name w:val="Char Char Char Char Char Char1 Char"/>
    <w:basedOn w:val="a"/>
    <w:uiPriority w:val="99"/>
    <w:qFormat/>
    <w:rsid w:val="00852C43"/>
    <w:pPr>
      <w:adjustRightInd/>
      <w:snapToGrid/>
      <w:spacing w:after="160" w:line="240" w:lineRule="exact"/>
    </w:pPr>
    <w:rPr>
      <w:rFonts w:ascii="Times New Roman" w:eastAsia="宋体" w:hAnsi="Times New Roman" w:cs="Times New Roman"/>
      <w:kern w:val="2"/>
      <w:sz w:val="21"/>
      <w:szCs w:val="24"/>
    </w:rPr>
  </w:style>
  <w:style w:type="paragraph" w:customStyle="1" w:styleId="xl68">
    <w:name w:val="xl68"/>
    <w:basedOn w:val="a"/>
    <w:uiPriority w:val="99"/>
    <w:qFormat/>
    <w:rsid w:val="00852C43"/>
    <w:pPr>
      <w:pBdr>
        <w:bottom w:val="single" w:sz="8" w:space="0" w:color="auto"/>
        <w:right w:val="single" w:sz="8" w:space="0" w:color="auto"/>
      </w:pBdr>
      <w:adjustRightInd/>
      <w:snapToGrid/>
      <w:spacing w:before="100" w:beforeAutospacing="1" w:after="100" w:afterAutospacing="1"/>
      <w:jc w:val="center"/>
      <w:textAlignment w:val="top"/>
    </w:pPr>
    <w:rPr>
      <w:rFonts w:ascii="宋体" w:eastAsia="宋体" w:hAnsi="宋体" w:cs="宋体"/>
    </w:rPr>
  </w:style>
  <w:style w:type="paragraph" w:customStyle="1" w:styleId="xl66">
    <w:name w:val="xl66"/>
    <w:basedOn w:val="a"/>
    <w:uiPriority w:val="99"/>
    <w:qFormat/>
    <w:rsid w:val="00852C43"/>
    <w:pPr>
      <w:pBdr>
        <w:top w:val="single" w:sz="8" w:space="0" w:color="auto"/>
        <w:bottom w:val="single" w:sz="8" w:space="0" w:color="auto"/>
        <w:right w:val="single" w:sz="8" w:space="0" w:color="auto"/>
      </w:pBdr>
      <w:adjustRightInd/>
      <w:snapToGrid/>
      <w:spacing w:before="100" w:beforeAutospacing="1" w:after="100" w:afterAutospacing="1"/>
      <w:jc w:val="center"/>
    </w:pPr>
    <w:rPr>
      <w:rFonts w:ascii="宋体" w:eastAsia="宋体" w:hAnsi="宋体" w:cs="宋体"/>
      <w:b/>
      <w:bCs/>
      <w:sz w:val="24"/>
      <w:szCs w:val="24"/>
    </w:rPr>
  </w:style>
  <w:style w:type="paragraph" w:customStyle="1" w:styleId="xl73">
    <w:name w:val="xl73"/>
    <w:basedOn w:val="a"/>
    <w:uiPriority w:val="99"/>
    <w:qFormat/>
    <w:rsid w:val="00852C43"/>
    <w:pPr>
      <w:pBdr>
        <w:top w:val="single" w:sz="8" w:space="0" w:color="auto"/>
        <w:right w:val="single" w:sz="8" w:space="0" w:color="auto"/>
      </w:pBdr>
      <w:adjustRightInd/>
      <w:snapToGrid/>
      <w:spacing w:before="100" w:beforeAutospacing="1" w:after="100" w:afterAutospacing="1"/>
      <w:jc w:val="center"/>
    </w:pPr>
    <w:rPr>
      <w:rFonts w:ascii="宋体" w:eastAsia="宋体" w:hAnsi="宋体" w:cs="宋体"/>
      <w:b/>
      <w:bCs/>
      <w:sz w:val="24"/>
      <w:szCs w:val="24"/>
    </w:rPr>
  </w:style>
  <w:style w:type="paragraph" w:customStyle="1" w:styleId="xl71">
    <w:name w:val="xl71"/>
    <w:basedOn w:val="a"/>
    <w:uiPriority w:val="99"/>
    <w:qFormat/>
    <w:rsid w:val="00852C43"/>
    <w:pPr>
      <w:pBdr>
        <w:right w:val="single" w:sz="8" w:space="0" w:color="auto"/>
      </w:pBdr>
      <w:adjustRightInd/>
      <w:snapToGrid/>
      <w:spacing w:before="100" w:beforeAutospacing="1" w:after="100" w:afterAutospacing="1"/>
      <w:jc w:val="center"/>
    </w:pPr>
    <w:rPr>
      <w:rFonts w:ascii="宋体" w:eastAsia="宋体" w:hAnsi="宋体" w:cs="宋体"/>
      <w:b/>
      <w:bCs/>
    </w:rPr>
  </w:style>
  <w:style w:type="paragraph" w:customStyle="1" w:styleId="230">
    <w:name w:val="样式 标题 2 + 行距: 固定值 30 磅"/>
    <w:basedOn w:val="2"/>
    <w:uiPriority w:val="99"/>
    <w:qFormat/>
    <w:rsid w:val="00852C43"/>
    <w:pPr>
      <w:widowControl/>
      <w:spacing w:line="600" w:lineRule="exact"/>
      <w:jc w:val="left"/>
      <w:textAlignment w:val="baseline"/>
    </w:pPr>
    <w:rPr>
      <w:rFonts w:eastAsia="楷体_GB2312" w:cs="宋体"/>
      <w:color w:val="000000"/>
      <w:kern w:val="0"/>
      <w:szCs w:val="20"/>
      <w:u w:color="000000"/>
    </w:rPr>
  </w:style>
  <w:style w:type="paragraph" w:customStyle="1" w:styleId="12">
    <w:name w:val="列出段落1"/>
    <w:basedOn w:val="a"/>
    <w:uiPriority w:val="99"/>
    <w:qFormat/>
    <w:rsid w:val="00852C43"/>
    <w:pPr>
      <w:widowControl w:val="0"/>
      <w:adjustRightInd/>
      <w:snapToGrid/>
      <w:spacing w:after="0"/>
      <w:ind w:firstLineChars="200" w:firstLine="420"/>
      <w:jc w:val="both"/>
    </w:pPr>
    <w:rPr>
      <w:rFonts w:ascii="Times New Roman" w:eastAsia="宋体" w:hAnsi="Times New Roman" w:cs="Times New Roman"/>
      <w:kern w:val="2"/>
      <w:sz w:val="21"/>
      <w:szCs w:val="24"/>
    </w:rPr>
  </w:style>
  <w:style w:type="paragraph" w:customStyle="1" w:styleId="CharChar">
    <w:name w:val="Char Char"/>
    <w:basedOn w:val="a"/>
    <w:qFormat/>
    <w:rsid w:val="00852C43"/>
    <w:pPr>
      <w:widowControl w:val="0"/>
      <w:adjustRightInd/>
      <w:snapToGrid/>
      <w:spacing w:after="0"/>
      <w:jc w:val="both"/>
    </w:pPr>
    <w:rPr>
      <w:rFonts w:ascii="Times New Roman" w:eastAsia="宋体" w:hAnsi="Times New Roman" w:cs="Times New Roman"/>
      <w:kern w:val="2"/>
      <w:sz w:val="21"/>
      <w:szCs w:val="24"/>
    </w:rPr>
  </w:style>
  <w:style w:type="paragraph" w:customStyle="1" w:styleId="Char9">
    <w:name w:val="Char"/>
    <w:basedOn w:val="a"/>
    <w:uiPriority w:val="99"/>
    <w:qFormat/>
    <w:rsid w:val="00852C43"/>
    <w:pPr>
      <w:adjustRightInd/>
      <w:snapToGrid/>
      <w:spacing w:after="160" w:line="240" w:lineRule="exact"/>
    </w:pPr>
    <w:rPr>
      <w:rFonts w:ascii="Calibri" w:eastAsia="宋体" w:hAnsi="Calibri" w:cs="Times New Roman"/>
      <w:kern w:val="2"/>
      <w:sz w:val="21"/>
    </w:rPr>
  </w:style>
  <w:style w:type="paragraph" w:customStyle="1" w:styleId="p">
    <w:name w:val="p"/>
    <w:basedOn w:val="a"/>
    <w:uiPriority w:val="99"/>
    <w:qFormat/>
    <w:rsid w:val="00852C43"/>
    <w:pPr>
      <w:adjustRightInd/>
      <w:snapToGrid/>
      <w:spacing w:before="100" w:beforeAutospacing="1" w:after="100" w:afterAutospacing="1"/>
    </w:pPr>
    <w:rPr>
      <w:rFonts w:ascii="宋体" w:eastAsia="宋体" w:hAnsi="宋体" w:cs="宋体"/>
      <w:sz w:val="24"/>
      <w:szCs w:val="24"/>
    </w:rPr>
  </w:style>
  <w:style w:type="paragraph" w:customStyle="1" w:styleId="ParaCharCharCharChar">
    <w:name w:val="默认段落字体 Para Char Char Char Char"/>
    <w:basedOn w:val="a"/>
    <w:uiPriority w:val="99"/>
    <w:qFormat/>
    <w:rsid w:val="00852C43"/>
    <w:pPr>
      <w:widowControl w:val="0"/>
      <w:adjustRightInd/>
      <w:snapToGrid/>
      <w:spacing w:after="0"/>
      <w:jc w:val="both"/>
    </w:pPr>
    <w:rPr>
      <w:rFonts w:ascii="Times New Roman" w:eastAsia="宋体" w:hAnsi="Times New Roman" w:cs="Times New Roman"/>
      <w:sz w:val="21"/>
      <w:szCs w:val="20"/>
      <w:lang w:eastAsia="en-US"/>
    </w:rPr>
  </w:style>
  <w:style w:type="character" w:customStyle="1" w:styleId="Char7">
    <w:name w:val="标题 Char"/>
    <w:basedOn w:val="a0"/>
    <w:link w:val="ac"/>
    <w:qFormat/>
    <w:rsid w:val="00852C43"/>
    <w:rPr>
      <w:rFonts w:asciiTheme="majorHAnsi" w:eastAsia="宋体" w:hAnsiTheme="majorHAnsi" w:cstheme="majorBidi"/>
      <w:b/>
      <w:bCs/>
      <w:kern w:val="2"/>
      <w:sz w:val="32"/>
      <w:szCs w:val="32"/>
    </w:rPr>
  </w:style>
  <w:style w:type="paragraph" w:customStyle="1" w:styleId="TOC1">
    <w:name w:val="TOC 标题1"/>
    <w:basedOn w:val="1"/>
    <w:next w:val="a"/>
    <w:uiPriority w:val="39"/>
    <w:unhideWhenUsed/>
    <w:qFormat/>
    <w:rsid w:val="00852C43"/>
    <w:pPr>
      <w:spacing w:before="480" w:after="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character" w:customStyle="1" w:styleId="font01">
    <w:name w:val="font01"/>
    <w:basedOn w:val="a0"/>
    <w:qFormat/>
    <w:rsid w:val="00852C43"/>
    <w:rPr>
      <w:rFonts w:ascii="宋体" w:eastAsia="宋体" w:hAnsi="宋体" w:cs="宋体" w:hint="eastAsia"/>
      <w:b/>
      <w:color w:val="000000"/>
      <w:sz w:val="32"/>
      <w:szCs w:val="32"/>
      <w:u w:val="none"/>
    </w:rPr>
  </w:style>
  <w:style w:type="character" w:customStyle="1" w:styleId="font21">
    <w:name w:val="font21"/>
    <w:basedOn w:val="a0"/>
    <w:qFormat/>
    <w:rsid w:val="00852C43"/>
    <w:rPr>
      <w:rFonts w:ascii="Times New Roman" w:hAnsi="Times New Roman" w:cs="Times New Roman" w:hint="default"/>
      <w:b/>
      <w:color w:val="000000"/>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932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24037;&#20316;\&#37096;&#38376;&#25972;&#20307;&#25903;&#20986;&#32489;&#25928;&#35780;&#20215;2019&#24180;&#24230;\&#32467;&#26500;&#22270;&#25968;&#2545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2.xml"/><Relationship Id="rId4" Type="http://schemas.openxmlformats.org/officeDocument/2006/relationships/oleObject" Target="file:///E:\&#24037;&#20316;\&#37096;&#38376;&#25972;&#20307;&#25903;&#20986;&#32489;&#25928;&#35780;&#20215;2019&#24180;&#24230;\&#32467;&#26500;&#22270;&#25968;&#25454;.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3.xml"/><Relationship Id="rId4" Type="http://schemas.openxmlformats.org/officeDocument/2006/relationships/oleObject" Target="file:///E:\&#24037;&#20316;\&#37096;&#38376;&#25972;&#20307;&#25903;&#20986;&#32489;&#25928;&#35780;&#20215;2019&#24180;&#24230;\&#32467;&#26500;&#22270;&#25968;&#25454;.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chartUserShapes" Target="../drawings/drawing4.xml"/><Relationship Id="rId4" Type="http://schemas.openxmlformats.org/officeDocument/2006/relationships/oleObject" Target="file:///E:\&#24037;&#20316;\&#37096;&#38376;&#25972;&#20307;&#25903;&#20986;&#32489;&#25928;&#35780;&#20215;2019&#24180;&#24230;\&#32467;&#26500;&#22270;&#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manualLayout>
          <c:layoutTarget val="inner"/>
          <c:xMode val="edge"/>
          <c:yMode val="edge"/>
          <c:x val="0.11922919524376104"/>
          <c:y val="0.28890966325898471"/>
          <c:w val="0.43546765837943724"/>
          <c:h val="0.61977347229936508"/>
        </c:manualLayout>
      </c:layout>
      <c:pieChart>
        <c:varyColors val="1"/>
        <c:ser>
          <c:idx val="0"/>
          <c:order val="0"/>
          <c:tx>
            <c:strRef>
              <c:f>决算收入!$B$1:$B$2</c:f>
              <c:strCache>
                <c:ptCount val="2"/>
                <c:pt idx="0">
                  <c:v>2019年度决算收入结构图</c:v>
                </c:pt>
              </c:strCache>
            </c:strRef>
          </c:tx>
          <c:dPt>
            <c:idx val="0"/>
            <c:bubble3D val="0"/>
            <c:spPr>
              <a:solidFill>
                <a:schemeClr val="accent1">
                  <a:lumMod val="75000"/>
                </a:schemeClr>
              </a:solidFill>
              <a:ln>
                <a:noFill/>
              </a:ln>
              <a:effectLst>
                <a:outerShdw blurRad="254000" sx="102000" sy="102000" algn="ctr" rotWithShape="0">
                  <a:prstClr val="black">
                    <a:alpha val="20000"/>
                  </a:prstClr>
                </a:outerShdw>
              </a:effectLst>
            </c:spPr>
          </c:dPt>
          <c:dPt>
            <c:idx val="1"/>
            <c:bubble3D val="0"/>
            <c:spPr>
              <a:solidFill>
                <a:srgbClr val="B42E57"/>
              </a:solidFill>
              <a:ln>
                <a:noFill/>
              </a:ln>
              <a:effectLst>
                <a:outerShdw blurRad="254000" sx="102000" sy="102000" algn="ctr" rotWithShape="0">
                  <a:prstClr val="black">
                    <a:alpha val="20000"/>
                  </a:prstClr>
                </a:outerShdw>
              </a:effectLst>
            </c:spPr>
          </c:dPt>
          <c:dPt>
            <c:idx val="2"/>
            <c:bubble3D val="0"/>
            <c:spPr>
              <a:solidFill>
                <a:schemeClr val="accent6"/>
              </a:solidFill>
              <a:ln>
                <a:noFill/>
              </a:ln>
              <a:effectLst>
                <a:outerShdw blurRad="254000" sx="102000" sy="102000" algn="ctr" rotWithShape="0">
                  <a:prstClr val="black">
                    <a:alpha val="20000"/>
                  </a:prstClr>
                </a:outerShdw>
              </a:effectLst>
            </c:spPr>
          </c:dPt>
          <c:dPt>
            <c:idx val="3"/>
            <c:bubble3D val="0"/>
            <c:spPr>
              <a:solidFill>
                <a:srgbClr val="7030A0"/>
              </a:solidFill>
              <a:ln>
                <a:noFill/>
              </a:ln>
              <a:effectLst>
                <a:outerShdw blurRad="254000" sx="102000" sy="102000" algn="ctr" rotWithShape="0">
                  <a:prstClr val="black">
                    <a:alpha val="20000"/>
                  </a:prstClr>
                </a:outerShdw>
              </a:effectLst>
            </c:spPr>
          </c:dPt>
          <c:dLbls>
            <c:dLbl>
              <c:idx val="1"/>
              <c:layout>
                <c:manualLayout>
                  <c:x val="-6.4047963392331084E-2"/>
                  <c:y val="2.1128134740993239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2695530405638109E-2"/>
                  <c:y val="-3.9448597236809352E-2"/>
                </c:manualLayout>
              </c:layout>
              <c:dLblPos val="bestFit"/>
              <c:showLegendKey val="0"/>
              <c:showVal val="1"/>
              <c:showCatName val="0"/>
              <c:showSerName val="0"/>
              <c:showPercent val="1"/>
              <c:showBubbleSize val="0"/>
              <c:extLst>
                <c:ext xmlns:c15="http://schemas.microsoft.com/office/drawing/2012/chart" uri="{CE6537A1-D6FC-4f65-9D91-7224C49458BB}"/>
              </c:extLst>
            </c:dLbl>
            <c:dLbl>
              <c:idx val="3"/>
              <c:layout>
                <c:manualLayout>
                  <c:x val="0.11190437929952626"/>
                  <c:y val="-3.4324194293325942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决算收入!$A$3:$A$7</c:f>
              <c:strCache>
                <c:ptCount val="4"/>
                <c:pt idx="0">
                  <c:v>教育支出</c:v>
                </c:pt>
                <c:pt idx="1">
                  <c:v>社会保障和就业支出</c:v>
                </c:pt>
                <c:pt idx="2">
                  <c:v>医疗卫生与计划生育支出</c:v>
                </c:pt>
                <c:pt idx="3">
                  <c:v>住房保障支出</c:v>
                </c:pt>
              </c:strCache>
            </c:strRef>
          </c:cat>
          <c:val>
            <c:numRef>
              <c:f>决算收入!$B$3:$B$7</c:f>
              <c:numCache>
                <c:formatCode>General</c:formatCode>
                <c:ptCount val="4"/>
                <c:pt idx="0">
                  <c:v>93748.25</c:v>
                </c:pt>
                <c:pt idx="1">
                  <c:v>10221.870000000001</c:v>
                </c:pt>
                <c:pt idx="2">
                  <c:v>3165.06</c:v>
                </c:pt>
                <c:pt idx="3">
                  <c:v>4862.8900000000003</c:v>
                </c:pt>
              </c:numCache>
            </c:numRef>
          </c:val>
        </c:ser>
        <c:ser>
          <c:idx val="1"/>
          <c:order val="1"/>
          <c:tx>
            <c:strRef>
              <c:f>决算收入!$C$1:$C$2</c:f>
              <c:strCache>
                <c:ptCount val="2"/>
                <c:pt idx="0">
                  <c:v>2019年度决算收入结构图</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决算收入!$A$3:$A$7</c:f>
              <c:strCache>
                <c:ptCount val="4"/>
                <c:pt idx="0">
                  <c:v>教育支出</c:v>
                </c:pt>
                <c:pt idx="1">
                  <c:v>社会保障和就业支出</c:v>
                </c:pt>
                <c:pt idx="2">
                  <c:v>医疗卫生与计划生育支出</c:v>
                </c:pt>
                <c:pt idx="3">
                  <c:v>住房保障支出</c:v>
                </c:pt>
              </c:strCache>
            </c:strRef>
          </c:cat>
          <c:val>
            <c:numRef>
              <c:f>决算收入!$C$3:$C$7</c:f>
              <c:numCache>
                <c:formatCode>0%</c:formatCode>
                <c:ptCount val="4"/>
                <c:pt idx="0">
                  <c:v>0.83705237063460114</c:v>
                </c:pt>
                <c:pt idx="1">
                  <c:v>9.1268269176424208E-2</c:v>
                </c:pt>
                <c:pt idx="2">
                  <c:v>2.8259951265231627E-2</c:v>
                </c:pt>
                <c:pt idx="3">
                  <c:v>4.3419408923743068E-2</c:v>
                </c:pt>
              </c:numCache>
            </c:numRef>
          </c:val>
        </c:ser>
        <c:ser>
          <c:idx val="2"/>
          <c:order val="2"/>
          <c:tx>
            <c:strRef>
              <c:f>决算收入!$D$1:$D$2</c:f>
              <c:strCache>
                <c:ptCount val="2"/>
                <c:pt idx="0">
                  <c:v>2019年度决算收入结构图</c:v>
                </c:pt>
                <c:pt idx="1">
                  <c:v>单位：</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决算收入!$A$3:$A$7</c:f>
              <c:strCache>
                <c:ptCount val="4"/>
                <c:pt idx="0">
                  <c:v>教育支出</c:v>
                </c:pt>
                <c:pt idx="1">
                  <c:v>社会保障和就业支出</c:v>
                </c:pt>
                <c:pt idx="2">
                  <c:v>医疗卫生与计划生育支出</c:v>
                </c:pt>
                <c:pt idx="3">
                  <c:v>住房保障支出</c:v>
                </c:pt>
              </c:strCache>
            </c:strRef>
          </c:cat>
          <c:val>
            <c:numRef>
              <c:f>决算收入!$D$3:$D$7</c:f>
              <c:numCache>
                <c:formatCode>General</c:formatCode>
                <c:ptCount val="4"/>
              </c:numCache>
            </c:numRef>
          </c:val>
        </c:ser>
        <c:ser>
          <c:idx val="3"/>
          <c:order val="3"/>
          <c:tx>
            <c:strRef>
              <c:f>决算收入!$E$1:$E$2</c:f>
              <c:strCache>
                <c:ptCount val="2"/>
                <c:pt idx="0">
                  <c:v>2019年度决算收入结构图</c:v>
                </c:pt>
                <c:pt idx="1">
                  <c:v>万元</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决算收入!$A$3:$A$7</c:f>
              <c:strCache>
                <c:ptCount val="4"/>
                <c:pt idx="0">
                  <c:v>教育支出</c:v>
                </c:pt>
                <c:pt idx="1">
                  <c:v>社会保障和就业支出</c:v>
                </c:pt>
                <c:pt idx="2">
                  <c:v>医疗卫生与计划生育支出</c:v>
                </c:pt>
                <c:pt idx="3">
                  <c:v>住房保障支出</c:v>
                </c:pt>
              </c:strCache>
            </c:strRef>
          </c:cat>
          <c:val>
            <c:numRef>
              <c:f>决算收入!$E$3:$E$7</c:f>
              <c:numCache>
                <c:formatCode>General</c:formatCode>
                <c:ptCount val="4"/>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103866528233538"/>
          <c:y val="0.36544851615869128"/>
          <c:w val="0.37156449644949341"/>
          <c:h val="0.42916393336431125"/>
        </c:manualLayout>
      </c:layout>
      <c:overlay val="0"/>
      <c:spPr>
        <a:solidFill>
          <a:schemeClr val="bg1"/>
        </a:solid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dk1">
          <a:lumMod val="25000"/>
          <a:lumOff val="75000"/>
        </a:schemeClr>
      </a:solidFill>
      <a:round/>
    </a:ln>
    <a:effectLst/>
  </c:spPr>
  <c:txPr>
    <a:bodyPr/>
    <a:lstStyle/>
    <a:p>
      <a:pPr>
        <a:defRPr/>
      </a:pPr>
      <a:endParaRPr lang="zh-CN"/>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2019</a:t>
            </a:r>
            <a:r>
              <a:rPr lang="zh-CN" altLang="en-US"/>
              <a:t>年度年度预算收入与决算收入对比图</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6.4870388853975419E-2"/>
          <c:y val="0.17686757409411541"/>
          <c:w val="0.76955011421980257"/>
          <c:h val="0.4970455822502895"/>
        </c:manualLayout>
      </c:layout>
      <c:barChart>
        <c:barDir val="col"/>
        <c:grouping val="clustered"/>
        <c:varyColors val="0"/>
        <c:ser>
          <c:idx val="0"/>
          <c:order val="0"/>
          <c:tx>
            <c:strRef>
              <c:f>预算与决算收入对比!$B$1:$B$2</c:f>
              <c:strCache>
                <c:ptCount val="2"/>
                <c:pt idx="1">
                  <c:v>预算</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预算与决算收入对比!$A$3:$A$6</c:f>
              <c:strCache>
                <c:ptCount val="4"/>
                <c:pt idx="0">
                  <c:v>教育支出</c:v>
                </c:pt>
                <c:pt idx="1">
                  <c:v>社会保障和就业支出</c:v>
                </c:pt>
                <c:pt idx="2">
                  <c:v>医疗卫生与计划生育支出</c:v>
                </c:pt>
                <c:pt idx="3">
                  <c:v>住房保障支出</c:v>
                </c:pt>
              </c:strCache>
            </c:strRef>
          </c:cat>
          <c:val>
            <c:numRef>
              <c:f>预算与决算收入对比!$B$3:$B$6</c:f>
              <c:numCache>
                <c:formatCode>General</c:formatCode>
                <c:ptCount val="4"/>
                <c:pt idx="0">
                  <c:v>93748.25</c:v>
                </c:pt>
                <c:pt idx="1">
                  <c:v>10221.870000000001</c:v>
                </c:pt>
                <c:pt idx="2">
                  <c:v>3165.06</c:v>
                </c:pt>
                <c:pt idx="3">
                  <c:v>4862.8900000000003</c:v>
                </c:pt>
              </c:numCache>
            </c:numRef>
          </c:val>
        </c:ser>
        <c:ser>
          <c:idx val="1"/>
          <c:order val="1"/>
          <c:tx>
            <c:strRef>
              <c:f>预算与决算收入对比!$C$1:$C$2</c:f>
              <c:strCache>
                <c:ptCount val="2"/>
                <c:pt idx="1">
                  <c:v>决算</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预算与决算收入对比!$A$3:$A$6</c:f>
              <c:strCache>
                <c:ptCount val="4"/>
                <c:pt idx="0">
                  <c:v>教育支出</c:v>
                </c:pt>
                <c:pt idx="1">
                  <c:v>社会保障和就业支出</c:v>
                </c:pt>
                <c:pt idx="2">
                  <c:v>医疗卫生与计划生育支出</c:v>
                </c:pt>
                <c:pt idx="3">
                  <c:v>住房保障支出</c:v>
                </c:pt>
              </c:strCache>
            </c:strRef>
          </c:cat>
          <c:val>
            <c:numRef>
              <c:f>预算与决算收入对比!$C$3:$C$6</c:f>
              <c:numCache>
                <c:formatCode>General</c:formatCode>
                <c:ptCount val="4"/>
                <c:pt idx="0">
                  <c:v>108629.25</c:v>
                </c:pt>
                <c:pt idx="1">
                  <c:v>11703.4</c:v>
                </c:pt>
                <c:pt idx="2">
                  <c:v>2443.6799999999998</c:v>
                </c:pt>
                <c:pt idx="3">
                  <c:v>4857.74</c:v>
                </c:pt>
              </c:numCache>
            </c:numRef>
          </c:val>
        </c:ser>
        <c:dLbls>
          <c:showLegendKey val="0"/>
          <c:showVal val="0"/>
          <c:showCatName val="0"/>
          <c:showSerName val="0"/>
          <c:showPercent val="0"/>
          <c:showBubbleSize val="0"/>
        </c:dLbls>
        <c:gapWidth val="219"/>
        <c:overlap val="-27"/>
        <c:axId val="182748016"/>
        <c:axId val="182748408"/>
      </c:barChart>
      <c:catAx>
        <c:axId val="182748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crossAx val="182748408"/>
        <c:crosses val="autoZero"/>
        <c:auto val="1"/>
        <c:lblAlgn val="ctr"/>
        <c:lblOffset val="100"/>
        <c:noMultiLvlLbl val="0"/>
      </c:catAx>
      <c:valAx>
        <c:axId val="1827484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2748016"/>
        <c:crosses val="autoZero"/>
        <c:crossBetween val="between"/>
      </c:valAx>
      <c:spPr>
        <a:noFill/>
        <a:ln>
          <a:noFill/>
        </a:ln>
        <a:effectLst/>
      </c:spPr>
    </c:plotArea>
    <c:legend>
      <c:legendPos val="r"/>
      <c:layout>
        <c:manualLayout>
          <c:xMode val="edge"/>
          <c:yMode val="edge"/>
          <c:x val="0.86610152881679658"/>
          <c:y val="0.40675305235236436"/>
          <c:w val="0.12206415349451716"/>
          <c:h val="0.1812934648834453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manualLayout>
          <c:layoutTarget val="inner"/>
          <c:xMode val="edge"/>
          <c:yMode val="edge"/>
          <c:x val="0.12843133539972565"/>
          <c:y val="0.29440276714948332"/>
          <c:w val="0.43546765837943724"/>
          <c:h val="0.61977347229936508"/>
        </c:manualLayout>
      </c:layout>
      <c:pieChart>
        <c:varyColors val="1"/>
        <c:ser>
          <c:idx val="0"/>
          <c:order val="0"/>
          <c:tx>
            <c:strRef>
              <c:f>决算支出!$B$1:$B$2</c:f>
              <c:strCache>
                <c:ptCount val="2"/>
                <c:pt idx="0">
                  <c:v>2019年度决算支出结构图</c:v>
                </c:pt>
              </c:strCache>
            </c:strRef>
          </c:tx>
          <c:dPt>
            <c:idx val="0"/>
            <c:bubble3D val="0"/>
            <c:spPr>
              <a:solidFill>
                <a:schemeClr val="accent1">
                  <a:lumMod val="75000"/>
                </a:schemeClr>
              </a:solidFill>
              <a:ln>
                <a:noFill/>
              </a:ln>
              <a:effectLst>
                <a:outerShdw blurRad="254000" sx="102000" sy="102000" algn="ctr" rotWithShape="0">
                  <a:prstClr val="black">
                    <a:alpha val="20000"/>
                  </a:prstClr>
                </a:outerShdw>
              </a:effectLst>
            </c:spPr>
          </c:dPt>
          <c:dPt>
            <c:idx val="1"/>
            <c:bubble3D val="0"/>
            <c:spPr>
              <a:solidFill>
                <a:srgbClr val="B42E57"/>
              </a:solidFill>
              <a:ln>
                <a:noFill/>
              </a:ln>
              <a:effectLst>
                <a:outerShdw blurRad="254000" sx="102000" sy="102000" algn="ctr" rotWithShape="0">
                  <a:prstClr val="black">
                    <a:alpha val="20000"/>
                  </a:prstClr>
                </a:outerShdw>
              </a:effectLst>
            </c:spPr>
          </c:dPt>
          <c:dPt>
            <c:idx val="2"/>
            <c:bubble3D val="0"/>
            <c:spPr>
              <a:solidFill>
                <a:schemeClr val="accent6"/>
              </a:solidFill>
              <a:ln>
                <a:noFill/>
              </a:ln>
              <a:effectLst>
                <a:outerShdw blurRad="254000" sx="102000" sy="102000" algn="ctr" rotWithShape="0">
                  <a:prstClr val="black">
                    <a:alpha val="20000"/>
                  </a:prstClr>
                </a:outerShdw>
              </a:effectLst>
            </c:spPr>
          </c:dPt>
          <c:dPt>
            <c:idx val="3"/>
            <c:bubble3D val="0"/>
            <c:spPr>
              <a:solidFill>
                <a:srgbClr val="7030A0"/>
              </a:solidFill>
              <a:ln>
                <a:noFill/>
              </a:ln>
              <a:effectLst>
                <a:outerShdw blurRad="254000" sx="102000" sy="102000" algn="ctr" rotWithShape="0">
                  <a:prstClr val="black">
                    <a:alpha val="20000"/>
                  </a:prstClr>
                </a:outerShdw>
              </a:effectLst>
            </c:spPr>
          </c:dPt>
          <c:dLbls>
            <c:dLbl>
              <c:idx val="1"/>
              <c:layout>
                <c:manualLayout>
                  <c:x val="-6.4047963392331084E-2"/>
                  <c:y val="2.1128134740993239E-2"/>
                </c:manualLayout>
              </c:layout>
              <c:spPr>
                <a:noFill/>
                <a:ln>
                  <a:noFill/>
                </a:ln>
                <a:effectLst/>
              </c:spPr>
              <c:txPr>
                <a:bodyPr rot="0" spcFirstLastPara="1" vertOverflow="ellipsis" horzOverflow="clip" vert="horz" wrap="square" lIns="38100" tIns="19050" rIns="38100" bIns="19050" anchor="ctr" anchorCtr="1">
                  <a:noAutofit/>
                </a:bodyPr>
                <a:lstStyle/>
                <a:p>
                  <a:pPr>
                    <a:defRPr sz="1000" b="1"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1"/>
              <c:showBubbleSize val="0"/>
              <c:extLst>
                <c:ext xmlns:c15="http://schemas.microsoft.com/office/drawing/2012/chart" uri="{CE6537A1-D6FC-4f65-9D91-7224C49458BB}">
                  <c15:spPr xmlns:c15="http://schemas.microsoft.com/office/drawing/2012/chart">
                    <a:prstGeom prst="rect">
                      <a:avLst/>
                    </a:prstGeom>
                    <a:pattFill prst="pct75">
                      <a:fgClr>
                        <a:schemeClr val="dk1">
                          <a:lumMod val="75000"/>
                          <a:lumOff val="25000"/>
                        </a:schemeClr>
                      </a:fgClr>
                      <a:bgClr>
                        <a:schemeClr val="dk1">
                          <a:lumMod val="65000"/>
                          <a:lumOff val="35000"/>
                        </a:schemeClr>
                      </a:bgClr>
                    </a:pattFill>
                    <a:ln>
                      <a:noFill/>
                    </a:ln>
                  </c15:spPr>
                </c:ext>
              </c:extLst>
            </c:dLbl>
            <c:dLbl>
              <c:idx val="2"/>
              <c:layout>
                <c:manualLayout>
                  <c:x val="-4.2695530405638109E-2"/>
                  <c:y val="-3.9448597236809352E-2"/>
                </c:manualLayout>
              </c:layout>
              <c:dLblPos val="bestFit"/>
              <c:showLegendKey val="0"/>
              <c:showVal val="1"/>
              <c:showCatName val="0"/>
              <c:showSerName val="0"/>
              <c:showPercent val="1"/>
              <c:showBubbleSize val="0"/>
              <c:extLst>
                <c:ext xmlns:c15="http://schemas.microsoft.com/office/drawing/2012/chart" uri="{CE6537A1-D6FC-4f65-9D91-7224C49458BB}"/>
              </c:extLst>
            </c:dLbl>
            <c:dLbl>
              <c:idx val="3"/>
              <c:layout>
                <c:manualLayout>
                  <c:x val="0.11190437929952626"/>
                  <c:y val="-3.4324194293325942E-2"/>
                </c:manualLayout>
              </c:layout>
              <c:spPr>
                <a:noFill/>
                <a:ln>
                  <a:noFill/>
                </a:ln>
                <a:effectLst/>
              </c:spPr>
              <c:txPr>
                <a:bodyPr rot="0" spcFirstLastPara="1" vertOverflow="ellipsis" horzOverflow="clip" vert="horz" wrap="square" lIns="38100" tIns="19050" rIns="38100" bIns="19050" anchor="ctr" anchorCtr="1">
                  <a:noAutofit/>
                </a:bodyPr>
                <a:lstStyle/>
                <a:p>
                  <a:pPr>
                    <a:defRPr sz="1000" b="1"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1"/>
              <c:showBubbleSize val="0"/>
              <c:extLst>
                <c:ext xmlns:c15="http://schemas.microsoft.com/office/drawing/2012/chart" uri="{CE6537A1-D6FC-4f65-9D91-7224C49458BB}">
                  <c15:spPr xmlns:c15="http://schemas.microsoft.com/office/drawing/2012/chart">
                    <a:prstGeom prst="rect">
                      <a:avLst/>
                    </a:prstGeom>
                    <a:pattFill prst="pct75">
                      <a:fgClr>
                        <a:schemeClr val="dk1">
                          <a:lumMod val="75000"/>
                          <a:lumOff val="25000"/>
                        </a:schemeClr>
                      </a:fgClr>
                      <a:bgClr>
                        <a:schemeClr val="dk1">
                          <a:lumMod val="65000"/>
                          <a:lumOff val="35000"/>
                        </a:schemeClr>
                      </a:bgClr>
                    </a:pattFill>
                    <a:ln>
                      <a:noFill/>
                    </a:ln>
                  </c15:spPr>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决算支出!$A$3:$A$7</c:f>
              <c:strCache>
                <c:ptCount val="4"/>
                <c:pt idx="0">
                  <c:v>教育支出</c:v>
                </c:pt>
                <c:pt idx="1">
                  <c:v>社会保障和就业支出</c:v>
                </c:pt>
                <c:pt idx="2">
                  <c:v>医疗卫生与计划生育支出</c:v>
                </c:pt>
                <c:pt idx="3">
                  <c:v>住房保障支出</c:v>
                </c:pt>
              </c:strCache>
            </c:strRef>
          </c:cat>
          <c:val>
            <c:numRef>
              <c:f>决算支出!$B$3:$B$7</c:f>
              <c:numCache>
                <c:formatCode>General</c:formatCode>
                <c:ptCount val="4"/>
                <c:pt idx="0">
                  <c:v>105461.51</c:v>
                </c:pt>
                <c:pt idx="1">
                  <c:v>11703.4</c:v>
                </c:pt>
                <c:pt idx="2">
                  <c:v>2443.6799999999998</c:v>
                </c:pt>
                <c:pt idx="3">
                  <c:v>4857.74</c:v>
                </c:pt>
              </c:numCache>
            </c:numRef>
          </c:val>
        </c:ser>
        <c:ser>
          <c:idx val="1"/>
          <c:order val="1"/>
          <c:tx>
            <c:strRef>
              <c:f>决算支出!$C$1:$C$2</c:f>
              <c:strCache>
                <c:ptCount val="2"/>
                <c:pt idx="0">
                  <c:v>2019年度决算支出结构图</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决算支出!$A$3:$A$7</c:f>
              <c:strCache>
                <c:ptCount val="4"/>
                <c:pt idx="0">
                  <c:v>教育支出</c:v>
                </c:pt>
                <c:pt idx="1">
                  <c:v>社会保障和就业支出</c:v>
                </c:pt>
                <c:pt idx="2">
                  <c:v>医疗卫生与计划生育支出</c:v>
                </c:pt>
                <c:pt idx="3">
                  <c:v>住房保障支出</c:v>
                </c:pt>
              </c:strCache>
            </c:strRef>
          </c:cat>
          <c:val>
            <c:numRef>
              <c:f>决算支出!$C$3:$C$7</c:f>
              <c:numCache>
                <c:formatCode>0%</c:formatCode>
                <c:ptCount val="4"/>
                <c:pt idx="0">
                  <c:v>0.84730954949824588</c:v>
                </c:pt>
                <c:pt idx="1">
                  <c:v>9.4028642123536552E-2</c:v>
                </c:pt>
                <c:pt idx="2">
                  <c:v>1.9633261461151783E-2</c:v>
                </c:pt>
                <c:pt idx="3">
                  <c:v>3.9028546917065844E-2</c:v>
                </c:pt>
              </c:numCache>
            </c:numRef>
          </c:val>
        </c:ser>
        <c:ser>
          <c:idx val="2"/>
          <c:order val="2"/>
          <c:tx>
            <c:strRef>
              <c:f>决算支出!$D$1:$D$2</c:f>
              <c:strCache>
                <c:ptCount val="2"/>
                <c:pt idx="0">
                  <c:v>2019年度决算支出结构图</c:v>
                </c:pt>
                <c:pt idx="1">
                  <c:v>单位：</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决算支出!$A$3:$A$7</c:f>
              <c:strCache>
                <c:ptCount val="4"/>
                <c:pt idx="0">
                  <c:v>教育支出</c:v>
                </c:pt>
                <c:pt idx="1">
                  <c:v>社会保障和就业支出</c:v>
                </c:pt>
                <c:pt idx="2">
                  <c:v>医疗卫生与计划生育支出</c:v>
                </c:pt>
                <c:pt idx="3">
                  <c:v>住房保障支出</c:v>
                </c:pt>
              </c:strCache>
            </c:strRef>
          </c:cat>
          <c:val>
            <c:numRef>
              <c:f>决算支出!$D$3:$D$7</c:f>
              <c:numCache>
                <c:formatCode>General</c:formatCode>
                <c:ptCount val="4"/>
              </c:numCache>
            </c:numRef>
          </c:val>
        </c:ser>
        <c:ser>
          <c:idx val="3"/>
          <c:order val="3"/>
          <c:tx>
            <c:strRef>
              <c:f>决算支出!$E$1:$E$2</c:f>
              <c:strCache>
                <c:ptCount val="2"/>
                <c:pt idx="0">
                  <c:v>2019年度决算支出结构图</c:v>
                </c:pt>
                <c:pt idx="1">
                  <c:v>万元</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决算支出!$A$3:$A$7</c:f>
              <c:strCache>
                <c:ptCount val="4"/>
                <c:pt idx="0">
                  <c:v>教育支出</c:v>
                </c:pt>
                <c:pt idx="1">
                  <c:v>社会保障和就业支出</c:v>
                </c:pt>
                <c:pt idx="2">
                  <c:v>医疗卫生与计划生育支出</c:v>
                </c:pt>
                <c:pt idx="3">
                  <c:v>住房保障支出</c:v>
                </c:pt>
              </c:strCache>
            </c:strRef>
          </c:cat>
          <c:val>
            <c:numRef>
              <c:f>决算支出!$E$3:$E$7</c:f>
              <c:numCache>
                <c:formatCode>General</c:formatCode>
                <c:ptCount val="4"/>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3173692661881642"/>
          <c:y val="0.36544842683046364"/>
          <c:w val="0.34299580181469946"/>
          <c:h val="0.42916393336431125"/>
        </c:manualLayout>
      </c:layout>
      <c:overlay val="0"/>
      <c:spPr>
        <a:solidFill>
          <a:schemeClr val="bg1"/>
        </a:solidFill>
        <a:ln>
          <a:noFill/>
        </a:ln>
        <a:effectLst/>
      </c:spPr>
      <c:txPr>
        <a:bodyPr rot="0" spcFirstLastPara="1" vertOverflow="ellipsis" vert="horz" wrap="square" anchor="ctr" anchorCtr="1"/>
        <a:lstStyle/>
        <a:p>
          <a:pPr>
            <a:defRPr sz="1100" b="1"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userShapes r:id="rId5"/>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2019</a:t>
            </a:r>
            <a:r>
              <a:rPr lang="zh-CN" altLang="en-US"/>
              <a:t>年度年度预算支出与决算支出对比图</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6.4870388853975419E-2"/>
          <c:y val="0.17686757409411541"/>
          <c:w val="0.76955011421980257"/>
          <c:h val="0.4970455822502895"/>
        </c:manualLayout>
      </c:layout>
      <c:barChart>
        <c:barDir val="col"/>
        <c:grouping val="clustered"/>
        <c:varyColors val="0"/>
        <c:ser>
          <c:idx val="0"/>
          <c:order val="0"/>
          <c:tx>
            <c:strRef>
              <c:f>预算与决算支出对比!$B$1:$B$2</c:f>
              <c:strCache>
                <c:ptCount val="2"/>
                <c:pt idx="1">
                  <c:v>预算</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预算与决算支出对比!$A$3:$A$6</c:f>
              <c:strCache>
                <c:ptCount val="4"/>
                <c:pt idx="0">
                  <c:v>教育支出</c:v>
                </c:pt>
                <c:pt idx="1">
                  <c:v>社会保障和就业支出</c:v>
                </c:pt>
                <c:pt idx="2">
                  <c:v>医疗卫生与计划生育支出</c:v>
                </c:pt>
                <c:pt idx="3">
                  <c:v>住房保障支出</c:v>
                </c:pt>
              </c:strCache>
            </c:strRef>
          </c:cat>
          <c:val>
            <c:numRef>
              <c:f>预算与决算支出对比!$B$3:$B$6</c:f>
              <c:numCache>
                <c:formatCode>General</c:formatCode>
                <c:ptCount val="4"/>
                <c:pt idx="0">
                  <c:v>96033.02</c:v>
                </c:pt>
                <c:pt idx="1">
                  <c:v>10221.870000000001</c:v>
                </c:pt>
                <c:pt idx="2">
                  <c:v>3165.06</c:v>
                </c:pt>
                <c:pt idx="3">
                  <c:v>4862.8900000000003</c:v>
                </c:pt>
              </c:numCache>
            </c:numRef>
          </c:val>
        </c:ser>
        <c:ser>
          <c:idx val="1"/>
          <c:order val="1"/>
          <c:tx>
            <c:strRef>
              <c:f>预算与决算支出对比!$C$1:$C$2</c:f>
              <c:strCache>
                <c:ptCount val="2"/>
                <c:pt idx="1">
                  <c:v>决算</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预算与决算支出对比!$A$3:$A$6</c:f>
              <c:strCache>
                <c:ptCount val="4"/>
                <c:pt idx="0">
                  <c:v>教育支出</c:v>
                </c:pt>
                <c:pt idx="1">
                  <c:v>社会保障和就业支出</c:v>
                </c:pt>
                <c:pt idx="2">
                  <c:v>医疗卫生与计划生育支出</c:v>
                </c:pt>
                <c:pt idx="3">
                  <c:v>住房保障支出</c:v>
                </c:pt>
              </c:strCache>
            </c:strRef>
          </c:cat>
          <c:val>
            <c:numRef>
              <c:f>预算与决算支出对比!$C$3:$C$6</c:f>
              <c:numCache>
                <c:formatCode>General</c:formatCode>
                <c:ptCount val="4"/>
                <c:pt idx="0">
                  <c:v>105461.51</c:v>
                </c:pt>
                <c:pt idx="1">
                  <c:v>11703.4</c:v>
                </c:pt>
                <c:pt idx="2">
                  <c:v>2443.6799999999998</c:v>
                </c:pt>
                <c:pt idx="3">
                  <c:v>4857.74</c:v>
                </c:pt>
              </c:numCache>
            </c:numRef>
          </c:val>
        </c:ser>
        <c:dLbls>
          <c:showLegendKey val="0"/>
          <c:showVal val="0"/>
          <c:showCatName val="0"/>
          <c:showSerName val="0"/>
          <c:showPercent val="0"/>
          <c:showBubbleSize val="0"/>
        </c:dLbls>
        <c:gapWidth val="219"/>
        <c:overlap val="-27"/>
        <c:axId val="50361488"/>
        <c:axId val="50361880"/>
      </c:barChart>
      <c:catAx>
        <c:axId val="50361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crossAx val="50361880"/>
        <c:crosses val="autoZero"/>
        <c:auto val="1"/>
        <c:lblAlgn val="ctr"/>
        <c:lblOffset val="100"/>
        <c:noMultiLvlLbl val="0"/>
      </c:catAx>
      <c:valAx>
        <c:axId val="50361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361488"/>
        <c:crosses val="autoZero"/>
        <c:crossBetween val="between"/>
      </c:valAx>
      <c:spPr>
        <a:noFill/>
        <a:ln>
          <a:noFill/>
        </a:ln>
        <a:effectLst/>
      </c:spPr>
    </c:plotArea>
    <c:legend>
      <c:legendPos val="r"/>
      <c:layout>
        <c:manualLayout>
          <c:xMode val="edge"/>
          <c:yMode val="edge"/>
          <c:x val="0.86610152881679658"/>
          <c:y val="0.40675305235236436"/>
          <c:w val="0.12206415349451716"/>
          <c:h val="0.1812934648834453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0.8105</cdr:x>
      <cdr:y>0.09751</cdr:y>
    </cdr:from>
    <cdr:to>
      <cdr:x>0.94752</cdr:x>
      <cdr:y>0.16805</cdr:y>
    </cdr:to>
    <cdr:sp macro="" textlink="">
      <cdr:nvSpPr>
        <cdr:cNvPr id="2" name="文本框 1"/>
        <cdr:cNvSpPr txBox="1"/>
      </cdr:nvSpPr>
      <cdr:spPr>
        <a:xfrm xmlns:a="http://schemas.openxmlformats.org/drawingml/2006/main">
          <a:off x="5295900" y="447674"/>
          <a:ext cx="895350" cy="323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0.84099</cdr:x>
      <cdr:y>0.13044</cdr:y>
    </cdr:from>
    <cdr:to>
      <cdr:x>1</cdr:x>
      <cdr:y>0.23603</cdr:y>
    </cdr:to>
    <cdr:sp macro="" textlink="">
      <cdr:nvSpPr>
        <cdr:cNvPr id="3" name="文本框 2"/>
        <cdr:cNvSpPr txBox="1"/>
      </cdr:nvSpPr>
      <cdr:spPr>
        <a:xfrm xmlns:a="http://schemas.openxmlformats.org/drawingml/2006/main">
          <a:off x="4397716" y="317396"/>
          <a:ext cx="831509" cy="2569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000"/>
            <a:t>单位：万元</a:t>
          </a:r>
        </a:p>
      </cdr:txBody>
    </cdr:sp>
  </cdr:relSizeAnchor>
</c:userShapes>
</file>

<file path=word/drawings/drawing2.xml><?xml version="1.0" encoding="utf-8"?>
<c:userShapes xmlns:c="http://schemas.openxmlformats.org/drawingml/2006/chart">
  <cdr:relSizeAnchor xmlns:cdr="http://schemas.openxmlformats.org/drawingml/2006/chartDrawing">
    <cdr:from>
      <cdr:x>0.83571</cdr:x>
      <cdr:y>0.06585</cdr:y>
    </cdr:from>
    <cdr:to>
      <cdr:x>1</cdr:x>
      <cdr:y>0.12142</cdr:y>
    </cdr:to>
    <cdr:sp macro="" textlink="">
      <cdr:nvSpPr>
        <cdr:cNvPr id="2" name="文本框 1"/>
        <cdr:cNvSpPr txBox="1"/>
      </cdr:nvSpPr>
      <cdr:spPr>
        <a:xfrm xmlns:a="http://schemas.openxmlformats.org/drawingml/2006/main">
          <a:off x="4382329" y="241825"/>
          <a:ext cx="861501" cy="2040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050"/>
            <a:t>单位：万元</a:t>
          </a:r>
        </a:p>
      </cdr:txBody>
    </cdr:sp>
  </cdr:relSizeAnchor>
</c:userShapes>
</file>

<file path=word/drawings/drawing3.xml><?xml version="1.0" encoding="utf-8"?>
<c:userShapes xmlns:c="http://schemas.openxmlformats.org/drawingml/2006/chart">
  <cdr:relSizeAnchor xmlns:cdr="http://schemas.openxmlformats.org/drawingml/2006/chartDrawing">
    <cdr:from>
      <cdr:x>0.8105</cdr:x>
      <cdr:y>0.09751</cdr:y>
    </cdr:from>
    <cdr:to>
      <cdr:x>0.94752</cdr:x>
      <cdr:y>0.16805</cdr:y>
    </cdr:to>
    <cdr:sp macro="" textlink="">
      <cdr:nvSpPr>
        <cdr:cNvPr id="2" name="文本框 1"/>
        <cdr:cNvSpPr txBox="1"/>
      </cdr:nvSpPr>
      <cdr:spPr>
        <a:xfrm xmlns:a="http://schemas.openxmlformats.org/drawingml/2006/main">
          <a:off x="5295900" y="447674"/>
          <a:ext cx="895350" cy="323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0.82799</cdr:x>
      <cdr:y>0.09838</cdr:y>
    </cdr:from>
    <cdr:to>
      <cdr:x>0.99303</cdr:x>
      <cdr:y>0.19129</cdr:y>
    </cdr:to>
    <cdr:sp macro="" textlink="">
      <cdr:nvSpPr>
        <cdr:cNvPr id="4" name="文本框 3"/>
        <cdr:cNvSpPr txBox="1"/>
      </cdr:nvSpPr>
      <cdr:spPr>
        <a:xfrm xmlns:a="http://schemas.openxmlformats.org/drawingml/2006/main">
          <a:off x="4435958" y="272053"/>
          <a:ext cx="884201" cy="25693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单位：万元</a:t>
          </a:r>
        </a:p>
      </cdr:txBody>
    </cdr:sp>
  </cdr:relSizeAnchor>
</c:userShapes>
</file>

<file path=word/drawings/drawing4.xml><?xml version="1.0" encoding="utf-8"?>
<c:userShapes xmlns:c="http://schemas.openxmlformats.org/drawingml/2006/chart">
  <cdr:relSizeAnchor xmlns:cdr="http://schemas.openxmlformats.org/drawingml/2006/chartDrawing">
    <cdr:from>
      <cdr:x>0.83499</cdr:x>
      <cdr:y>0.05499</cdr:y>
    </cdr:from>
    <cdr:to>
      <cdr:x>1</cdr:x>
      <cdr:y>0.11406</cdr:y>
    </cdr:to>
    <cdr:sp macro="" textlink="">
      <cdr:nvSpPr>
        <cdr:cNvPr id="2" name="文本框 1"/>
        <cdr:cNvSpPr txBox="1"/>
      </cdr:nvSpPr>
      <cdr:spPr>
        <a:xfrm xmlns:a="http://schemas.openxmlformats.org/drawingml/2006/main">
          <a:off x="4397632" y="204039"/>
          <a:ext cx="869058" cy="21915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050"/>
            <a:t>单位：万元</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1FDBE3-D4B4-4658-8247-C6F1FAE9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35</Pages>
  <Words>2333</Words>
  <Characters>13299</Characters>
  <Application>Microsoft Office Word</Application>
  <DocSecurity>0</DocSecurity>
  <Lines>110</Lines>
  <Paragraphs>31</Paragraphs>
  <ScaleCrop>false</ScaleCrop>
  <Company>Microsoft</Company>
  <LinksUpToDate>false</LinksUpToDate>
  <CharactersWithSpaces>15601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38</cp:revision>
  <cp:lastPrinted>2020-08-27T02:25:00Z</cp:lastPrinted>
  <dcterms:created xsi:type="dcterms:W3CDTF">2020-08-27T01:47:00Z</dcterms:created>
  <dcterms:modified xsi:type="dcterms:W3CDTF">2020-08-27T07:42:00Z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