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7732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8B1FF68">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D82B0A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7724BC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09040ACC">
      <w:pPr>
        <w:widowControl w:val="0"/>
        <w:adjustRightInd/>
        <w:snapToGrid/>
        <w:spacing w:after="0" w:line="580" w:lineRule="exact"/>
        <w:jc w:val="center"/>
        <w:rPr>
          <w:rFonts w:asciiTheme="majorEastAsia" w:hAnsiTheme="majorEastAsia" w:eastAsiaTheme="majorEastAsia" w:cstheme="majorEastAsia"/>
          <w:b/>
          <w:kern w:val="2"/>
          <w:sz w:val="44"/>
          <w:szCs w:val="44"/>
        </w:rPr>
      </w:pPr>
      <w:r>
        <w:rPr>
          <w:rFonts w:hint="eastAsia" w:asciiTheme="majorEastAsia" w:hAnsiTheme="majorEastAsia" w:eastAsiaTheme="majorEastAsia" w:cstheme="majorEastAsia"/>
          <w:b/>
          <w:kern w:val="2"/>
          <w:sz w:val="44"/>
          <w:szCs w:val="44"/>
        </w:rPr>
        <w:t>保定市徐水区教育</w:t>
      </w:r>
      <w:r>
        <w:rPr>
          <w:rFonts w:asciiTheme="majorEastAsia" w:hAnsiTheme="majorEastAsia" w:eastAsiaTheme="majorEastAsia" w:cstheme="majorEastAsia"/>
          <w:b/>
          <w:kern w:val="2"/>
          <w:sz w:val="44"/>
          <w:szCs w:val="44"/>
        </w:rPr>
        <w:t>和体育局</w:t>
      </w:r>
      <w:r>
        <w:rPr>
          <w:rFonts w:hint="eastAsia" w:asciiTheme="majorEastAsia" w:hAnsiTheme="majorEastAsia" w:eastAsiaTheme="majorEastAsia" w:cstheme="majorEastAsia"/>
          <w:b/>
          <w:kern w:val="2"/>
          <w:sz w:val="44"/>
          <w:szCs w:val="44"/>
        </w:rPr>
        <w:t>202</w:t>
      </w:r>
      <w:r>
        <w:rPr>
          <w:rFonts w:asciiTheme="majorEastAsia" w:hAnsiTheme="majorEastAsia" w:eastAsiaTheme="majorEastAsia" w:cstheme="majorEastAsia"/>
          <w:b/>
          <w:kern w:val="2"/>
          <w:sz w:val="44"/>
          <w:szCs w:val="44"/>
        </w:rPr>
        <w:t>1</w:t>
      </w:r>
      <w:r>
        <w:rPr>
          <w:rFonts w:hint="eastAsia" w:asciiTheme="majorEastAsia" w:hAnsiTheme="majorEastAsia" w:eastAsiaTheme="majorEastAsia" w:cstheme="majorEastAsia"/>
          <w:b/>
          <w:kern w:val="2"/>
          <w:sz w:val="44"/>
          <w:szCs w:val="44"/>
        </w:rPr>
        <w:t>年部门</w:t>
      </w:r>
    </w:p>
    <w:p w14:paraId="7071E214">
      <w:pPr>
        <w:widowControl w:val="0"/>
        <w:adjustRightInd/>
        <w:snapToGrid/>
        <w:spacing w:after="0" w:line="580" w:lineRule="exact"/>
        <w:jc w:val="center"/>
        <w:rPr>
          <w:rFonts w:ascii="黑体" w:hAnsi="黑体" w:eastAsia="黑体" w:cs="Times New Roman"/>
          <w:bCs/>
          <w:kern w:val="2"/>
          <w:sz w:val="48"/>
          <w:szCs w:val="48"/>
        </w:rPr>
      </w:pPr>
      <w:r>
        <w:rPr>
          <w:rFonts w:hint="eastAsia" w:asciiTheme="majorEastAsia" w:hAnsiTheme="majorEastAsia" w:eastAsiaTheme="majorEastAsia" w:cstheme="majorEastAsia"/>
          <w:b/>
          <w:kern w:val="2"/>
          <w:sz w:val="44"/>
          <w:szCs w:val="44"/>
        </w:rPr>
        <w:t>整体支出绩效评价自评报告</w:t>
      </w:r>
    </w:p>
    <w:p w14:paraId="639B018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D42414F">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5F91E3B">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39A19F6">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BE5C33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6FB4B97">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D6DB174">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627FCF3E">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D0AFD53">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E8E62C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320915AC">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5ED6A751">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467C9E95">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2344E29E">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22</w:t>
      </w:r>
      <w:r>
        <w:rPr>
          <w:rFonts w:hint="eastAsia" w:cs="Times New Roman" w:asciiTheme="minorEastAsia" w:hAnsiTheme="minorEastAsia" w:eastAsiaTheme="minorEastAsia"/>
          <w:bCs/>
          <w:kern w:val="2"/>
          <w:sz w:val="36"/>
          <w:szCs w:val="36"/>
        </w:rPr>
        <w:t>年</w:t>
      </w:r>
      <w:r>
        <w:rPr>
          <w:rFonts w:cs="Times New Roman" w:asciiTheme="minorEastAsia" w:hAnsiTheme="minorEastAsia" w:eastAsiaTheme="minorEastAsia"/>
          <w:bCs/>
          <w:kern w:val="2"/>
          <w:sz w:val="36"/>
          <w:szCs w:val="36"/>
        </w:rPr>
        <w:t>11</w:t>
      </w:r>
      <w:r>
        <w:rPr>
          <w:rFonts w:hint="eastAsia" w:cs="Times New Roman" w:asciiTheme="minorEastAsia" w:hAnsiTheme="minorEastAsia" w:eastAsiaTheme="minorEastAsia"/>
          <w:bCs/>
          <w:kern w:val="2"/>
          <w:sz w:val="36"/>
          <w:szCs w:val="36"/>
        </w:rPr>
        <w:t>月</w:t>
      </w:r>
    </w:p>
    <w:p w14:paraId="64918E40">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14:paraId="10FFB40F">
      <w:pPr>
        <w:adjustRightInd/>
        <w:snapToGrid/>
        <w:spacing w:after="0"/>
        <w:rPr>
          <w:rFonts w:ascii="Times New Roman" w:hAnsi="Times New Roman" w:eastAsia="宋体" w:cs="Times New Roman"/>
          <w:bCs/>
          <w:kern w:val="2"/>
          <w:sz w:val="72"/>
          <w:szCs w:val="24"/>
        </w:rPr>
      </w:pPr>
      <w:r>
        <w:rPr>
          <w:rFonts w:ascii="Times New Roman" w:hAnsi="Times New Roman" w:eastAsia="宋体" w:cs="Times New Roman"/>
          <w:bCs/>
          <w:kern w:val="2"/>
          <w:sz w:val="72"/>
          <w:szCs w:val="24"/>
        </w:rPr>
        <w:br w:type="page"/>
      </w: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14:paraId="5896ACE9">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14:paraId="619EE269">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F341F7B">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D939370">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一、保定市徐水区教育和</w:t>
          </w:r>
          <w:r>
            <w:rPr>
              <w:rFonts w:asciiTheme="majorEastAsia" w:hAnsiTheme="majorEastAsia" w:eastAsiaTheme="majorEastAsia" w:cstheme="majorEastAsia"/>
              <w:b/>
              <w:bCs/>
              <w:sz w:val="24"/>
            </w:rPr>
            <w:t>体育局</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5</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116CA088">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0FE69D3D">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156FDB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07206DF">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A9013C9">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5275C31">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10</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48EB905">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954DC6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2408E8A">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15F8D0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D831BD3">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00FCB6B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22AAEEF3">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E6F816C">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C41E49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1D71E54B">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406F25EE">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73D3E43D">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16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79838C07">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526753F6">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64AD07F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492DC60">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asciiTheme="majorEastAsia" w:hAnsiTheme="majorEastAsia" w:eastAsiaTheme="majorEastAsia" w:cstheme="majorEastAsia"/>
              <w:sz w:val="24"/>
            </w:rPr>
            <w:t>28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14:paraId="3C9C1231">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asciiTheme="majorEastAsia" w:hAnsiTheme="majorEastAsia" w:eastAsiaTheme="majorEastAsia" w:cstheme="majorEastAsia"/>
              <w:b/>
              <w:bCs/>
              <w:sz w:val="24"/>
            </w:rPr>
            <w:t>29</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14:paraId="266C9FE0">
          <w:pPr>
            <w:pStyle w:val="18"/>
            <w:tabs>
              <w:tab w:val="right" w:leader="dot" w:pos="8312"/>
            </w:tabs>
            <w:spacing w:line="312" w:lineRule="auto"/>
            <w:ind w:left="0" w:leftChars="0"/>
            <w:rPr>
              <w:b/>
              <w:bCs/>
            </w:rPr>
          </w:pPr>
        </w:p>
        <w:p w14:paraId="5AE22BBA">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14:paraId="553120A9">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14:paraId="3EDE69B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2021</w:t>
      </w:r>
      <w:r>
        <w:rPr>
          <w:rFonts w:hint="eastAsia" w:ascii="仿宋_GB2312" w:eastAsia="仿宋_GB2312" w:cs="DengXian-Regular"/>
          <w:sz w:val="32"/>
          <w:szCs w:val="32"/>
        </w:rPr>
        <w:t>年部门整体支出情况开展了绩效自评价工作。</w:t>
      </w:r>
    </w:p>
    <w:p w14:paraId="6769B06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保定市徐水区教育</w:t>
      </w:r>
      <w:r>
        <w:rPr>
          <w:rFonts w:ascii="仿宋_GB2312" w:eastAsia="仿宋_GB2312" w:cs="DengXian-Regular"/>
          <w:sz w:val="32"/>
          <w:szCs w:val="32"/>
        </w:rPr>
        <w:t>和体育局</w:t>
      </w:r>
      <w:r>
        <w:rPr>
          <w:rFonts w:hint="eastAsia" w:ascii="仿宋_GB2312" w:eastAsia="仿宋_GB2312" w:cs="DengXian-Regular"/>
          <w:sz w:val="32"/>
          <w:szCs w:val="32"/>
        </w:rPr>
        <w:t>为事业单位，经费保障形式为财政性资金</w:t>
      </w:r>
      <w:r>
        <w:rPr>
          <w:rFonts w:ascii="仿宋_GB2312" w:eastAsia="仿宋_GB2312" w:cs="DengXian-Regular"/>
          <w:sz w:val="32"/>
          <w:szCs w:val="32"/>
        </w:rPr>
        <w:t>基本保证</w:t>
      </w:r>
      <w:r>
        <w:rPr>
          <w:rFonts w:hint="eastAsia" w:ascii="仿宋_GB2312" w:eastAsia="仿宋_GB2312" w:cs="DengXian-Regular"/>
          <w:sz w:val="32"/>
          <w:szCs w:val="32"/>
        </w:rPr>
        <w:t>，下设</w:t>
      </w:r>
      <w:r>
        <w:rPr>
          <w:rFonts w:ascii="仿宋_GB2312" w:eastAsia="仿宋_GB2312" w:cs="DengXian-Regular"/>
          <w:sz w:val="32"/>
          <w:szCs w:val="32"/>
        </w:rPr>
        <w:t>6</w:t>
      </w:r>
      <w:r>
        <w:rPr>
          <w:rFonts w:hint="eastAsia" w:ascii="仿宋_GB2312" w:eastAsia="仿宋_GB2312" w:cs="DengXian-Regular"/>
          <w:sz w:val="32"/>
          <w:szCs w:val="32"/>
        </w:rPr>
        <w:t>个股室，</w:t>
      </w:r>
      <w:bookmarkStart w:id="1" w:name="_Toc4346"/>
      <w:r>
        <w:rPr>
          <w:rFonts w:hint="eastAsia" w:ascii="仿宋_GB2312" w:eastAsia="仿宋_GB2312" w:cs="DengXian-Regular"/>
          <w:sz w:val="32"/>
          <w:szCs w:val="32"/>
        </w:rPr>
        <w:t>分别为办公</w:t>
      </w:r>
      <w:r>
        <w:rPr>
          <w:rFonts w:ascii="仿宋_GB2312" w:eastAsia="仿宋_GB2312" w:cs="DengXian-Regular"/>
          <w:sz w:val="32"/>
          <w:szCs w:val="32"/>
        </w:rPr>
        <w:t>室</w:t>
      </w:r>
      <w:r>
        <w:rPr>
          <w:rFonts w:hint="eastAsia" w:ascii="仿宋_GB2312" w:eastAsia="仿宋_GB2312" w:cs="DengXian-Regular"/>
          <w:sz w:val="32"/>
          <w:szCs w:val="32"/>
        </w:rPr>
        <w:t>、人事</w:t>
      </w:r>
      <w:r>
        <w:rPr>
          <w:rFonts w:ascii="仿宋_GB2312" w:eastAsia="仿宋_GB2312" w:cs="DengXian-Regular"/>
          <w:sz w:val="32"/>
          <w:szCs w:val="32"/>
        </w:rPr>
        <w:t>与教师工作股（</w:t>
      </w:r>
      <w:r>
        <w:rPr>
          <w:rFonts w:hint="eastAsia" w:ascii="仿宋_GB2312" w:eastAsia="仿宋_GB2312" w:cs="DengXian-Regular"/>
          <w:sz w:val="32"/>
          <w:szCs w:val="32"/>
        </w:rPr>
        <w:t>语言</w:t>
      </w:r>
      <w:r>
        <w:rPr>
          <w:rFonts w:ascii="仿宋_GB2312" w:eastAsia="仿宋_GB2312" w:cs="DengXian-Regular"/>
          <w:sz w:val="32"/>
          <w:szCs w:val="32"/>
        </w:rPr>
        <w:t>文字工作办公室）</w:t>
      </w:r>
      <w:r>
        <w:rPr>
          <w:rFonts w:hint="eastAsia" w:ascii="仿宋_GB2312" w:eastAsia="仿宋_GB2312" w:cs="DengXian-Regular"/>
          <w:sz w:val="32"/>
          <w:szCs w:val="32"/>
        </w:rPr>
        <w:t>、财务与</w:t>
      </w:r>
      <w:r>
        <w:rPr>
          <w:rFonts w:ascii="仿宋_GB2312" w:eastAsia="仿宋_GB2312" w:cs="DengXian-Regular"/>
          <w:sz w:val="32"/>
          <w:szCs w:val="32"/>
        </w:rPr>
        <w:t>发展规划</w:t>
      </w:r>
      <w:r>
        <w:rPr>
          <w:rFonts w:hint="eastAsia" w:ascii="仿宋_GB2312" w:eastAsia="仿宋_GB2312" w:cs="DengXian-Regular"/>
          <w:sz w:val="32"/>
          <w:szCs w:val="32"/>
        </w:rPr>
        <w:t>股、教育管理股、</w:t>
      </w:r>
      <w:r>
        <w:rPr>
          <w:rFonts w:ascii="仿宋_GB2312" w:eastAsia="仿宋_GB2312" w:cs="DengXian-Regular"/>
          <w:sz w:val="32"/>
          <w:szCs w:val="32"/>
        </w:rPr>
        <w:t>法制与安全</w:t>
      </w:r>
      <w:r>
        <w:rPr>
          <w:rFonts w:hint="eastAsia" w:ascii="仿宋_GB2312" w:eastAsia="仿宋_GB2312" w:cs="DengXian-Regular"/>
          <w:sz w:val="32"/>
          <w:szCs w:val="32"/>
        </w:rPr>
        <w:t>股</w:t>
      </w:r>
      <w:r>
        <w:rPr>
          <w:rFonts w:ascii="仿宋_GB2312" w:eastAsia="仿宋_GB2312" w:cs="DengXian-Regular"/>
          <w:sz w:val="32"/>
          <w:szCs w:val="32"/>
        </w:rPr>
        <w:t>、体育</w:t>
      </w:r>
      <w:r>
        <w:rPr>
          <w:rFonts w:hint="eastAsia" w:ascii="仿宋_GB2312" w:eastAsia="仿宋_GB2312" w:cs="DengXian-Regular"/>
          <w:sz w:val="32"/>
          <w:szCs w:val="32"/>
        </w:rPr>
        <w:t>股，主要职责：</w:t>
      </w:r>
    </w:p>
    <w:p w14:paraId="13D0C26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一）贯彻落实教育和体育工作方针、政策、法律、法规，负责教育体制、办学体制、学校管理体制及城乡教育综合改革的统筹规划和协调指导；落实教育优先发展的战略地位，推动全区教育和体育事业改革发展。</w:t>
      </w:r>
    </w:p>
    <w:p w14:paraId="69D854F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（二）研究制定全区教育和体育工作的发展规划，统筹规划学枃布局和体育事业发展，在省、市规定的权限内承担各级各类学校设立、撤销、调整的上报工作。</w:t>
      </w:r>
    </w:p>
    <w:p w14:paraId="5F96355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全面实施素质教育，指导推动教育教学和教育科研工作；负责全区义务教育、学前教育、特殊教育、高中教育、职业技术教育、成人教育的宏观指导、综合管理与服务，对全区教育工作状况及办学水平进行监督、检查、评估、验收；负责组织各类招生考试工作。</w:t>
      </w:r>
    </w:p>
    <w:p w14:paraId="2642FF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四）负责全区教育和体育系统队伍建设工作，负责人员招聘录用、工作调配、教育培训、职称评聘、评优评模、考核奖惩等工作；管理和指导师范类毕业生就业工作；负责实施教师资格制度工作；负责下属单位领导班子的领导干部的培养、考察、考核、任免和管理以及后备干部队伍建设工作。</w:t>
      </w:r>
    </w:p>
    <w:p w14:paraId="2C232E5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五）负责教育和体育经费统筹管理；负责教育和体育基建、设施设备及专项计划的审批和财务的管理、监督、审计工作；参与全区年度教育和体育经费的预决算工作；做好计划统计工作；负责各级助学政策和经费的落实。</w:t>
      </w:r>
    </w:p>
    <w:p w14:paraId="0EE22E9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（六）指导全区学校的德育、智育、体育、美育、劳动、国防和安全教育工作；负责教育和体育系统党的建设工作，指导工会、共青团、妇女工作；负责教育和体育系统的安全稳定及综合治理工作。</w:t>
      </w:r>
    </w:p>
    <w:p w14:paraId="4E6FCD5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七）负责全区体育竞赛、竞技运动项目的设置和布局；参与规划、实施区重点体育设施建设，负责公共体育设施的监督管理工作；加强体育公共服务、促进多元体育服务体系建设；监督、指导体育彩票发行工作；负责全民健身工作，组织、指导、协调全区性重大体育活动；负责国有体育资产的管理、规划、开发和利用；统筹规划全区青少年体育发展，指导和推进青少年体育工作；指导体育管理人员、教练员、运动员队伍建设；负责组织开展反兴奋剂工作；</w:t>
      </w:r>
    </w:p>
    <w:p w14:paraId="69CCFB9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（八）负责全区语言文字工作，制订语言文字工作规划；组织协调并监督检查汉语和少数民族语言文字规范、标准的实施；指导推广普通话和普通话测试工作；负责社会用字规范管理。</w:t>
      </w:r>
    </w:p>
    <w:p w14:paraId="54DEF96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（九）承办区委、区政府和上级教育行政部门交办的其他事项。</w:t>
      </w:r>
    </w:p>
    <w:p w14:paraId="22C50032">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14:paraId="54A2AD5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14:paraId="0C0113C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ascii="仿宋_GB2312" w:eastAsia="仿宋_GB2312" w:cs="DengXian-Regular"/>
          <w:sz w:val="32"/>
          <w:szCs w:val="32"/>
        </w:rPr>
        <w:t>区教体局</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年部门整体支出绩效评价工作。</w:t>
      </w:r>
    </w:p>
    <w:p w14:paraId="4780B44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区教体</w:t>
      </w:r>
      <w:r>
        <w:rPr>
          <w:rFonts w:ascii="仿宋_GB2312" w:eastAsia="仿宋_GB2312" w:cs="DengXian-Regular"/>
          <w:sz w:val="32"/>
          <w:szCs w:val="32"/>
        </w:rPr>
        <w:t>局</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年部门整体支出绩效评价指标体系共设置4个一级指标、7个二级指标、27个三级指标，从投入、过程、产出、效果四个方面对区教体</w:t>
      </w:r>
      <w:r>
        <w:rPr>
          <w:rFonts w:ascii="仿宋_GB2312" w:eastAsia="仿宋_GB2312" w:cs="DengXian-Regular"/>
          <w:sz w:val="32"/>
          <w:szCs w:val="32"/>
        </w:rPr>
        <w:t>局</w:t>
      </w:r>
      <w:r>
        <w:rPr>
          <w:rFonts w:hint="eastAsia" w:ascii="仿宋_GB2312" w:eastAsia="仿宋_GB2312" w:cs="DengXian-Regular"/>
          <w:sz w:val="32"/>
          <w:szCs w:val="32"/>
        </w:rPr>
        <w:t>部门整体支出情况评分定级。指标体系设定满分为100分，绩效评价分值≥90为“优”；80≤分值＜90为“良”；60≤分值＜80为“合格”；60分以下为“差”。</w:t>
      </w:r>
    </w:p>
    <w:p w14:paraId="70A4928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区教体</w:t>
      </w:r>
      <w:r>
        <w:rPr>
          <w:rFonts w:ascii="仿宋_GB2312" w:eastAsia="仿宋_GB2312" w:cs="DengXian-Regular"/>
          <w:sz w:val="32"/>
          <w:szCs w:val="32"/>
        </w:rPr>
        <w:t>局</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年部门整体支出综合评价得分为9</w:t>
      </w:r>
      <w:r>
        <w:rPr>
          <w:rFonts w:ascii="仿宋_GB2312" w:eastAsia="仿宋_GB2312" w:cs="DengXian-Regular"/>
          <w:sz w:val="32"/>
          <w:szCs w:val="32"/>
        </w:rPr>
        <w:t>7.7</w:t>
      </w:r>
      <w:r>
        <w:rPr>
          <w:rFonts w:hint="eastAsia" w:ascii="仿宋_GB2312" w:eastAsia="仿宋_GB2312" w:cs="DengXian-Regular"/>
          <w:sz w:val="32"/>
          <w:szCs w:val="32"/>
        </w:rPr>
        <w:t>分，评价等级为“优”。</w:t>
      </w:r>
    </w:p>
    <w:p w14:paraId="164F099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经评价，区教体</w:t>
      </w:r>
      <w:r>
        <w:rPr>
          <w:rFonts w:ascii="仿宋_GB2312" w:eastAsia="仿宋_GB2312" w:cs="DengXian-Regular"/>
          <w:sz w:val="32"/>
          <w:szCs w:val="32"/>
        </w:rPr>
        <w:t>局</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14:paraId="31D29D2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通过本次绩效评价工作，发现我单位在以下几个方面存在一些不足之处，具体如下：</w:t>
      </w:r>
    </w:p>
    <w:p w14:paraId="1C0A94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1.绩效指标方面</w:t>
      </w:r>
    </w:p>
    <w:p w14:paraId="3867DBE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2.预算决算比较</w:t>
      </w:r>
    </w:p>
    <w:p w14:paraId="53D497B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3.预算追加方面</w:t>
      </w:r>
    </w:p>
    <w:p w14:paraId="581796CB">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4.政府采购方面</w:t>
      </w:r>
    </w:p>
    <w:p w14:paraId="11F06B2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5.项目资金使用率</w:t>
      </w:r>
    </w:p>
    <w:p w14:paraId="7A2FFE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6.部分基础数据信息方面</w:t>
      </w:r>
    </w:p>
    <w:p w14:paraId="30FC9D91">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针对此次绩效评价过程中发现的问题，在</w:t>
      </w:r>
      <w:r>
        <w:rPr>
          <w:rFonts w:ascii="仿宋_GB2312" w:eastAsia="仿宋_GB2312" w:cs="DengXian-Regular"/>
          <w:sz w:val="32"/>
          <w:szCs w:val="32"/>
        </w:rPr>
        <w:t>今后的工作中更加注重以下几点</w:t>
      </w:r>
      <w:r>
        <w:rPr>
          <w:rFonts w:hint="eastAsia" w:ascii="仿宋_GB2312" w:eastAsia="仿宋_GB2312" w:cs="DengXian-Regular"/>
          <w:sz w:val="32"/>
          <w:szCs w:val="32"/>
        </w:rPr>
        <w:t>：</w:t>
      </w:r>
    </w:p>
    <w:p w14:paraId="0E2723C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14:paraId="188BE95A">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工作活动、预算项目绩效指标应当清晰、可评价、可衡量。在设置职责活动绩效指标时，将绩效目标细化分解为具体的工作任务数，从而使绩效目标可量化，便于对目标实现情况进行考核。</w:t>
      </w:r>
    </w:p>
    <w:p w14:paraId="02ABBFB5">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14:paraId="31F9E92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3A57B70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14:paraId="2821298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严格按照《中华人民共和国政府采购法》及河北省2017年《政府采购集中采购目录和限额标准》的相关规定，执行政府采购，加快预算执行进度，提高政府采购效率。</w:t>
      </w:r>
    </w:p>
    <w:p w14:paraId="735423D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14:paraId="0AF536CE">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督促项目进度和资金拨付进度，应拨付的资金及时拨付，不具备条件的资金及时收回，同时，对于按规定可以结转至下年的中央及省级项目资金，在下年的项目安排时优先考虑。</w:t>
      </w:r>
    </w:p>
    <w:p w14:paraId="784A256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14:paraId="0D157E9A">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严格按照档案管理的相关规定对基础数据信息档案资料及时归档保存，保证项目资料的完整性和可查阅性。</w:t>
      </w:r>
    </w:p>
    <w:p w14:paraId="6377FDA7">
      <w:pPr>
        <w:pStyle w:val="3"/>
        <w:spacing w:line="540" w:lineRule="exact"/>
        <w:jc w:val="center"/>
        <w:rPr>
          <w:rFonts w:ascii="黑体" w:hAnsi="黑体"/>
          <w:b w:val="0"/>
        </w:rPr>
      </w:pPr>
      <w:r>
        <w:rPr>
          <w:rFonts w:hint="eastAsia" w:ascii="黑体" w:hAnsi="黑体"/>
          <w:b w:val="0"/>
        </w:rPr>
        <w:t>第二部分   绩效评价报告</w:t>
      </w:r>
      <w:bookmarkEnd w:id="1"/>
    </w:p>
    <w:p w14:paraId="4BDA009F">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一、保定市徐水区教育</w:t>
      </w:r>
      <w:r>
        <w:rPr>
          <w:rFonts w:ascii="楷体" w:hAnsi="楷体" w:eastAsia="楷体" w:cs="楷体"/>
        </w:rPr>
        <w:t>和体育局</w:t>
      </w:r>
      <w:r>
        <w:rPr>
          <w:rFonts w:hint="eastAsia" w:ascii="楷体" w:hAnsi="楷体" w:eastAsia="楷体" w:cs="楷体"/>
        </w:rPr>
        <w:t>单位基本情况</w:t>
      </w:r>
      <w:bookmarkEnd w:id="2"/>
      <w:bookmarkEnd w:id="3"/>
      <w:bookmarkStart w:id="4" w:name="_Toc492652764"/>
    </w:p>
    <w:p w14:paraId="1ADE2869">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14:paraId="3B0E66B4">
      <w:pPr>
        <w:spacing w:after="0" w:line="360" w:lineRule="auto"/>
        <w:ind w:firstLine="640" w:firstLineChars="200"/>
        <w:jc w:val="both"/>
        <w:textAlignment w:val="baseline"/>
        <w:rPr>
          <w:rFonts w:ascii="仿宋_GB2312" w:eastAsia="仿宋_GB2312" w:cs="DengXian-Regular"/>
          <w:sz w:val="32"/>
          <w:szCs w:val="32"/>
        </w:rPr>
      </w:pPr>
      <w:bookmarkStart w:id="6" w:name="_Toc465149499"/>
      <w:bookmarkStart w:id="7" w:name="_Toc492652765"/>
      <w:bookmarkStart w:id="8" w:name="_Toc7075"/>
      <w:r>
        <w:rPr>
          <w:rFonts w:hint="eastAsia" w:ascii="仿宋_GB2312" w:eastAsia="仿宋_GB2312" w:cs="DengXian-Regular"/>
          <w:sz w:val="32"/>
          <w:szCs w:val="32"/>
        </w:rPr>
        <w:t>根据中共保定市徐水区委办公室、保定市徐水区人民政府办公室关于印发《保定市徐水区教育和</w:t>
      </w:r>
      <w:r>
        <w:rPr>
          <w:rFonts w:ascii="仿宋_GB2312" w:eastAsia="仿宋_GB2312" w:cs="DengXian-Regular"/>
          <w:sz w:val="32"/>
          <w:szCs w:val="32"/>
        </w:rPr>
        <w:t>体育局</w:t>
      </w:r>
      <w:r>
        <w:rPr>
          <w:rFonts w:hint="eastAsia" w:ascii="仿宋_GB2312" w:eastAsia="仿宋_GB2312" w:cs="DengXian-Regular"/>
          <w:sz w:val="32"/>
          <w:szCs w:val="32"/>
        </w:rPr>
        <w:t>职能配置、内设机构和人员编制规定》的通知，区教体</w:t>
      </w:r>
      <w:r>
        <w:rPr>
          <w:rFonts w:ascii="仿宋_GB2312" w:eastAsia="仿宋_GB2312" w:cs="DengXian-Regular"/>
          <w:sz w:val="32"/>
          <w:szCs w:val="32"/>
        </w:rPr>
        <w:t>局</w:t>
      </w:r>
      <w:r>
        <w:rPr>
          <w:rFonts w:hint="eastAsia" w:ascii="仿宋_GB2312" w:eastAsia="仿宋_GB2312" w:cs="DengXian-Regular"/>
          <w:sz w:val="32"/>
          <w:szCs w:val="32"/>
        </w:rPr>
        <w:t>为区全额</w:t>
      </w:r>
      <w:r>
        <w:rPr>
          <w:rFonts w:ascii="仿宋_GB2312" w:eastAsia="仿宋_GB2312" w:cs="DengXian-Regular"/>
          <w:sz w:val="32"/>
          <w:szCs w:val="32"/>
        </w:rPr>
        <w:t>事业</w:t>
      </w:r>
      <w:r>
        <w:rPr>
          <w:rFonts w:hint="eastAsia" w:ascii="仿宋_GB2312" w:eastAsia="仿宋_GB2312" w:cs="DengXian-Regular"/>
          <w:sz w:val="32"/>
          <w:szCs w:val="32"/>
        </w:rPr>
        <w:t>单位，下设</w:t>
      </w:r>
      <w:r>
        <w:rPr>
          <w:rFonts w:ascii="仿宋_GB2312" w:eastAsia="仿宋_GB2312" w:cs="DengXian-Regular"/>
          <w:sz w:val="32"/>
          <w:szCs w:val="32"/>
        </w:rPr>
        <w:t>6</w:t>
      </w:r>
      <w:r>
        <w:rPr>
          <w:rFonts w:hint="eastAsia" w:ascii="仿宋_GB2312" w:eastAsia="仿宋_GB2312" w:cs="DengXian-Regular"/>
          <w:sz w:val="32"/>
          <w:szCs w:val="32"/>
        </w:rPr>
        <w:t>个股室。教体</w:t>
      </w:r>
      <w:r>
        <w:rPr>
          <w:rFonts w:ascii="仿宋_GB2312" w:eastAsia="仿宋_GB2312" w:cs="DengXian-Regular"/>
          <w:sz w:val="32"/>
          <w:szCs w:val="32"/>
        </w:rPr>
        <w:t>局</w:t>
      </w:r>
      <w:r>
        <w:rPr>
          <w:rFonts w:hint="eastAsia" w:ascii="仿宋_GB2312" w:eastAsia="仿宋_GB2312" w:cs="DengXian-Regular"/>
          <w:sz w:val="32"/>
          <w:szCs w:val="32"/>
        </w:rPr>
        <w:t>根据绩效预算管理改革的相关要求，按照“部门职责—工作活动绩效目标”的层级设立了绩效预算架构，职责活动包括学前</w:t>
      </w:r>
      <w:r>
        <w:rPr>
          <w:rFonts w:ascii="仿宋_GB2312" w:eastAsia="仿宋_GB2312" w:cs="DengXian-Regular"/>
          <w:sz w:val="32"/>
          <w:szCs w:val="32"/>
        </w:rPr>
        <w:t>教育、义务教育、</w:t>
      </w:r>
      <w:r>
        <w:rPr>
          <w:rFonts w:hint="eastAsia" w:ascii="仿宋_GB2312" w:eastAsia="仿宋_GB2312" w:cs="DengXian-Regular"/>
          <w:sz w:val="32"/>
          <w:szCs w:val="32"/>
        </w:rPr>
        <w:t>普通</w:t>
      </w:r>
      <w:r>
        <w:rPr>
          <w:rFonts w:ascii="仿宋_GB2312" w:eastAsia="仿宋_GB2312" w:cs="DengXian-Regular"/>
          <w:sz w:val="32"/>
          <w:szCs w:val="32"/>
        </w:rPr>
        <w:t>高中教育、</w:t>
      </w:r>
      <w:r>
        <w:rPr>
          <w:rFonts w:hint="eastAsia" w:ascii="仿宋_GB2312" w:eastAsia="仿宋_GB2312" w:cs="DengXian-Regular"/>
          <w:sz w:val="32"/>
          <w:szCs w:val="32"/>
        </w:rPr>
        <w:t>职</w:t>
      </w:r>
      <w:r>
        <w:rPr>
          <w:rFonts w:ascii="仿宋_GB2312" w:eastAsia="仿宋_GB2312" w:cs="DengXian-Regular"/>
          <w:sz w:val="32"/>
          <w:szCs w:val="32"/>
        </w:rPr>
        <w:t>业教育、</w:t>
      </w:r>
      <w:r>
        <w:rPr>
          <w:rFonts w:hint="eastAsia" w:ascii="仿宋_GB2312" w:eastAsia="仿宋_GB2312" w:cs="DengXian-Regular"/>
          <w:sz w:val="32"/>
          <w:szCs w:val="32"/>
        </w:rPr>
        <w:t>教师</w:t>
      </w:r>
      <w:r>
        <w:rPr>
          <w:rFonts w:ascii="仿宋_GB2312" w:eastAsia="仿宋_GB2312" w:cs="DengXian-Regular"/>
          <w:sz w:val="32"/>
          <w:szCs w:val="32"/>
        </w:rPr>
        <w:t>队伍建设</w:t>
      </w:r>
      <w:r>
        <w:rPr>
          <w:rFonts w:hint="eastAsia" w:ascii="仿宋_GB2312" w:eastAsia="仿宋_GB2312" w:cs="DengXian-Regular"/>
          <w:sz w:val="32"/>
          <w:szCs w:val="32"/>
        </w:rPr>
        <w:t>、</w:t>
      </w:r>
      <w:r>
        <w:rPr>
          <w:rFonts w:ascii="仿宋_GB2312" w:eastAsia="仿宋_GB2312" w:cs="DengXian-Regular"/>
          <w:sz w:val="32"/>
          <w:szCs w:val="32"/>
        </w:rPr>
        <w:t>社会体育管理等</w:t>
      </w:r>
      <w:r>
        <w:rPr>
          <w:rFonts w:hint="eastAsia" w:ascii="仿宋_GB2312" w:eastAsia="仿宋_GB2312" w:cs="DengXian-Regular"/>
          <w:sz w:val="32"/>
          <w:szCs w:val="32"/>
        </w:rPr>
        <w:t>。</w:t>
      </w:r>
    </w:p>
    <w:p w14:paraId="658E8511">
      <w:pPr>
        <w:pStyle w:val="4"/>
        <w:spacing w:before="0" w:after="0"/>
        <w:ind w:firstLine="643" w:firstLineChars="200"/>
        <w:jc w:val="both"/>
        <w:rPr>
          <w:rFonts w:ascii="仿宋_GB2312" w:hAnsi="Tahoma" w:cs="DengXian-Regular"/>
          <w:sz w:val="32"/>
        </w:rPr>
      </w:pPr>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14:paraId="5BA4C900">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ascii="仿宋_GB2312" w:eastAsia="仿宋_GB2312" w:cs="DengXian-Regular"/>
          <w:sz w:val="32"/>
          <w:szCs w:val="32"/>
        </w:rPr>
        <w:t>1</w:t>
      </w:r>
      <w:r>
        <w:rPr>
          <w:rFonts w:hint="eastAsia" w:ascii="仿宋_GB2312" w:eastAsia="仿宋_GB2312" w:cs="DengXian-Regular"/>
          <w:sz w:val="32"/>
          <w:szCs w:val="32"/>
        </w:rPr>
        <w:t>年绩效预算编制要求，徐</w:t>
      </w:r>
      <w:r>
        <w:rPr>
          <w:rFonts w:ascii="仿宋_GB2312" w:eastAsia="仿宋_GB2312" w:cs="DengXian-Regular"/>
          <w:sz w:val="32"/>
          <w:szCs w:val="32"/>
        </w:rPr>
        <w:t>水区教育和体育局</w:t>
      </w:r>
      <w:r>
        <w:rPr>
          <w:rFonts w:hint="eastAsia" w:ascii="仿宋_GB2312" w:eastAsia="仿宋_GB2312" w:cs="DengXian-Regular"/>
          <w:sz w:val="32"/>
          <w:szCs w:val="32"/>
        </w:rPr>
        <w:t>单位设置的年度发展规划总体目标为：</w:t>
      </w:r>
    </w:p>
    <w:p w14:paraId="204ABA08">
      <w:pPr>
        <w:spacing w:after="0" w:line="360" w:lineRule="auto"/>
        <w:ind w:firstLine="640" w:firstLineChars="200"/>
        <w:jc w:val="both"/>
        <w:textAlignment w:val="baseline"/>
        <w:rPr>
          <w:rFonts w:ascii="仿宋_GB2312" w:eastAsia="仿宋_GB2312" w:cs="DengXian-Regular"/>
          <w:sz w:val="32"/>
          <w:szCs w:val="32"/>
        </w:rPr>
      </w:pPr>
      <w:bookmarkStart w:id="9" w:name="_Toc1678"/>
      <w:bookmarkStart w:id="10" w:name="_Toc492652766"/>
      <w:bookmarkStart w:id="11" w:name="_Toc465149500"/>
      <w:r>
        <w:rPr>
          <w:rFonts w:hint="eastAsia" w:ascii="仿宋_GB2312" w:eastAsia="仿宋_GB2312" w:cs="DengXian-Regular"/>
          <w:sz w:val="32"/>
          <w:szCs w:val="32"/>
        </w:rPr>
        <w:t>规划总体目标为：</w:t>
      </w:r>
    </w:p>
    <w:p w14:paraId="06C466C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负责贯彻执行党和国家关于制定教体部门工作要点，并监督实施。指导全区教育</w:t>
      </w:r>
      <w:r>
        <w:rPr>
          <w:rFonts w:ascii="仿宋_GB2312" w:eastAsia="仿宋_GB2312" w:cs="DengXian-Regular"/>
          <w:sz w:val="32"/>
          <w:szCs w:val="32"/>
        </w:rPr>
        <w:t>体育</w:t>
      </w:r>
      <w:r>
        <w:rPr>
          <w:rFonts w:hint="eastAsia" w:ascii="仿宋_GB2312" w:eastAsia="仿宋_GB2312" w:cs="DengXian-Regular"/>
          <w:sz w:val="32"/>
          <w:szCs w:val="32"/>
        </w:rPr>
        <w:t>工作。制定教育体育规划并组织实施，指导检查全区教育和</w:t>
      </w:r>
      <w:r>
        <w:rPr>
          <w:rFonts w:ascii="仿宋_GB2312" w:eastAsia="仿宋_GB2312" w:cs="DengXian-Regular"/>
          <w:sz w:val="32"/>
          <w:szCs w:val="32"/>
        </w:rPr>
        <w:t>体育</w:t>
      </w:r>
      <w:r>
        <w:rPr>
          <w:rFonts w:hint="eastAsia" w:ascii="仿宋_GB2312" w:eastAsia="仿宋_GB2312" w:cs="DengXian-Regular"/>
          <w:sz w:val="32"/>
          <w:szCs w:val="32"/>
        </w:rPr>
        <w:t>工作。</w:t>
      </w:r>
    </w:p>
    <w:p w14:paraId="1436FFDC">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14:paraId="5B0A48D6">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w:t>
      </w:r>
      <w:r>
        <w:rPr>
          <w:rFonts w:hint="eastAsia" w:ascii="仿宋" w:hAnsi="仿宋" w:eastAsia="仿宋" w:cs="Times New Roman"/>
          <w:sz w:val="32"/>
          <w:szCs w:val="32"/>
        </w:rPr>
        <w:t xml:space="preserve"> 扩大学前教育资源</w:t>
      </w:r>
      <w:r>
        <w:rPr>
          <w:rFonts w:hint="eastAsia" w:ascii="仿宋_GB2312" w:eastAsia="仿宋_GB2312" w:cs="DengXian-Regular"/>
          <w:sz w:val="32"/>
          <w:szCs w:val="32"/>
        </w:rPr>
        <w:t>。</w:t>
      </w:r>
    </w:p>
    <w:p w14:paraId="2384A04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w:t>
      </w:r>
      <w:r>
        <w:rPr>
          <w:rFonts w:hint="eastAsia" w:ascii="仿宋" w:hAnsi="仿宋" w:eastAsia="仿宋" w:cs="Times New Roman"/>
          <w:sz w:val="32"/>
          <w:szCs w:val="32"/>
        </w:rPr>
        <w:t xml:space="preserve"> 发展城乡义务教育、改善薄弱学校办学条件</w:t>
      </w:r>
      <w:r>
        <w:rPr>
          <w:rFonts w:hint="eastAsia" w:ascii="仿宋_GB2312" w:eastAsia="仿宋_GB2312" w:cs="DengXian-Regular"/>
          <w:sz w:val="32"/>
          <w:szCs w:val="32"/>
        </w:rPr>
        <w:t>。</w:t>
      </w:r>
    </w:p>
    <w:p w14:paraId="05E9E628">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hint="eastAsia" w:ascii="仿宋" w:hAnsi="仿宋" w:eastAsia="仿宋" w:cs="Times New Roman"/>
          <w:sz w:val="32"/>
          <w:szCs w:val="32"/>
        </w:rPr>
        <w:t xml:space="preserve"> 改善普通高中办学条件和学生资助</w:t>
      </w:r>
      <w:r>
        <w:rPr>
          <w:rFonts w:hint="eastAsia" w:ascii="仿宋_GB2312" w:eastAsia="仿宋_GB2312" w:cs="DengXian-Regular"/>
          <w:sz w:val="32"/>
          <w:szCs w:val="32"/>
        </w:rPr>
        <w:t>。</w:t>
      </w:r>
    </w:p>
    <w:p w14:paraId="05BCBB5C">
      <w:pPr>
        <w:spacing w:after="0" w:line="360" w:lineRule="auto"/>
        <w:ind w:firstLine="640" w:firstLineChars="200"/>
        <w:jc w:val="both"/>
        <w:textAlignment w:val="baseline"/>
        <w:rPr>
          <w:rFonts w:ascii="仿宋" w:hAnsi="仿宋" w:eastAsia="仿宋" w:cs="Times New Roman"/>
          <w:sz w:val="32"/>
          <w:szCs w:val="32"/>
        </w:rPr>
      </w:pPr>
      <w:r>
        <w:rPr>
          <w:rFonts w:hint="eastAsia" w:ascii="仿宋_GB2312" w:eastAsia="仿宋_GB2312" w:cs="DengXian-Regular"/>
          <w:sz w:val="32"/>
          <w:szCs w:val="32"/>
        </w:rPr>
        <w:t>4.</w:t>
      </w:r>
      <w:r>
        <w:rPr>
          <w:rFonts w:hint="eastAsia" w:ascii="仿宋" w:hAnsi="仿宋" w:eastAsia="仿宋" w:cs="Times New Roman"/>
          <w:sz w:val="32"/>
          <w:szCs w:val="32"/>
        </w:rPr>
        <w:t xml:space="preserve"> 提升中等职业教育质量、提升中等职业教育办学水平。</w:t>
      </w:r>
    </w:p>
    <w:p w14:paraId="11E47CA1">
      <w:pPr>
        <w:spacing w:after="0" w:line="360" w:lineRule="auto"/>
        <w:ind w:firstLine="640" w:firstLineChars="200"/>
        <w:jc w:val="both"/>
        <w:textAlignment w:val="baseline"/>
        <w:rPr>
          <w:rFonts w:ascii="仿宋" w:hAnsi="仿宋" w:eastAsia="仿宋" w:cs="Times New Roman"/>
          <w:sz w:val="32"/>
          <w:szCs w:val="32"/>
        </w:rPr>
      </w:pPr>
      <w:r>
        <w:rPr>
          <w:rFonts w:hint="eastAsia" w:ascii="仿宋" w:hAnsi="仿宋" w:eastAsia="仿宋" w:cs="Times New Roman"/>
          <w:sz w:val="32"/>
          <w:szCs w:val="32"/>
        </w:rPr>
        <w:t>5. 提升教师队伍素质。</w:t>
      </w:r>
    </w:p>
    <w:p w14:paraId="79F65673">
      <w:pPr>
        <w:spacing w:after="0" w:line="360" w:lineRule="auto"/>
        <w:ind w:firstLine="640" w:firstLineChars="200"/>
        <w:jc w:val="both"/>
        <w:textAlignment w:val="baseline"/>
        <w:rPr>
          <w:rFonts w:ascii="仿宋_GB2312" w:eastAsia="仿宋_GB2312" w:cs="DengXian-Regular"/>
          <w:sz w:val="32"/>
          <w:szCs w:val="32"/>
        </w:rPr>
      </w:pPr>
      <w:r>
        <w:rPr>
          <w:rFonts w:hint="eastAsia" w:ascii="仿宋" w:hAnsi="仿宋" w:eastAsia="仿宋" w:cs="Times New Roman"/>
          <w:sz w:val="32"/>
          <w:szCs w:val="32"/>
        </w:rPr>
        <w:t>6. 做</w:t>
      </w:r>
      <w:r>
        <w:rPr>
          <w:rFonts w:ascii="仿宋" w:hAnsi="仿宋" w:eastAsia="仿宋" w:cs="Times New Roman"/>
          <w:sz w:val="32"/>
          <w:szCs w:val="32"/>
        </w:rPr>
        <w:t>好教育</w:t>
      </w:r>
      <w:r>
        <w:rPr>
          <w:rFonts w:hint="eastAsia" w:ascii="仿宋" w:hAnsi="仿宋" w:eastAsia="仿宋" w:cs="Times New Roman"/>
          <w:sz w:val="32"/>
          <w:szCs w:val="32"/>
        </w:rPr>
        <w:t>综合事务管理工</w:t>
      </w:r>
      <w:r>
        <w:rPr>
          <w:rFonts w:ascii="仿宋" w:hAnsi="仿宋" w:eastAsia="仿宋" w:cs="Times New Roman"/>
          <w:sz w:val="32"/>
          <w:szCs w:val="32"/>
        </w:rPr>
        <w:t>作</w:t>
      </w:r>
      <w:r>
        <w:rPr>
          <w:rFonts w:hint="eastAsia" w:ascii="仿宋" w:hAnsi="仿宋" w:eastAsia="仿宋" w:cs="Times New Roman"/>
          <w:sz w:val="32"/>
          <w:szCs w:val="32"/>
        </w:rPr>
        <w:t>。</w:t>
      </w:r>
    </w:p>
    <w:p w14:paraId="27B84AFF">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14:paraId="42B690F3">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年区徐水</w:t>
      </w:r>
      <w:r>
        <w:rPr>
          <w:rFonts w:ascii="仿宋_GB2312" w:eastAsia="仿宋_GB2312" w:cs="DengXian-Regular"/>
          <w:sz w:val="32"/>
          <w:szCs w:val="32"/>
        </w:rPr>
        <w:t>区教育和体育局</w:t>
      </w:r>
      <w:r>
        <w:rPr>
          <w:rFonts w:hint="eastAsia" w:ascii="仿宋_GB2312" w:eastAsia="仿宋_GB2312" w:cs="DengXian-Regular"/>
          <w:sz w:val="32"/>
          <w:szCs w:val="32"/>
        </w:rPr>
        <w:t>预算收入</w:t>
      </w:r>
      <w:r>
        <w:rPr>
          <w:rFonts w:ascii="仿宋_GB2312" w:eastAsia="仿宋_GB2312" w:cs="DengXian-Regular"/>
          <w:sz w:val="32"/>
          <w:szCs w:val="32"/>
        </w:rPr>
        <w:t>131314.5</w:t>
      </w:r>
      <w:r>
        <w:rPr>
          <w:rFonts w:hint="eastAsia" w:ascii="仿宋_GB2312" w:eastAsia="仿宋_GB2312" w:cs="DengXian-Regular"/>
          <w:sz w:val="32"/>
          <w:szCs w:val="32"/>
        </w:rPr>
        <w:t>万元，一般公共预算拨款128947.8万</w:t>
      </w:r>
      <w:r>
        <w:rPr>
          <w:rFonts w:ascii="仿宋_GB2312" w:eastAsia="仿宋_GB2312" w:cs="DengXian-Regular"/>
          <w:sz w:val="32"/>
          <w:szCs w:val="32"/>
        </w:rPr>
        <w:t>元</w:t>
      </w:r>
      <w:r>
        <w:rPr>
          <w:rFonts w:hint="eastAsia" w:ascii="仿宋_GB2312" w:eastAsia="仿宋_GB2312" w:cs="DengXian-Regular"/>
          <w:sz w:val="32"/>
          <w:szCs w:val="32"/>
        </w:rPr>
        <w:t>，其中：财政拨款</w:t>
      </w:r>
      <w:r>
        <w:rPr>
          <w:rFonts w:ascii="仿宋_GB2312" w:eastAsia="仿宋_GB2312" w:cs="DengXian-Regular"/>
          <w:sz w:val="32"/>
          <w:szCs w:val="32"/>
        </w:rPr>
        <w:t>115053</w:t>
      </w:r>
      <w:r>
        <w:rPr>
          <w:rFonts w:hint="eastAsia" w:ascii="仿宋_GB2312" w:eastAsia="仿宋_GB2312" w:cs="DengXian-Regular"/>
          <w:sz w:val="32"/>
          <w:szCs w:val="32"/>
        </w:rPr>
        <w:t>万元，中央财政提前通知转移支付</w:t>
      </w:r>
      <w:r>
        <w:rPr>
          <w:rFonts w:ascii="仿宋_GB2312" w:eastAsia="仿宋_GB2312" w:cs="DengXian-Regular"/>
          <w:sz w:val="32"/>
          <w:szCs w:val="32"/>
        </w:rPr>
        <w:t>13894.8</w:t>
      </w:r>
      <w:r>
        <w:rPr>
          <w:rFonts w:hint="eastAsia" w:ascii="仿宋_GB2312" w:eastAsia="仿宋_GB2312" w:cs="DengXian-Regular"/>
          <w:sz w:val="32"/>
          <w:szCs w:val="32"/>
        </w:rPr>
        <w:t>万元。预算收入按功能分类包含：教育</w:t>
      </w:r>
      <w:r>
        <w:rPr>
          <w:rFonts w:ascii="仿宋_GB2312" w:eastAsia="仿宋_GB2312" w:cs="DengXian-Regular"/>
          <w:sz w:val="32"/>
          <w:szCs w:val="32"/>
        </w:rPr>
        <w:t>支出</w:t>
      </w:r>
      <w:r>
        <w:rPr>
          <w:rFonts w:hint="eastAsia" w:ascii="仿宋_GB2312" w:eastAsia="仿宋_GB2312" w:cs="DengXian-Regular"/>
          <w:sz w:val="32"/>
          <w:szCs w:val="32"/>
        </w:rPr>
        <w:t>110249.16万</w:t>
      </w:r>
      <w:r>
        <w:rPr>
          <w:rFonts w:ascii="仿宋_GB2312" w:eastAsia="仿宋_GB2312" w:cs="DengXian-Regular"/>
          <w:sz w:val="32"/>
          <w:szCs w:val="32"/>
        </w:rPr>
        <w:t>元，</w:t>
      </w:r>
      <w:r>
        <w:rPr>
          <w:rFonts w:hint="eastAsia" w:ascii="仿宋_GB2312" w:eastAsia="仿宋_GB2312" w:cs="DengXian-Regular"/>
          <w:sz w:val="32"/>
          <w:szCs w:val="32"/>
        </w:rPr>
        <w:t>社会保障和就业支出</w:t>
      </w:r>
      <w:r>
        <w:rPr>
          <w:rFonts w:ascii="仿宋_GB2312" w:eastAsia="仿宋_GB2312" w:cs="DengXian-Regular"/>
          <w:sz w:val="32"/>
          <w:szCs w:val="32"/>
        </w:rPr>
        <w:t>9528.9</w:t>
      </w:r>
      <w:r>
        <w:rPr>
          <w:rFonts w:hint="eastAsia" w:ascii="仿宋_GB2312" w:eastAsia="仿宋_GB2312" w:cs="DengXian-Regular"/>
          <w:sz w:val="32"/>
          <w:szCs w:val="32"/>
        </w:rPr>
        <w:t>万元，文化旅游体育与传媒支出25.94万</w:t>
      </w:r>
      <w:r>
        <w:rPr>
          <w:rFonts w:ascii="仿宋_GB2312" w:eastAsia="仿宋_GB2312" w:cs="DengXian-Regular"/>
          <w:sz w:val="32"/>
          <w:szCs w:val="32"/>
        </w:rPr>
        <w:t>元，</w:t>
      </w:r>
      <w:r>
        <w:rPr>
          <w:rFonts w:hint="eastAsia" w:ascii="仿宋_GB2312" w:eastAsia="仿宋_GB2312" w:cs="DengXian-Regular"/>
          <w:sz w:val="32"/>
          <w:szCs w:val="32"/>
        </w:rPr>
        <w:t>卫生健康支出</w:t>
      </w:r>
      <w:r>
        <w:rPr>
          <w:rFonts w:ascii="仿宋_GB2312" w:eastAsia="仿宋_GB2312" w:cs="DengXian-Regular"/>
          <w:sz w:val="32"/>
          <w:szCs w:val="32"/>
        </w:rPr>
        <w:t>3707.46</w:t>
      </w:r>
      <w:r>
        <w:rPr>
          <w:rFonts w:hint="eastAsia" w:ascii="仿宋_GB2312" w:eastAsia="仿宋_GB2312" w:cs="DengXian-Regular"/>
          <w:sz w:val="32"/>
          <w:szCs w:val="32"/>
        </w:rPr>
        <w:t>万元，住房保障支出</w:t>
      </w:r>
      <w:r>
        <w:rPr>
          <w:rFonts w:ascii="仿宋_GB2312" w:eastAsia="仿宋_GB2312" w:cs="DengXian-Regular"/>
          <w:sz w:val="32"/>
          <w:szCs w:val="32"/>
        </w:rPr>
        <w:t>5392.14</w:t>
      </w:r>
      <w:r>
        <w:rPr>
          <w:rFonts w:hint="eastAsia" w:ascii="仿宋_GB2312" w:eastAsia="仿宋_GB2312" w:cs="DengXian-Regular"/>
          <w:sz w:val="32"/>
          <w:szCs w:val="32"/>
        </w:rPr>
        <w:t>万元</w:t>
      </w:r>
      <w:r>
        <w:rPr>
          <w:rFonts w:ascii="仿宋_GB2312" w:eastAsia="仿宋_GB2312" w:cs="DengXian-Regular"/>
          <w:sz w:val="32"/>
          <w:szCs w:val="32"/>
        </w:rPr>
        <w:t>，农林水支出</w:t>
      </w:r>
      <w:r>
        <w:rPr>
          <w:rFonts w:hint="eastAsia" w:ascii="仿宋_GB2312" w:eastAsia="仿宋_GB2312" w:cs="DengXian-Regular"/>
          <w:sz w:val="32"/>
          <w:szCs w:val="32"/>
        </w:rPr>
        <w:t>44.2万</w:t>
      </w:r>
      <w:r>
        <w:rPr>
          <w:rFonts w:ascii="仿宋_GB2312" w:eastAsia="仿宋_GB2312" w:cs="DengXian-Regular"/>
          <w:sz w:val="32"/>
          <w:szCs w:val="32"/>
        </w:rPr>
        <w:t>元</w:t>
      </w:r>
      <w:r>
        <w:rPr>
          <w:rFonts w:hint="eastAsia" w:ascii="仿宋_GB2312" w:eastAsia="仿宋_GB2312" w:cs="DengXian-Regular"/>
          <w:sz w:val="32"/>
          <w:szCs w:val="32"/>
        </w:rPr>
        <w:t>。具体预算收入详见附件2。</w:t>
      </w:r>
    </w:p>
    <w:p w14:paraId="19408739">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w:t>
      </w:r>
      <w:r>
        <w:rPr>
          <w:rFonts w:ascii="仿宋_GB2312" w:eastAsia="仿宋_GB2312" w:cs="DengXian-Regular"/>
          <w:sz w:val="32"/>
          <w:szCs w:val="32"/>
        </w:rPr>
        <w:t>教</w:t>
      </w:r>
      <w:r>
        <w:rPr>
          <w:rFonts w:hint="eastAsia" w:ascii="仿宋_GB2312" w:eastAsia="仿宋_GB2312" w:cs="DengXian-Regular"/>
          <w:sz w:val="32"/>
          <w:szCs w:val="32"/>
        </w:rPr>
        <w:t>体</w:t>
      </w:r>
      <w:r>
        <w:rPr>
          <w:rFonts w:ascii="仿宋_GB2312" w:eastAsia="仿宋_GB2312" w:cs="DengXian-Regular"/>
          <w:sz w:val="32"/>
          <w:szCs w:val="32"/>
        </w:rPr>
        <w:t>局</w:t>
      </w:r>
      <w:r>
        <w:rPr>
          <w:rFonts w:hint="eastAsia" w:ascii="仿宋_GB2312" w:eastAsia="仿宋_GB2312" w:cs="DengXian-Regular"/>
          <w:sz w:val="32"/>
          <w:szCs w:val="32"/>
        </w:rPr>
        <w:t>决算收入</w:t>
      </w:r>
      <w:r>
        <w:rPr>
          <w:rFonts w:ascii="仿宋_GB2312" w:eastAsia="仿宋_GB2312" w:cs="DengXian-Regular"/>
          <w:sz w:val="32"/>
          <w:szCs w:val="32"/>
        </w:rPr>
        <w:t>123955.78</w:t>
      </w:r>
      <w:r>
        <w:rPr>
          <w:rFonts w:hint="eastAsia" w:ascii="仿宋_GB2312" w:eastAsia="仿宋_GB2312" w:cs="DengXian-Regular"/>
          <w:sz w:val="32"/>
          <w:szCs w:val="32"/>
        </w:rPr>
        <w:t>万元，其中：财政拨款收入</w:t>
      </w:r>
      <w:r>
        <w:rPr>
          <w:rFonts w:ascii="仿宋_GB2312" w:eastAsia="仿宋_GB2312" w:cs="DengXian-Regular"/>
          <w:sz w:val="32"/>
          <w:szCs w:val="32"/>
        </w:rPr>
        <w:t>121,489.69</w:t>
      </w:r>
      <w:r>
        <w:rPr>
          <w:rFonts w:hint="eastAsia" w:ascii="仿宋_GB2312" w:eastAsia="仿宋_GB2312" w:cs="DengXian-Regular"/>
          <w:sz w:val="32"/>
          <w:szCs w:val="32"/>
        </w:rPr>
        <w:t>万元，事</w:t>
      </w:r>
      <w:r>
        <w:rPr>
          <w:rFonts w:ascii="仿宋_GB2312" w:eastAsia="仿宋_GB2312" w:cs="DengXian-Regular"/>
          <w:sz w:val="32"/>
          <w:szCs w:val="32"/>
        </w:rPr>
        <w:t>业收入2,450.70</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其他收入</w:t>
      </w:r>
      <w:r>
        <w:rPr>
          <w:rFonts w:ascii="仿宋_GB2312" w:eastAsia="仿宋_GB2312" w:cs="DengXian-Regular"/>
          <w:sz w:val="32"/>
          <w:szCs w:val="32"/>
        </w:rPr>
        <w:t>15.38</w:t>
      </w:r>
      <w:r>
        <w:rPr>
          <w:rFonts w:hint="eastAsia" w:ascii="仿宋_GB2312" w:eastAsia="仿宋_GB2312" w:cs="DengXian-Regular"/>
          <w:sz w:val="32"/>
          <w:szCs w:val="32"/>
        </w:rPr>
        <w:t>万元（全部为利息收入）。决算收入按功能分类包含：教育支出104,271.41万元，占比</w:t>
      </w:r>
      <w:r>
        <w:rPr>
          <w:rFonts w:ascii="仿宋_GB2312" w:eastAsia="仿宋_GB2312" w:cs="DengXian-Regular"/>
          <w:sz w:val="32"/>
          <w:szCs w:val="32"/>
        </w:rPr>
        <w:t>84.12</w:t>
      </w:r>
      <w:r>
        <w:rPr>
          <w:rFonts w:hint="eastAsia" w:ascii="仿宋_GB2312" w:eastAsia="仿宋_GB2312" w:cs="DengXian-Regular"/>
          <w:sz w:val="32"/>
          <w:szCs w:val="32"/>
        </w:rPr>
        <w:t>%；社会保障和就业支出</w:t>
      </w:r>
      <w:r>
        <w:rPr>
          <w:rFonts w:ascii="仿宋_GB2312" w:eastAsia="仿宋_GB2312" w:cs="DengXian-Regular"/>
          <w:sz w:val="32"/>
          <w:szCs w:val="32"/>
        </w:rPr>
        <w:t>8,11</w:t>
      </w:r>
      <w:r>
        <w:rPr>
          <w:rFonts w:hint="eastAsia" w:ascii="仿宋_GB2312" w:eastAsia="仿宋_GB2312" w:cs="DengXian-Regular"/>
          <w:sz w:val="32"/>
          <w:szCs w:val="32"/>
        </w:rPr>
        <w:t>7</w:t>
      </w:r>
      <w:r>
        <w:rPr>
          <w:rFonts w:ascii="仿宋_GB2312" w:eastAsia="仿宋_GB2312" w:cs="DengXian-Regular"/>
          <w:sz w:val="32"/>
          <w:szCs w:val="32"/>
        </w:rPr>
        <w:t>.9</w:t>
      </w:r>
      <w:r>
        <w:rPr>
          <w:rFonts w:hint="eastAsia" w:ascii="仿宋_GB2312" w:eastAsia="仿宋_GB2312" w:cs="DengXian-Regular"/>
          <w:sz w:val="32"/>
          <w:szCs w:val="32"/>
        </w:rPr>
        <w:t>7万元，占比</w:t>
      </w:r>
      <w:r>
        <w:rPr>
          <w:rFonts w:ascii="仿宋_GB2312" w:eastAsia="仿宋_GB2312" w:cs="DengXian-Regular"/>
          <w:sz w:val="32"/>
          <w:szCs w:val="32"/>
        </w:rPr>
        <w:t>6.55</w:t>
      </w:r>
      <w:r>
        <w:rPr>
          <w:rFonts w:hint="eastAsia" w:ascii="仿宋_GB2312" w:eastAsia="仿宋_GB2312" w:cs="DengXian-Regular"/>
          <w:sz w:val="32"/>
          <w:szCs w:val="32"/>
        </w:rPr>
        <w:t>%；卫生健康支出</w:t>
      </w:r>
      <w:r>
        <w:rPr>
          <w:rFonts w:ascii="仿宋_GB2312" w:eastAsia="仿宋_GB2312" w:cs="DengXian-Regular"/>
          <w:sz w:val="32"/>
          <w:szCs w:val="32"/>
        </w:rPr>
        <w:t>2,7</w:t>
      </w:r>
      <w:r>
        <w:rPr>
          <w:rFonts w:hint="eastAsia" w:ascii="仿宋_GB2312" w:eastAsia="仿宋_GB2312" w:cs="DengXian-Regular"/>
          <w:sz w:val="32"/>
          <w:szCs w:val="32"/>
        </w:rPr>
        <w:t>91.53万元，占比</w:t>
      </w:r>
      <w:r>
        <w:rPr>
          <w:rFonts w:ascii="仿宋_GB2312" w:eastAsia="仿宋_GB2312" w:cs="DengXian-Regular"/>
          <w:sz w:val="32"/>
          <w:szCs w:val="32"/>
        </w:rPr>
        <w:t>2.24</w:t>
      </w:r>
      <w:r>
        <w:rPr>
          <w:rFonts w:hint="eastAsia" w:ascii="仿宋_GB2312" w:eastAsia="仿宋_GB2312" w:cs="DengXian-Regular"/>
          <w:sz w:val="32"/>
          <w:szCs w:val="32"/>
        </w:rPr>
        <w:t>%；住房保障支出</w:t>
      </w:r>
      <w:r>
        <w:rPr>
          <w:rFonts w:ascii="仿宋_GB2312" w:eastAsia="仿宋_GB2312" w:cs="DengXian-Regular"/>
          <w:sz w:val="32"/>
          <w:szCs w:val="32"/>
        </w:rPr>
        <w:t>3,8</w:t>
      </w:r>
      <w:r>
        <w:rPr>
          <w:rFonts w:hint="eastAsia" w:ascii="仿宋_GB2312" w:eastAsia="仿宋_GB2312" w:cs="DengXian-Regular"/>
          <w:sz w:val="32"/>
          <w:szCs w:val="32"/>
        </w:rPr>
        <w:t>89.03万元，占比</w:t>
      </w:r>
      <w:r>
        <w:rPr>
          <w:rFonts w:ascii="仿宋_GB2312" w:eastAsia="仿宋_GB2312" w:cs="DengXian-Regular"/>
          <w:sz w:val="32"/>
          <w:szCs w:val="32"/>
        </w:rPr>
        <w:t>3.14</w:t>
      </w:r>
      <w:r>
        <w:rPr>
          <w:rFonts w:hint="eastAsia" w:ascii="仿宋_GB2312" w:eastAsia="仿宋_GB2312" w:cs="DengXian-Regular"/>
          <w:sz w:val="32"/>
          <w:szCs w:val="32"/>
        </w:rPr>
        <w:t>%；其他</w:t>
      </w:r>
      <w:r>
        <w:rPr>
          <w:rFonts w:ascii="仿宋_GB2312" w:eastAsia="仿宋_GB2312" w:cs="DengXian-Regular"/>
          <w:sz w:val="32"/>
          <w:szCs w:val="32"/>
        </w:rPr>
        <w:t>支出</w:t>
      </w:r>
      <w:r>
        <w:rPr>
          <w:rFonts w:hint="eastAsia" w:ascii="仿宋_GB2312" w:eastAsia="仿宋_GB2312" w:cs="DengXian-Regular"/>
          <w:sz w:val="32"/>
          <w:szCs w:val="32"/>
        </w:rPr>
        <w:t>4807.96万</w:t>
      </w:r>
      <w:r>
        <w:rPr>
          <w:rFonts w:ascii="仿宋_GB2312" w:eastAsia="仿宋_GB2312" w:cs="DengXian-Regular"/>
          <w:sz w:val="32"/>
          <w:szCs w:val="32"/>
        </w:rPr>
        <w:t>元，占比</w:t>
      </w:r>
      <w:r>
        <w:rPr>
          <w:rFonts w:hint="eastAsia" w:ascii="仿宋_GB2312" w:eastAsia="仿宋_GB2312" w:cs="DengXian-Regular"/>
          <w:sz w:val="32"/>
          <w:szCs w:val="32"/>
        </w:rPr>
        <w:t>3.88%；文化旅游体育与传媒支出</w:t>
      </w:r>
      <w:r>
        <w:rPr>
          <w:rFonts w:ascii="仿宋_GB2312" w:eastAsia="仿宋_GB2312" w:cs="DengXian-Regular"/>
          <w:sz w:val="32"/>
          <w:szCs w:val="32"/>
        </w:rPr>
        <w:t>51.05</w:t>
      </w:r>
      <w:r>
        <w:rPr>
          <w:rFonts w:hint="eastAsia" w:ascii="仿宋_GB2312" w:eastAsia="仿宋_GB2312" w:cs="DengXian-Regular"/>
          <w:sz w:val="32"/>
          <w:szCs w:val="32"/>
        </w:rPr>
        <w:t>万</w:t>
      </w:r>
      <w:r>
        <w:rPr>
          <w:rFonts w:ascii="仿宋_GB2312" w:eastAsia="仿宋_GB2312" w:cs="DengXian-Regular"/>
          <w:sz w:val="32"/>
          <w:szCs w:val="32"/>
        </w:rPr>
        <w:t>元</w:t>
      </w:r>
      <w:r>
        <w:rPr>
          <w:rFonts w:hint="eastAsia" w:ascii="仿宋_GB2312" w:eastAsia="仿宋_GB2312" w:cs="DengXian-Regular"/>
          <w:sz w:val="32"/>
          <w:szCs w:val="32"/>
        </w:rPr>
        <w:t>，</w:t>
      </w:r>
      <w:r>
        <w:rPr>
          <w:rFonts w:ascii="仿宋_GB2312" w:eastAsia="仿宋_GB2312" w:cs="DengXian-Regular"/>
          <w:sz w:val="32"/>
          <w:szCs w:val="32"/>
        </w:rPr>
        <w:t>占比</w:t>
      </w:r>
      <w:r>
        <w:rPr>
          <w:rFonts w:hint="eastAsia" w:ascii="仿宋_GB2312" w:eastAsia="仿宋_GB2312" w:cs="DengXian-Regular"/>
          <w:sz w:val="32"/>
          <w:szCs w:val="32"/>
        </w:rPr>
        <w:t>0.04%</w:t>
      </w:r>
      <w:r>
        <w:rPr>
          <w:rFonts w:ascii="仿宋_GB2312" w:eastAsia="仿宋_GB2312" w:cs="DengXian-Regular"/>
          <w:sz w:val="32"/>
          <w:szCs w:val="32"/>
        </w:rPr>
        <w:t>；</w:t>
      </w:r>
      <w:r>
        <w:rPr>
          <w:rFonts w:hint="eastAsia" w:ascii="仿宋_GB2312" w:eastAsia="仿宋_GB2312" w:cs="DengXian-Regular"/>
          <w:sz w:val="32"/>
          <w:szCs w:val="32"/>
        </w:rPr>
        <w:t>农</w:t>
      </w:r>
      <w:r>
        <w:rPr>
          <w:rFonts w:ascii="仿宋_GB2312" w:eastAsia="仿宋_GB2312" w:cs="DengXian-Regular"/>
          <w:sz w:val="32"/>
          <w:szCs w:val="32"/>
        </w:rPr>
        <w:t>林水支出</w:t>
      </w:r>
      <w:r>
        <w:rPr>
          <w:rFonts w:hint="eastAsia" w:ascii="仿宋_GB2312" w:eastAsia="仿宋_GB2312" w:cs="DengXian-Regular"/>
          <w:sz w:val="32"/>
          <w:szCs w:val="32"/>
        </w:rPr>
        <w:t>23.84万</w:t>
      </w:r>
      <w:r>
        <w:rPr>
          <w:rFonts w:ascii="仿宋_GB2312" w:eastAsia="仿宋_GB2312" w:cs="DengXian-Regular"/>
          <w:sz w:val="32"/>
          <w:szCs w:val="32"/>
        </w:rPr>
        <w:t>元</w:t>
      </w:r>
      <w:r>
        <w:rPr>
          <w:rFonts w:hint="eastAsia" w:ascii="仿宋_GB2312" w:eastAsia="仿宋_GB2312" w:cs="DengXian-Regular"/>
          <w:sz w:val="32"/>
          <w:szCs w:val="32"/>
        </w:rPr>
        <w:t>，</w:t>
      </w:r>
      <w:r>
        <w:rPr>
          <w:rFonts w:ascii="仿宋_GB2312" w:eastAsia="仿宋_GB2312" w:cs="DengXian-Regular"/>
          <w:sz w:val="32"/>
          <w:szCs w:val="32"/>
        </w:rPr>
        <w:t>占比</w:t>
      </w:r>
      <w:r>
        <w:rPr>
          <w:rFonts w:hint="eastAsia" w:ascii="仿宋_GB2312" w:eastAsia="仿宋_GB2312" w:cs="DengXian-Regular"/>
          <w:sz w:val="32"/>
          <w:szCs w:val="32"/>
        </w:rPr>
        <w:t>0.01%；</w:t>
      </w:r>
      <w:r>
        <w:rPr>
          <w:rFonts w:ascii="仿宋_GB2312" w:eastAsia="仿宋_GB2312" w:cs="DengXian-Regular"/>
          <w:sz w:val="32"/>
          <w:szCs w:val="32"/>
        </w:rPr>
        <w:t>一般公共服务支出</w:t>
      </w:r>
      <w:r>
        <w:rPr>
          <w:rFonts w:hint="eastAsia" w:ascii="仿宋_GB2312" w:eastAsia="仿宋_GB2312" w:cs="DengXian-Regular"/>
          <w:sz w:val="32"/>
          <w:szCs w:val="32"/>
        </w:rPr>
        <w:t>3万</w:t>
      </w:r>
      <w:r>
        <w:rPr>
          <w:rFonts w:ascii="仿宋_GB2312" w:eastAsia="仿宋_GB2312" w:cs="DengXian-Regular"/>
          <w:sz w:val="32"/>
          <w:szCs w:val="32"/>
        </w:rPr>
        <w:t>元</w:t>
      </w:r>
      <w:r>
        <w:rPr>
          <w:rFonts w:hint="eastAsia" w:ascii="仿宋_GB2312" w:eastAsia="仿宋_GB2312" w:cs="DengXian-Regular"/>
          <w:sz w:val="32"/>
          <w:szCs w:val="32"/>
        </w:rPr>
        <w:t>。具体决算收入详见附件</w:t>
      </w:r>
    </w:p>
    <w:p w14:paraId="0BF87234">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2。决算收入结构如图1。</w:t>
      </w:r>
    </w:p>
    <w:p w14:paraId="685D4DBF">
      <w:pPr>
        <w:spacing w:after="0" w:line="360" w:lineRule="auto"/>
        <w:jc w:val="center"/>
        <w:textAlignment w:val="baseline"/>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图1  202</w:t>
      </w:r>
      <w:r>
        <w:rPr>
          <w:rFonts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t>年度区教体</w:t>
      </w:r>
      <w:r>
        <w:rPr>
          <w:rFonts w:asciiTheme="minorEastAsia" w:hAnsiTheme="minorEastAsia" w:eastAsiaTheme="minorEastAsia" w:cstheme="minorEastAsia"/>
          <w:b/>
          <w:bCs/>
          <w:sz w:val="32"/>
          <w:szCs w:val="32"/>
        </w:rPr>
        <w:t>局</w:t>
      </w:r>
      <w:r>
        <w:rPr>
          <w:rFonts w:hint="eastAsia" w:asciiTheme="minorEastAsia" w:hAnsiTheme="minorEastAsia" w:eastAsiaTheme="minorEastAsia" w:cstheme="minorEastAsia"/>
          <w:b/>
          <w:bCs/>
          <w:sz w:val="32"/>
          <w:szCs w:val="32"/>
        </w:rPr>
        <w:t>决算收入结构图</w:t>
      </w:r>
    </w:p>
    <w:p w14:paraId="58551A00">
      <w:pPr>
        <w:spacing w:after="0" w:line="540" w:lineRule="exact"/>
        <w:ind w:firstLine="440" w:firstLineChars="200"/>
        <w:jc w:val="both"/>
        <w:rPr>
          <w:rFonts w:ascii="仿宋_GB2312" w:eastAsia="仿宋_GB2312" w:cs="Times New Roman" w:hAnsiTheme="minorEastAsia"/>
          <w:sz w:val="32"/>
          <w:szCs w:val="32"/>
          <w:u w:color="000000"/>
        </w:rPr>
      </w:pPr>
      <w:r>
        <w:drawing>
          <wp:anchor distT="0" distB="0" distL="114300" distR="114300" simplePos="0" relativeHeight="251659264" behindDoc="0" locked="0" layoutInCell="1" allowOverlap="1">
            <wp:simplePos x="0" y="0"/>
            <wp:positionH relativeFrom="column">
              <wp:posOffset>9525</wp:posOffset>
            </wp:positionH>
            <wp:positionV relativeFrom="paragraph">
              <wp:posOffset>218440</wp:posOffset>
            </wp:positionV>
            <wp:extent cx="4562475" cy="2866390"/>
            <wp:effectExtent l="0" t="0" r="0" b="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76F4FF9D">
      <w:pPr>
        <w:spacing w:after="0" w:line="540" w:lineRule="exact"/>
        <w:ind w:firstLine="640" w:firstLineChars="200"/>
        <w:jc w:val="both"/>
        <w:rPr>
          <w:rFonts w:ascii="仿宋_GB2312" w:eastAsia="仿宋_GB2312" w:cs="Times New Roman" w:hAnsiTheme="minorEastAsia"/>
          <w:sz w:val="32"/>
          <w:szCs w:val="32"/>
          <w:u w:color="000000"/>
        </w:rPr>
      </w:pPr>
    </w:p>
    <w:p w14:paraId="440C245D">
      <w:pPr>
        <w:spacing w:after="0" w:line="540" w:lineRule="exact"/>
        <w:ind w:firstLine="640" w:firstLineChars="200"/>
        <w:jc w:val="both"/>
        <w:rPr>
          <w:rFonts w:ascii="仿宋_GB2312" w:eastAsia="仿宋_GB2312" w:cs="DengXian-Regular"/>
          <w:sz w:val="32"/>
          <w:szCs w:val="32"/>
        </w:rPr>
      </w:pPr>
    </w:p>
    <w:p w14:paraId="3757BA05">
      <w:pPr>
        <w:spacing w:after="0" w:line="540" w:lineRule="exact"/>
        <w:ind w:firstLine="440" w:firstLineChars="200"/>
        <w:jc w:val="both"/>
        <w:rPr>
          <w:rFonts w:ascii="仿宋_GB2312" w:eastAsia="仿宋_GB2312" w:cs="DengXian-Regular"/>
          <w:sz w:val="32"/>
          <w:szCs w:val="32"/>
        </w:rPr>
      </w:pPr>
      <w:r>
        <w:pict>
          <v:shape id="_x0000_s1027" o:spid="_x0000_s1027" o:spt="202" type="#_x0000_t202" style="position:absolute;left:0pt;margin-left:-137.1pt;margin-top:41.5pt;height:34.35pt;width:118pt;mso-wrap-distance-bottom:3.6pt;mso-wrap-distance-left:9pt;mso-wrap-distance-right:9pt;mso-wrap-distance-top:3.6pt;z-index:251661312;mso-width-relative:margin;mso-height-relative:margin;mso-height-percent:200;"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2yOAIAAE8EAAAOAAAAZHJzL2Uyb0RvYy54bWysVM2O0zAQviPxDpbvND/bdrdR09XSpQhp&#10;+ZEWHsB1nMbC8RjbbbI8ALwBJy7cea4+B2On260WuCBysDye8eeZ75vJ/LJvFdkJ6yTokmajlBKh&#10;OVRSb0r64f3q2QUlzjNdMQValPROOHq5ePpk3plC5NCAqoQlCKJd0ZmSNt6bIkkcb0TL3AiM0Ois&#10;wbbMo2k3SWVZh+itSvI0nSYd2MpY4MI5PL0enHQR8etacP+2rp3wRJUUc/NxtXFdhzVZzFmxscw0&#10;kh/SYP+QRcukxkePUNfMM7K18jeoVnILDmo/4tAmUNeSi1gDVpOlj6q5bZgRsRYkx5kjTe7/wfI3&#10;u3eWyKqkeXZOiWYtirT/9nX//ef+xxeSB4I64wqMuzUY6fvn0KPQsVhnboB/dETDsmF6I66sha4R&#10;rMIEs3AzObk64LgAsu5eQ4XvsK2HCNTXtg3sIR8E0VGou6M4oveE42F+Nk1nZ+ji6MvG6XiaR/kS&#10;VtxfN9b5lwJaEjYltah+hGe7G+dDOqy4DwmvOVCyWkmlomE366WyZMewU1bxixU8ClOadCWdTfLJ&#10;wMBfIdL4/QmilR5bXsm2pBfHIFYE3l7oKjakZ1INe0xZ6QORgbuBRd+v+yhaZDmQvIbqDpm1MHQ4&#10;TiRuGrCfKemwu0vqPm2ZFZSoVxrVmWXjcRiHaIwn50glsaee9amHaY5QJfWUDNuljyMUeTNXqOJK&#10;Rn4fMjmkjF0baT9MWBiLUztGPfwHFr8AAAD//wMAUEsDBBQABgAIAAAAIQBIWydy2wAAAAcBAAAP&#10;AAAAZHJzL2Rvd25yZXYueG1sTI9BT8MwDIXvSPyHyEjcWLICYypNp6mC66RtSFy9JrSFxClN2pV/&#10;jzmxm5+f9d7nYjN7JyY7xC6QhuVCgbBUB9NRo+Ht+Hq3BhETkkEXyGr4sRE25fVVgbkJZ9rb6ZAa&#10;wSEUc9TQptTnUsa6tR7jIvSW2PsIg8fEcmikGfDM4d7JTKmV9NgRN7TY26q19ddh9BrGY7Wd9lX2&#10;+T7tzMNu9YIe3bfWtzfz9hlEsnP6P4Y/fEaHkplOYSQThdPAjyQN2Zr52b1/WvJw4sWjUiDLQl7y&#10;l78AAAD//wMAUEsBAi0AFAAGAAgAAAAhALaDOJL+AAAA4QEAABMAAAAAAAAAAAAAAAAAAAAAAFtD&#10;b250ZW50X1R5cGVzXS54bWxQSwECLQAUAAYACAAAACEAOP0h/9YAAACUAQAACwAAAAAAAAAAAAAA&#10;AAAvAQAAX3JlbHMvLnJlbHNQSwECLQAUAAYACAAAACEARApNsjgCAABPBAAADgAAAAAAAAAAAAAA&#10;AAAuAgAAZHJzL2Uyb0RvYy54bWxQSwECLQAUAAYACAAAACEASFsnctsAAAAHAQAADwAAAAAAAAAA&#10;AAAAAACSBAAAZHJzL2Rvd25yZXYueG1sUEsFBgAAAAAEAAQA8wAAAJoFAAAAAA==&#10;">
            <v:path/>
            <v:fill focussize="0,0"/>
            <v:stroke on="f" joinstyle="miter"/>
            <v:imagedata o:title=""/>
            <o:lock v:ext="edit"/>
            <v:textbox style="mso-fit-shape-to-text:t;">
              <w:txbxContent>
                <w:p w14:paraId="71793900">
                  <w:pPr>
                    <w:rPr>
                      <w:sz w:val="20"/>
                      <w:szCs w:val="20"/>
                    </w:rPr>
                  </w:pPr>
                  <w:r>
                    <w:rPr>
                      <w:rFonts w:hint="eastAsia"/>
                      <w:sz w:val="20"/>
                      <w:szCs w:val="20"/>
                    </w:rPr>
                    <w:t>社会</w:t>
                  </w:r>
                  <w:r>
                    <w:rPr>
                      <w:sz w:val="20"/>
                      <w:szCs w:val="20"/>
                    </w:rPr>
                    <w:t>保障和就业支出</w:t>
                  </w:r>
                </w:p>
              </w:txbxContent>
            </v:textbox>
            <w10:wrap type="square"/>
          </v:shape>
        </w:pict>
      </w:r>
      <w:r>
        <w:pict>
          <v:shape id="_x0000_s1028" o:spid="_x0000_s1028" o:spt="202" type="#_x0000_t202" style="position:absolute;left:0pt;margin-left:-140.75pt;margin-top:74.45pt;height:21.9pt;width:99.9pt;mso-wrap-distance-bottom:3.6pt;mso-wrap-distance-left:9pt;mso-wrap-distance-right:9pt;mso-wrap-distance-top:3.6pt;z-index:251662336;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I9zNwIAAE8EAAAOAAAAZHJzL2Uyb0RvYy54bWysVEuOEzEQ3SNxB8t70p9JMpNWOqMhQxDS&#10;8JEGDuB2u9MW/mE76Q4HGG7Aig17zpVzUHYnIRpgg+iF5XKVn6veq+r5dS8F2jLruFYlzkYpRkxR&#10;XXO1LvGH96tnVxg5T1RNhFasxDvm8PXi6ZN5ZwqW61aLmlkEIMoVnSlx670pksTRlkniRtowBc5G&#10;W0k8mHad1JZ0gC5FkqfpNOm0rY3VlDkHp7eDEy8iftMw6t82jWMeiRJDbj6uNq5VWJPFnBRrS0zL&#10;6SEN8g9ZSMIVPHqCuiWeoI3lv0FJTq12uvEjqmWim4ZTFmuAarL0UTX3LTEs1gLkOHOiyf0/WPpm&#10;+84iXpc4zy4xUkSCSPuvX/bffuy/P6A8ENQZV0DcvYFI3z/XPQgdi3XmTtOPDim9bIlasxtrddcy&#10;UkOCWbiZnF0dcFwAqbrXuoZ3yMbrCNQ3Vgb2gA8E6CDU7iQO6z2icJhfTNPZBbgo+LJxOp7mUb6E&#10;FMfrxjr/kmmJwqbEFtSP8GR753xIhxTHkPCa04LXKy5ENOy6WgqLtgQ6ZRW/WMGjMKFQV+LZJJ8M&#10;DPwVIo3fnyAk99DygssSX52CSBF4e6Hq2JCecDHsIWWhDkQG7gYWfV/1g2hHfSpd74BZq4cOh4mE&#10;TavtZ4w66O4Su08bYhlG4pUCdWbZeBzGIRrjySVQiey5pzr3EEUBqsQeo2G79HGEIm/mBlRc8chv&#10;kHvI5JAydG2k/TBhYSzO7Rj16z+w+AkAAP//AwBQSwMEFAAGAAgAAAAhAEhbJ3LbAAAABwEAAA8A&#10;AABkcnMvZG93bnJldi54bWxMj0FPwzAMhe9I/IfISNxYsgJjKk2nqYLrpG1IXL0mtIXEKU3alX+P&#10;ObGbn5/13udiM3snJjvELpCG5UKBsFQH01Gj4e34ercGEROSQRfIavixETbl9VWBuQln2tvpkBrB&#10;IRRz1NCm1OdSxrq1HuMi9JbY+wiDx8RyaKQZ8Mzh3slMqZX02BE3tNjbqrX112H0GsZjtZ32Vfb5&#10;Pu3Mw271gh7dt9a3N/P2GUSyc/o/hj98RoeSmU5hJBOF08CPJA3ZmvnZvX9a8nDixaNSIMtCXvKX&#10;vwAAAP//AwBQSwECLQAUAAYACAAAACEAtoM4kv4AAADhAQAAEwAAAAAAAAAAAAAAAAAAAAAAW0Nv&#10;bnRlbnRfVHlwZXNdLnhtbFBLAQItABQABgAIAAAAIQA4/SH/1gAAAJQBAAALAAAAAAAAAAAAAAAA&#10;AC8BAABfcmVscy8ucmVsc1BLAQItABQABgAIAAAAIQBz1I9zNwIAAE8EAAAOAAAAAAAAAAAAAAAA&#10;AC4CAABkcnMvZTJvRG9jLnhtbFBLAQItABQABgAIAAAAIQBIWydy2wAAAAcBAAAPAAAAAAAAAAAA&#10;AAAAAJEEAABkcnMvZG93bnJldi54bWxQSwUGAAAAAAQABADzAAAAmQUAAAAA&#10;">
            <v:path/>
            <v:fill focussize="0,0"/>
            <v:stroke on="f" joinstyle="miter"/>
            <v:imagedata o:title=""/>
            <o:lock v:ext="edit"/>
            <v:textbox>
              <w:txbxContent>
                <w:p w14:paraId="6C549741">
                  <w:pPr>
                    <w:rPr>
                      <w:sz w:val="20"/>
                      <w:szCs w:val="20"/>
                    </w:rPr>
                  </w:pPr>
                  <w:r>
                    <w:rPr>
                      <w:rFonts w:hint="eastAsia"/>
                      <w:sz w:val="20"/>
                      <w:szCs w:val="20"/>
                    </w:rPr>
                    <w:t>住房</w:t>
                  </w:r>
                  <w:r>
                    <w:rPr>
                      <w:sz w:val="20"/>
                      <w:szCs w:val="20"/>
                    </w:rPr>
                    <w:t>保障支出</w:t>
                  </w:r>
                </w:p>
              </w:txbxContent>
            </v:textbox>
            <w10:wrap type="square"/>
          </v:shape>
        </w:pict>
      </w:r>
      <w:r>
        <w:pict>
          <v:shape id="_x0000_s1026" o:spid="_x0000_s1026" o:spt="202" type="#_x0000_t202" style="position:absolute;left:0pt;margin-left:-136.25pt;margin-top:17.35pt;height:20.75pt;width:59.65pt;mso-wrap-distance-bottom:3.6pt;mso-wrap-distance-left:9pt;mso-wrap-distance-right:9pt;mso-wrap-distance-top:3.6pt;z-index:251661312;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Ne8NgIAAEgEAAAOAAAAZHJzL2Uyb0RvYy54bWysVM2O0zAQviPxDpbvND/bdrdR09XSpQhp&#10;+ZEWHmDqOI2FYxvbbbI8wPIGnLhw57n6HIydbqkWuCBysDye8eeZ75vJ/LJvJdlx64RWJc1GKSVc&#10;MV0JtSnph/erZxeUOA+qAqkVL+kdd/Ry8fTJvDMFz3WjZcUtQRDlis6UtPHeFEniWMNbcCNtuEJn&#10;rW0LHk27SSoLHaK3MsnTdJp02lbGasadw9PrwUkXEb+uOfNv69pxT2RJMTcfVxvXdViTxRyKjQXT&#10;CHZIA/4hixaEwkePUNfggWyt+A2qFcxqp2s/YrpNdF0LxmMNWE2WPqrmtgHDYy1IjjNHmtz/g2Vv&#10;du8sEVVJ8+ycEgUtirT/+mX/7cf++z3JA0GdcQXG3RqM9P1z3aPQsVhnbjT76IjSywbUhl9Zq7uG&#10;Q4UJZuFmcnJ1wHEBZN291hW+A1uvI1Bf2zawh3wQREeh7o7i8N4Thof52TSdnaGLoS8bp+NpHuVL&#10;oHi4bqzzL7luSdiU1KL6ER52N86HdKB4CAmvOS1FtRJSRsNu1ktpyQ6wU1bxixU8CpOKdCWdTfLJ&#10;wMBfIdL4/QmiFR5bXoq2pBfHICgCby9UFRvSg5DDHlOW6kBk4G5g0ffr/iDMWld3SKnVQ2vjKOKm&#10;0fYzJR22dUndpy1YTol8pVCWWTYehzmIxnhyjhwSe+pZn3pAMYQqqadk2C59nJ1ImLlC+VYiEht0&#10;HjI55IrtGvk+jFaYh1M7Rv36ASx+AgAA//8DAFBLAwQUAAYACAAAACEASFsnctsAAAAHAQAADwAA&#10;AGRycy9kb3ducmV2LnhtbEyPQU/DMAyF70j8h8hI3FiyAmMqTaepguukbUhcvSa0hcQpTdqVf485&#10;sZufn/Xe52IzeycmO8QukIblQoGwVAfTUaPh7fh6twYRE5JBF8hq+LERNuX1VYG5CWfa2+mQGsEh&#10;FHPU0KbU51LGurUe4yL0ltj7CIPHxHJopBnwzOHeyUyplfTYETe02NuqtfXXYfQaxmO1nfZV9vk+&#10;7czDbvWCHt231rc38/YZRLJz+j+GP3xGh5KZTmEkE4XTwI8kDdma+dm9f1rycOLFo1Igy0Je8pe/&#10;AAAA//8DAFBLAQItABQABgAIAAAAIQC2gziS/gAAAOEBAAATAAAAAAAAAAAAAAAAAAAAAABbQ29u&#10;dGVudF9UeXBlc10ueG1sUEsBAi0AFAAGAAgAAAAhADj9If/WAAAAlAEAAAsAAAAAAAAAAAAAAAAA&#10;LwEAAF9yZWxzLy5yZWxzUEsBAi0AFAAGAAgAAAAhAAgM17w2AgAASAQAAA4AAAAAAAAAAAAAAAAA&#10;LgIAAGRycy9lMm9Eb2MueG1sUEsBAi0AFAAGAAgAAAAhAEhbJ3LbAAAABwEAAA8AAAAAAAAAAAAA&#10;AAAAkAQAAGRycy9kb3ducmV2LnhtbFBLBQYAAAAABAAEAPMAAACYBQAAAAA=&#10;">
            <v:path/>
            <v:fill focussize="0,0"/>
            <v:stroke on="f" joinstyle="miter"/>
            <v:imagedata o:title=""/>
            <o:lock v:ext="edit"/>
            <v:textbox>
              <w:txbxContent>
                <w:p w14:paraId="2D708450">
                  <w:pPr>
                    <w:rPr>
                      <w:sz w:val="20"/>
                      <w:szCs w:val="20"/>
                    </w:rPr>
                  </w:pPr>
                  <w:r>
                    <w:rPr>
                      <w:rFonts w:hint="eastAsia"/>
                      <w:sz w:val="20"/>
                      <w:szCs w:val="20"/>
                    </w:rPr>
                    <w:t>教育</w:t>
                  </w:r>
                  <w:r>
                    <w:rPr>
                      <w:sz w:val="20"/>
                      <w:szCs w:val="20"/>
                    </w:rPr>
                    <w:t>支出</w:t>
                  </w:r>
                </w:p>
              </w:txbxContent>
            </v:textbox>
            <w10:wrap type="square"/>
          </v:shape>
        </w:pict>
      </w:r>
    </w:p>
    <w:p w14:paraId="0AE065A1">
      <w:pPr>
        <w:spacing w:after="0" w:line="540" w:lineRule="exact"/>
        <w:ind w:firstLine="440" w:firstLineChars="200"/>
        <w:jc w:val="both"/>
        <w:rPr>
          <w:rFonts w:ascii="仿宋_GB2312" w:eastAsia="仿宋_GB2312" w:cs="DengXian-Regular"/>
          <w:sz w:val="32"/>
          <w:szCs w:val="32"/>
        </w:rPr>
      </w:pPr>
      <w:r>
        <w:pict>
          <v:shape id="_x0000_s1030" o:spid="_x0000_s1030" o:spt="202" type="#_x0000_t202" style="position:absolute;left:0pt;margin-left:-137.1pt;margin-top:76.75pt;height:26.85pt;width:88.15pt;mso-wrap-distance-bottom:3.6pt;mso-wrap-distance-left:9pt;mso-wrap-distance-right:9pt;mso-wrap-distance-top:3.6pt;z-index:251663360;mso-width-relative:margin;mso-height-relative:margin;"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srOAIAAE8EAAAOAAAAZHJzL2Uyb0RvYy54bWysVEuOEzEQ3SNxB8t70p9JMpNWOqMhQxDS&#10;8JEGDuB2u9MW/mE76Q4HGG7Aig17zpVzUHYnIRpgg+iF5XKVn6veq+r5dS8F2jLruFYlzkYpRkxR&#10;XXO1LvGH96tnVxg5T1RNhFasxDvm8PXi6ZN5ZwqW61aLmlkEIMoVnSlx670pksTRlkniRtowBc5G&#10;W0k8mHad1JZ0gC5FkqfpNOm0rY3VlDkHp7eDEy8iftMw6t82jWMeiRJDbj6uNq5VWJPFnBRrS0zL&#10;6SEN8g9ZSMIVPHqCuiWeoI3lv0FJTq12uvEjqmWim4ZTFmuAarL0UTX3LTEs1gLkOHOiyf0/WPpm&#10;+84iXpc4zy4xUkSCSPuvX/bffuy/P6A8ENQZV0DcvYFI3z/XPQgdi3XmTtOPDim9bIlasxtrddcy&#10;UkOCWbiZnF0dcFwAqbrXuoZ3yMbrCNQ3Vgb2gA8E6CDU7iQO6z2icJhfTNPZBbgo+LJxOp7mUb6E&#10;FMfrxjr/kmmJwqbEFtSP8GR753xIhxTHkPCa04LXKy5ENOy6WgqLtgQ6ZRW/WMGjMKFQV+LZJJ8M&#10;DPwVIo3fnyAk99DygssSX52CSBF4e6Hq2JCecDHsIWWhDkQG7gYWfV/1UbTxUZ9K1ztg1uqhw2Ei&#10;YdNq+xmjDrq7xO7ThliGkXilQJ1ZNh6HcYjGeHIJVCJ77qnOPURRgCqxx2jYLn0cocibuQEVVzzy&#10;G+QeMjmkDF0baT9MWBiLcztG/foPLH4CAAD//wMAUEsDBBQABgAIAAAAIQBIWydy2wAAAAcBAAAP&#10;AAAAZHJzL2Rvd25yZXYueG1sTI9BT8MwDIXvSPyHyEjcWLICYypNp6mC66RtSFy9JrSFxClN2pV/&#10;jzmxm5+f9d7nYjN7JyY7xC6QhuVCgbBUB9NRo+Ht+Hq3BhETkkEXyGr4sRE25fVVgbkJZ9rb6ZAa&#10;wSEUc9TQptTnUsa6tR7jIvSW2PsIg8fEcmikGfDM4d7JTKmV9NgRN7TY26q19ddh9BrGY7Wd9lX2&#10;+T7tzMNu9YIe3bfWtzfz9hlEsnP6P4Y/fEaHkplOYSQThdPAjyQN2Zr52b1/WvJw4sWjUiDLQl7y&#10;l78AAAD//wMAUEsBAi0AFAAGAAgAAAAhALaDOJL+AAAA4QEAABMAAAAAAAAAAAAAAAAAAAAAAFtD&#10;b250ZW50X1R5cGVzXS54bWxQSwECLQAUAAYACAAAACEAOP0h/9YAAACUAQAACwAAAAAAAAAAAAAA&#10;AAAvAQAAX3JlbHMvLnJlbHNQSwECLQAUAAYACAAAACEAXG57KzgCAABPBAAADgAAAAAAAAAAAAAA&#10;AAAuAgAAZHJzL2Uyb0RvYy54bWxQSwECLQAUAAYACAAAACEASFsnctsAAAAHAQAADwAAAAAAAAAA&#10;AAAAAACSBAAAZHJzL2Rvd25yZXYueG1sUEsFBgAAAAAEAAQA8wAAAJoFAAAAAA==&#10;">
            <v:path/>
            <v:fill focussize="0,0"/>
            <v:stroke on="f" joinstyle="miter"/>
            <v:imagedata o:title=""/>
            <o:lock v:ext="edit"/>
            <v:textbox>
              <w:txbxContent>
                <w:p w14:paraId="6AA03B7E">
                  <w:pPr>
                    <w:rPr>
                      <w:sz w:val="20"/>
                      <w:szCs w:val="20"/>
                    </w:rPr>
                  </w:pPr>
                  <w:r>
                    <w:rPr>
                      <w:rFonts w:hint="eastAsia"/>
                      <w:sz w:val="20"/>
                      <w:szCs w:val="20"/>
                    </w:rPr>
                    <w:t>卫</w:t>
                  </w:r>
                  <w:r>
                    <w:rPr>
                      <w:sz w:val="20"/>
                      <w:szCs w:val="20"/>
                    </w:rPr>
                    <w:t>生健康支出</w:t>
                  </w:r>
                </w:p>
              </w:txbxContent>
            </v:textbox>
            <w10:wrap type="square"/>
          </v:shape>
        </w:pict>
      </w:r>
    </w:p>
    <w:p w14:paraId="724F24E7">
      <w:pPr>
        <w:spacing w:after="0" w:line="540" w:lineRule="exact"/>
        <w:ind w:firstLine="640" w:firstLineChars="200"/>
        <w:jc w:val="both"/>
        <w:rPr>
          <w:rFonts w:ascii="仿宋_GB2312" w:eastAsia="仿宋_GB2312" w:cs="DengXian-Regular"/>
          <w:sz w:val="32"/>
          <w:szCs w:val="32"/>
        </w:rPr>
      </w:pPr>
    </w:p>
    <w:p w14:paraId="62E6D309">
      <w:pPr>
        <w:spacing w:after="0" w:line="540" w:lineRule="exact"/>
        <w:ind w:firstLine="640" w:firstLineChars="200"/>
        <w:jc w:val="both"/>
        <w:rPr>
          <w:rFonts w:ascii="仿宋_GB2312" w:eastAsia="仿宋_GB2312" w:cs="DengXian-Regular"/>
          <w:sz w:val="32"/>
          <w:szCs w:val="32"/>
        </w:rPr>
      </w:pPr>
    </w:p>
    <w:p w14:paraId="77ACEE29">
      <w:pPr>
        <w:spacing w:after="0" w:line="540" w:lineRule="exact"/>
        <w:ind w:firstLine="640" w:firstLineChars="200"/>
        <w:jc w:val="both"/>
        <w:rPr>
          <w:rFonts w:ascii="仿宋_GB2312" w:eastAsia="仿宋_GB2312" w:cs="DengXian-Regular"/>
          <w:sz w:val="32"/>
          <w:szCs w:val="32"/>
        </w:rPr>
      </w:pPr>
    </w:p>
    <w:p w14:paraId="37FC54C6">
      <w:pPr>
        <w:spacing w:after="0" w:line="540" w:lineRule="exact"/>
        <w:ind w:firstLine="640" w:firstLineChars="200"/>
        <w:jc w:val="both"/>
        <w:rPr>
          <w:rFonts w:ascii="仿宋_GB2312" w:eastAsia="仿宋_GB2312" w:cs="DengXian-Regular"/>
          <w:sz w:val="32"/>
          <w:szCs w:val="32"/>
        </w:rPr>
      </w:pPr>
    </w:p>
    <w:p w14:paraId="40F18F69">
      <w:pPr>
        <w:spacing w:after="0" w:line="360" w:lineRule="auto"/>
        <w:ind w:firstLine="440" w:firstLineChars="200"/>
        <w:jc w:val="both"/>
        <w:rPr>
          <w:rFonts w:ascii="仿宋_GB2312" w:eastAsia="仿宋_GB2312" w:cs="DengXian-Regular"/>
          <w:sz w:val="32"/>
          <w:szCs w:val="32"/>
        </w:rPr>
      </w:pPr>
      <w:r>
        <w:drawing>
          <wp:anchor distT="0" distB="0" distL="114300" distR="114300" simplePos="0" relativeHeight="251660288" behindDoc="0" locked="0" layoutInCell="1" allowOverlap="1">
            <wp:simplePos x="0" y="0"/>
            <wp:positionH relativeFrom="margin">
              <wp:posOffset>259080</wp:posOffset>
            </wp:positionH>
            <wp:positionV relativeFrom="paragraph">
              <wp:posOffset>1990725</wp:posOffset>
            </wp:positionV>
            <wp:extent cx="5143500" cy="3248025"/>
            <wp:effectExtent l="0" t="0" r="0" b="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eastAsia="仿宋_GB2312" w:cs="DengXian-Regular"/>
          <w:sz w:val="32"/>
          <w:szCs w:val="32"/>
        </w:rPr>
        <w:t>徐水</w:t>
      </w:r>
      <w:r>
        <w:rPr>
          <w:rFonts w:ascii="仿宋_GB2312" w:eastAsia="仿宋_GB2312" w:cs="DengXian-Regular"/>
          <w:sz w:val="32"/>
          <w:szCs w:val="32"/>
        </w:rPr>
        <w:t>区教体局</w:t>
      </w:r>
      <w:r>
        <w:rPr>
          <w:rFonts w:hint="eastAsia" w:ascii="仿宋_GB2312" w:eastAsia="仿宋_GB2312" w:cs="DengXian-Regular"/>
          <w:sz w:val="32"/>
          <w:szCs w:val="32"/>
        </w:rPr>
        <w:t>一般公共预算财政拨款决算收入比年初预算减少7</w:t>
      </w:r>
      <w:r>
        <w:rPr>
          <w:rFonts w:ascii="仿宋_GB2312" w:eastAsia="仿宋_GB2312" w:cs="DengXian-Regular"/>
          <w:sz w:val="32"/>
          <w:szCs w:val="32"/>
        </w:rPr>
        <w:t>458.11</w:t>
      </w:r>
      <w:r>
        <w:rPr>
          <w:rFonts w:hint="eastAsia" w:ascii="仿宋_GB2312" w:eastAsia="仿宋_GB2312" w:cs="DengXian-Regular"/>
          <w:sz w:val="32"/>
          <w:szCs w:val="32"/>
        </w:rPr>
        <w:t>万元，完成年初预算的</w:t>
      </w:r>
      <w:r>
        <w:rPr>
          <w:rFonts w:ascii="仿宋_GB2312" w:eastAsia="仿宋_GB2312" w:cs="DengXian-Regular"/>
          <w:sz w:val="32"/>
          <w:szCs w:val="32"/>
        </w:rPr>
        <w:t>94.22</w:t>
      </w:r>
      <w:r>
        <w:rPr>
          <w:rFonts w:hint="eastAsia" w:ascii="仿宋_GB2312" w:eastAsia="仿宋_GB2312" w:cs="DengXian-Regular"/>
          <w:sz w:val="32"/>
          <w:szCs w:val="32"/>
        </w:rPr>
        <w:t>%。决算收入小于预算收入的主要原因为</w:t>
      </w:r>
      <w:r>
        <w:rPr>
          <w:rFonts w:ascii="仿宋_GB2312" w:hAnsi="Times New Roman" w:eastAsia="仿宋_GB2312" w:cs="DengXian-Regular"/>
          <w:sz w:val="32"/>
          <w:szCs w:val="32"/>
        </w:rPr>
        <w:t>2021</w:t>
      </w:r>
      <w:r>
        <w:rPr>
          <w:rFonts w:hint="eastAsia" w:ascii="仿宋_GB2312" w:hAnsi="Times New Roman" w:eastAsia="仿宋_GB2312" w:cs="DengXian-Regular"/>
          <w:sz w:val="32"/>
          <w:szCs w:val="32"/>
        </w:rPr>
        <w:t>年</w:t>
      </w:r>
      <w:r>
        <w:rPr>
          <w:rFonts w:ascii="仿宋_GB2312" w:hAnsi="Times New Roman" w:eastAsia="仿宋_GB2312" w:cs="DengXian-Regular"/>
          <w:sz w:val="32"/>
          <w:szCs w:val="32"/>
        </w:rPr>
        <w:t>度采用以支定收的方式进行核算，结转下年项目</w:t>
      </w:r>
      <w:r>
        <w:rPr>
          <w:rFonts w:hint="eastAsia" w:ascii="仿宋_GB2312" w:hAnsi="Times New Roman" w:eastAsia="仿宋_GB2312" w:cs="DengXian-Regular"/>
          <w:sz w:val="32"/>
          <w:szCs w:val="32"/>
        </w:rPr>
        <w:t>减少且</w:t>
      </w:r>
      <w:r>
        <w:rPr>
          <w:rFonts w:ascii="仿宋_GB2312" w:hAnsi="Times New Roman" w:eastAsia="仿宋_GB2312" w:cs="DengXian-Regular"/>
          <w:sz w:val="32"/>
          <w:szCs w:val="32"/>
        </w:rPr>
        <w:t>未计入当年收入</w:t>
      </w:r>
      <w:r>
        <w:rPr>
          <w:rFonts w:hint="eastAsia" w:ascii="仿宋_GB2312" w:hAnsi="Times New Roman" w:eastAsia="仿宋_GB2312" w:cs="DengXian-Regular"/>
          <w:sz w:val="32"/>
          <w:szCs w:val="32"/>
        </w:rPr>
        <w:t>；</w:t>
      </w:r>
      <w:r>
        <w:rPr>
          <w:rFonts w:hint="eastAsia" w:ascii="仿宋_GB2312" w:eastAsia="仿宋_GB2312" w:cs="DengXian-Regular"/>
          <w:sz w:val="32"/>
          <w:szCs w:val="32"/>
        </w:rPr>
        <w:t>预算收入与决算收入对比情况见图2。</w:t>
      </w:r>
    </w:p>
    <w:p w14:paraId="5BB47FC2">
      <w:pPr>
        <w:spacing w:after="0" w:line="360" w:lineRule="auto"/>
        <w:jc w:val="center"/>
        <w:rPr>
          <w:rFonts w:ascii="仿宋_GB2312" w:eastAsia="仿宋_GB2312" w:cs="Times New Roman" w:hAnsiTheme="minorEastAsia"/>
          <w:bCs/>
          <w:sz w:val="32"/>
          <w:szCs w:val="32"/>
          <w:u w:color="000000"/>
        </w:rPr>
      </w:pPr>
      <w:r>
        <w:rPr>
          <w:rFonts w:hint="eastAsia" w:asciiTheme="minorEastAsia" w:hAnsiTheme="minorEastAsia" w:eastAsiaTheme="minorEastAsia" w:cstheme="minorEastAsia"/>
          <w:b/>
          <w:sz w:val="32"/>
          <w:szCs w:val="32"/>
          <w:u w:color="000000"/>
        </w:rPr>
        <w:t>图2  202</w:t>
      </w:r>
      <w:r>
        <w:rPr>
          <w:rFonts w:asciiTheme="minorEastAsia" w:hAnsiTheme="minorEastAsia" w:eastAsiaTheme="minorEastAsia" w:cstheme="minorEastAsia"/>
          <w:b/>
          <w:sz w:val="32"/>
          <w:szCs w:val="32"/>
          <w:u w:color="000000"/>
        </w:rPr>
        <w:t>1</w:t>
      </w:r>
      <w:r>
        <w:rPr>
          <w:rFonts w:hint="eastAsia" w:asciiTheme="minorEastAsia" w:hAnsiTheme="minorEastAsia" w:eastAsiaTheme="minorEastAsia" w:cstheme="minorEastAsia"/>
          <w:b/>
          <w:sz w:val="32"/>
          <w:szCs w:val="32"/>
          <w:u w:color="000000"/>
        </w:rPr>
        <w:t>年度区教</w:t>
      </w:r>
      <w:r>
        <w:rPr>
          <w:rFonts w:asciiTheme="minorEastAsia" w:hAnsiTheme="minorEastAsia" w:eastAsiaTheme="minorEastAsia" w:cstheme="minorEastAsia"/>
          <w:b/>
          <w:sz w:val="32"/>
          <w:szCs w:val="32"/>
          <w:u w:color="000000"/>
        </w:rPr>
        <w:t>体局</w:t>
      </w:r>
      <w:r>
        <w:rPr>
          <w:rFonts w:hint="eastAsia" w:asciiTheme="minorEastAsia" w:hAnsiTheme="minorEastAsia" w:eastAsiaTheme="minorEastAsia" w:cstheme="minorEastAsia"/>
          <w:b/>
          <w:sz w:val="32"/>
          <w:szCs w:val="32"/>
          <w:u w:color="000000"/>
        </w:rPr>
        <w:t>预算收入与决算收入对比图</w:t>
      </w:r>
    </w:p>
    <w:p w14:paraId="4A0B6F35">
      <w:pPr>
        <w:pStyle w:val="4"/>
        <w:spacing w:before="0" w:after="0"/>
        <w:ind w:firstLine="643" w:firstLineChars="2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14:paraId="4F59CA2E">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年度区教</w:t>
      </w:r>
      <w:r>
        <w:rPr>
          <w:rFonts w:ascii="仿宋_GB2312" w:eastAsia="仿宋_GB2312" w:cs="DengXian-Regular"/>
          <w:sz w:val="32"/>
          <w:szCs w:val="32"/>
        </w:rPr>
        <w:t>体局</w:t>
      </w:r>
      <w:r>
        <w:rPr>
          <w:rFonts w:hint="eastAsia" w:ascii="仿宋_GB2312" w:eastAsia="仿宋_GB2312" w:cs="Times New Roman" w:hAnsiTheme="minorEastAsia"/>
          <w:sz w:val="32"/>
          <w:szCs w:val="32"/>
          <w:u w:color="000000"/>
        </w:rPr>
        <w:t>预算支出安排</w:t>
      </w:r>
      <w:r>
        <w:rPr>
          <w:rFonts w:ascii="仿宋_GB2312" w:eastAsia="仿宋_GB2312" w:cs="Times New Roman" w:hAnsiTheme="minorEastAsia"/>
          <w:sz w:val="32"/>
          <w:szCs w:val="32"/>
          <w:u w:color="000000"/>
        </w:rPr>
        <w:t>131314.52</w:t>
      </w:r>
      <w:r>
        <w:rPr>
          <w:rFonts w:hint="eastAsia" w:ascii="仿宋_GB2312" w:eastAsia="仿宋_GB2312" w:cs="Times New Roman" w:hAnsiTheme="minorEastAsia"/>
          <w:sz w:val="32"/>
          <w:szCs w:val="32"/>
          <w:u w:color="000000"/>
        </w:rPr>
        <w:t>万元，其中：基本支出</w:t>
      </w:r>
      <w:r>
        <w:rPr>
          <w:rFonts w:ascii="仿宋_GB2312" w:eastAsia="仿宋_GB2312" w:cs="Times New Roman" w:hAnsiTheme="minorEastAsia"/>
          <w:sz w:val="32"/>
          <w:szCs w:val="32"/>
          <w:u w:color="000000"/>
        </w:rPr>
        <w:t>92791.14</w:t>
      </w:r>
      <w:r>
        <w:rPr>
          <w:rFonts w:hint="eastAsia" w:ascii="仿宋_GB2312" w:eastAsia="仿宋_GB2312" w:cs="Times New Roman" w:hAnsiTheme="minorEastAsia"/>
          <w:sz w:val="32"/>
          <w:szCs w:val="32"/>
          <w:u w:color="000000"/>
        </w:rPr>
        <w:t>万元，项目支出</w:t>
      </w:r>
      <w:r>
        <w:rPr>
          <w:rFonts w:ascii="仿宋_GB2312" w:eastAsia="仿宋_GB2312" w:cs="Times New Roman" w:hAnsiTheme="minorEastAsia"/>
          <w:sz w:val="32"/>
          <w:szCs w:val="32"/>
          <w:u w:color="000000"/>
        </w:rPr>
        <w:t>38523.38</w:t>
      </w:r>
      <w:r>
        <w:rPr>
          <w:rFonts w:hint="eastAsia" w:ascii="仿宋_GB2312" w:eastAsia="仿宋_GB2312" w:cs="Times New Roman" w:hAnsiTheme="minorEastAsia"/>
          <w:sz w:val="32"/>
          <w:szCs w:val="32"/>
          <w:u w:color="000000"/>
        </w:rPr>
        <w:t>万元。预算支出按功能分类包含：教育支出</w:t>
      </w:r>
      <w:r>
        <w:rPr>
          <w:rFonts w:ascii="仿宋_GB2312" w:eastAsia="仿宋_GB2312" w:cs="Times New Roman" w:hAnsiTheme="minorEastAsia"/>
          <w:sz w:val="32"/>
          <w:szCs w:val="32"/>
          <w:u w:color="000000"/>
        </w:rPr>
        <w:t>110249.16</w:t>
      </w:r>
      <w:r>
        <w:rPr>
          <w:rFonts w:hint="eastAsia" w:ascii="仿宋_GB2312" w:eastAsia="仿宋_GB2312" w:cs="Times New Roman" w:hAnsiTheme="minorEastAsia"/>
          <w:sz w:val="32"/>
          <w:szCs w:val="32"/>
          <w:u w:color="000000"/>
        </w:rPr>
        <w:t>万元，社会保障和就业支出</w:t>
      </w:r>
      <w:r>
        <w:rPr>
          <w:rFonts w:ascii="仿宋_GB2312" w:eastAsia="仿宋_GB2312" w:cs="Times New Roman" w:hAnsiTheme="minorEastAsia"/>
          <w:sz w:val="32"/>
          <w:szCs w:val="32"/>
          <w:u w:color="000000"/>
        </w:rPr>
        <w:t>9528.90</w:t>
      </w:r>
      <w:r>
        <w:rPr>
          <w:rFonts w:hint="eastAsia" w:ascii="仿宋_GB2312" w:eastAsia="仿宋_GB2312" w:cs="Times New Roman" w:hAnsiTheme="minorEastAsia"/>
          <w:sz w:val="32"/>
          <w:szCs w:val="32"/>
          <w:u w:color="000000"/>
        </w:rPr>
        <w:t>万元，医疗卫生与计划教育支出</w:t>
      </w:r>
      <w:r>
        <w:rPr>
          <w:rFonts w:ascii="仿宋_GB2312" w:eastAsia="仿宋_GB2312" w:cs="Times New Roman" w:hAnsiTheme="minorEastAsia"/>
          <w:sz w:val="32"/>
          <w:szCs w:val="32"/>
          <w:u w:color="000000"/>
        </w:rPr>
        <w:t>3707.46</w:t>
      </w:r>
      <w:r>
        <w:rPr>
          <w:rFonts w:hint="eastAsia" w:ascii="仿宋_GB2312" w:eastAsia="仿宋_GB2312" w:cs="Times New Roman" w:hAnsiTheme="minorEastAsia"/>
          <w:sz w:val="32"/>
          <w:szCs w:val="32"/>
          <w:u w:color="000000"/>
        </w:rPr>
        <w:t>万元，住房保障支出</w:t>
      </w:r>
      <w:r>
        <w:rPr>
          <w:rFonts w:ascii="仿宋_GB2312" w:eastAsia="仿宋_GB2312" w:cs="Times New Roman" w:hAnsiTheme="minorEastAsia"/>
          <w:sz w:val="32"/>
          <w:szCs w:val="32"/>
          <w:u w:color="000000"/>
        </w:rPr>
        <w:t>5392.14</w:t>
      </w:r>
      <w:r>
        <w:rPr>
          <w:rFonts w:hint="eastAsia" w:ascii="仿宋_GB2312" w:eastAsia="仿宋_GB2312" w:cs="Times New Roman" w:hAnsiTheme="minorEastAsia"/>
          <w:sz w:val="32"/>
          <w:szCs w:val="32"/>
          <w:u w:color="000000"/>
        </w:rPr>
        <w:t>万元。具体预算支出详见附件2。</w:t>
      </w:r>
    </w:p>
    <w:p w14:paraId="283A9081">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年度区教体</w:t>
      </w:r>
      <w:r>
        <w:rPr>
          <w:rFonts w:ascii="仿宋_GB2312" w:eastAsia="仿宋_GB2312" w:cs="DengXian-Regular"/>
          <w:sz w:val="32"/>
          <w:szCs w:val="32"/>
        </w:rPr>
        <w:t>局</w:t>
      </w:r>
      <w:r>
        <w:rPr>
          <w:rFonts w:hint="eastAsia" w:ascii="仿宋_GB2312" w:eastAsia="仿宋_GB2312" w:cs="Times New Roman" w:hAnsiTheme="minorEastAsia"/>
          <w:sz w:val="32"/>
          <w:szCs w:val="32"/>
          <w:u w:color="000000"/>
        </w:rPr>
        <w:t>决算支出为133,782.27万元，其中：基本支出90,864.76万元，项目支出42,879.95万元。决算支出按功能分类包含：公共安全支出</w:t>
      </w:r>
      <w:r>
        <w:rPr>
          <w:rFonts w:ascii="仿宋_GB2312" w:eastAsia="仿宋_GB2312" w:cs="Times New Roman" w:hAnsiTheme="minorEastAsia"/>
          <w:sz w:val="32"/>
          <w:szCs w:val="32"/>
          <w:u w:color="000000"/>
        </w:rPr>
        <w:t>3</w:t>
      </w:r>
      <w:r>
        <w:rPr>
          <w:rFonts w:hint="eastAsia" w:ascii="仿宋_GB2312" w:eastAsia="仿宋_GB2312" w:cs="Times New Roman" w:hAnsiTheme="minorEastAsia"/>
          <w:sz w:val="32"/>
          <w:szCs w:val="32"/>
          <w:u w:color="000000"/>
        </w:rPr>
        <w:t>万元，占比</w:t>
      </w:r>
      <w:r>
        <w:rPr>
          <w:rFonts w:ascii="仿宋_GB2312" w:eastAsia="仿宋_GB2312" w:cs="Times New Roman" w:hAnsiTheme="minorEastAsia"/>
          <w:sz w:val="32"/>
          <w:szCs w:val="32"/>
          <w:u w:color="000000"/>
        </w:rPr>
        <w:t>0.01</w:t>
      </w:r>
      <w:r>
        <w:rPr>
          <w:rFonts w:hint="eastAsia" w:ascii="仿宋_GB2312" w:eastAsia="仿宋_GB2312" w:cs="Times New Roman" w:hAnsiTheme="minorEastAsia"/>
          <w:sz w:val="32"/>
          <w:szCs w:val="32"/>
          <w:u w:color="000000"/>
        </w:rPr>
        <w:t>%；教育</w:t>
      </w:r>
      <w:r>
        <w:rPr>
          <w:rFonts w:ascii="仿宋_GB2312" w:eastAsia="仿宋_GB2312" w:cs="Times New Roman" w:hAnsiTheme="minorEastAsia"/>
          <w:sz w:val="32"/>
          <w:szCs w:val="32"/>
          <w:u w:color="000000"/>
        </w:rPr>
        <w:t>支出</w:t>
      </w:r>
      <w:r>
        <w:rPr>
          <w:rFonts w:hint="eastAsia" w:ascii="仿宋_GB2312" w:eastAsia="仿宋_GB2312" w:cs="Times New Roman" w:hAnsiTheme="minorEastAsia"/>
          <w:sz w:val="32"/>
          <w:szCs w:val="32"/>
          <w:u w:color="000000"/>
        </w:rPr>
        <w:t>114,091.20万</w:t>
      </w:r>
      <w:r>
        <w:rPr>
          <w:rFonts w:ascii="仿宋_GB2312" w:eastAsia="仿宋_GB2312" w:cs="Times New Roman" w:hAnsiTheme="minorEastAsia"/>
          <w:sz w:val="32"/>
          <w:szCs w:val="32"/>
          <w:u w:color="000000"/>
        </w:rPr>
        <w:t>元，</w:t>
      </w:r>
      <w:r>
        <w:rPr>
          <w:rFonts w:hint="eastAsia" w:ascii="仿宋_GB2312" w:eastAsia="仿宋_GB2312" w:cs="Times New Roman" w:hAnsiTheme="minorEastAsia"/>
          <w:sz w:val="32"/>
          <w:szCs w:val="32"/>
          <w:u w:color="000000"/>
        </w:rPr>
        <w:t>占</w:t>
      </w:r>
      <w:r>
        <w:rPr>
          <w:rFonts w:ascii="仿宋_GB2312" w:eastAsia="仿宋_GB2312" w:cs="Times New Roman" w:hAnsiTheme="minorEastAsia"/>
          <w:sz w:val="32"/>
          <w:szCs w:val="32"/>
          <w:u w:color="000000"/>
        </w:rPr>
        <w:t>比</w:t>
      </w:r>
      <w:r>
        <w:rPr>
          <w:rFonts w:hint="eastAsia" w:ascii="仿宋_GB2312" w:eastAsia="仿宋_GB2312" w:cs="Times New Roman" w:hAnsiTheme="minorEastAsia"/>
          <w:sz w:val="32"/>
          <w:szCs w:val="32"/>
          <w:u w:color="000000"/>
        </w:rPr>
        <w:t>85.28%</w:t>
      </w:r>
      <w:r>
        <w:rPr>
          <w:rFonts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rPr>
        <w:t>社会保障和就业支出8,115.90万元，占比</w:t>
      </w:r>
      <w:r>
        <w:rPr>
          <w:rFonts w:ascii="仿宋_GB2312" w:eastAsia="仿宋_GB2312" w:cs="Times New Roman" w:hAnsiTheme="minorEastAsia"/>
          <w:sz w:val="32"/>
          <w:szCs w:val="32"/>
          <w:u w:color="000000"/>
        </w:rPr>
        <w:t>6.07</w:t>
      </w:r>
      <w:r>
        <w:rPr>
          <w:rFonts w:hint="eastAsia" w:ascii="仿宋_GB2312" w:eastAsia="仿宋_GB2312" w:cs="Times New Roman" w:hAnsiTheme="minorEastAsia"/>
          <w:sz w:val="32"/>
          <w:szCs w:val="32"/>
          <w:u w:color="000000"/>
        </w:rPr>
        <w:t>%；医疗卫生与计划教育支出2,775.65万元，占比</w:t>
      </w:r>
      <w:r>
        <w:rPr>
          <w:rFonts w:ascii="仿宋_GB2312" w:eastAsia="仿宋_GB2312" w:cs="Times New Roman" w:hAnsiTheme="minorEastAsia"/>
          <w:sz w:val="32"/>
          <w:szCs w:val="32"/>
          <w:u w:color="000000"/>
        </w:rPr>
        <w:t>2.07</w:t>
      </w:r>
      <w:r>
        <w:rPr>
          <w:rFonts w:hint="eastAsia" w:ascii="仿宋_GB2312" w:eastAsia="仿宋_GB2312" w:cs="Times New Roman" w:hAnsiTheme="minorEastAsia"/>
          <w:sz w:val="32"/>
          <w:szCs w:val="32"/>
          <w:u w:color="000000"/>
        </w:rPr>
        <w:t>%；住房保障支出3,885.87万元，占比</w:t>
      </w:r>
      <w:r>
        <w:rPr>
          <w:rFonts w:ascii="仿宋_GB2312" w:eastAsia="仿宋_GB2312" w:cs="Times New Roman" w:hAnsiTheme="minorEastAsia"/>
          <w:sz w:val="32"/>
          <w:szCs w:val="32"/>
          <w:u w:color="000000"/>
        </w:rPr>
        <w:t>2.90</w:t>
      </w:r>
      <w:r>
        <w:rPr>
          <w:rFonts w:hint="eastAsia" w:ascii="仿宋_GB2312" w:eastAsia="仿宋_GB2312" w:cs="Times New Roman" w:hAnsiTheme="minorEastAsia"/>
          <w:sz w:val="32"/>
          <w:szCs w:val="32"/>
          <w:u w:color="000000"/>
        </w:rPr>
        <w:t>%。具体决算支出详见附件2。</w:t>
      </w:r>
    </w:p>
    <w:p w14:paraId="7C127827">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14:paraId="5B09ABFC">
      <w:pPr>
        <w:spacing w:after="0" w:line="360" w:lineRule="auto"/>
        <w:jc w:val="center"/>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b/>
          <w:bCs/>
          <w:sz w:val="32"/>
          <w:szCs w:val="32"/>
          <w:u w:color="000000"/>
        </w:rPr>
        <w:t>图3  202</w:t>
      </w:r>
      <w:r>
        <w:rPr>
          <w:rFonts w:asciiTheme="minorEastAsia" w:hAnsiTheme="minorEastAsia" w:eastAsiaTheme="minorEastAsia" w:cstheme="minorEastAsia"/>
          <w:b/>
          <w:bCs/>
          <w:sz w:val="32"/>
          <w:szCs w:val="32"/>
          <w:u w:color="000000"/>
        </w:rPr>
        <w:t>1</w:t>
      </w:r>
      <w:r>
        <w:rPr>
          <w:rFonts w:hint="eastAsia" w:asciiTheme="minorEastAsia" w:hAnsiTheme="minorEastAsia" w:eastAsiaTheme="minorEastAsia" w:cstheme="minorEastAsia"/>
          <w:b/>
          <w:bCs/>
          <w:sz w:val="32"/>
          <w:szCs w:val="32"/>
          <w:u w:color="000000"/>
        </w:rPr>
        <w:t>年度区教体</w:t>
      </w:r>
      <w:r>
        <w:rPr>
          <w:rFonts w:asciiTheme="minorEastAsia" w:hAnsiTheme="minorEastAsia" w:eastAsiaTheme="minorEastAsia" w:cstheme="minorEastAsia"/>
          <w:b/>
          <w:bCs/>
          <w:sz w:val="32"/>
          <w:szCs w:val="32"/>
          <w:u w:color="000000"/>
        </w:rPr>
        <w:t>局</w:t>
      </w:r>
      <w:r>
        <w:rPr>
          <w:rFonts w:hint="eastAsia" w:asciiTheme="minorEastAsia" w:hAnsiTheme="minorEastAsia" w:eastAsiaTheme="minorEastAsia" w:cstheme="minorEastAsia"/>
          <w:b/>
          <w:bCs/>
          <w:sz w:val="32"/>
          <w:szCs w:val="32"/>
          <w:u w:color="000000"/>
        </w:rPr>
        <w:t>决算支出结构图</w:t>
      </w:r>
    </w:p>
    <w:p w14:paraId="6297ECC5">
      <w:pPr>
        <w:spacing w:after="0" w:line="360" w:lineRule="auto"/>
        <w:ind w:firstLine="640" w:firstLineChars="200"/>
        <w:jc w:val="both"/>
        <w:rPr>
          <w:rFonts w:ascii="仿宋" w:hAnsi="仿宋" w:eastAsia="仿宋"/>
          <w:snapToGrid w:val="0"/>
          <w:sz w:val="32"/>
          <w:szCs w:val="32"/>
        </w:rPr>
      </w:pPr>
      <w:r>
        <w:rPr>
          <w:rFonts w:hint="eastAsia" w:ascii="仿宋_GB2312" w:eastAsia="仿宋_GB2312" w:cs="DengXian-Regular"/>
          <w:sz w:val="32"/>
          <w:szCs w:val="32"/>
        </w:rPr>
        <w:t>财政拨款决算支出比年初预算增加</w:t>
      </w:r>
      <w:r>
        <w:rPr>
          <w:rFonts w:ascii="仿宋_GB2312" w:eastAsia="仿宋_GB2312" w:cs="DengXian-Regular"/>
          <w:sz w:val="32"/>
          <w:szCs w:val="32"/>
        </w:rPr>
        <w:t>2467.75</w:t>
      </w:r>
      <w:r>
        <w:rPr>
          <w:rFonts w:hint="eastAsia" w:ascii="仿宋_GB2312" w:eastAsia="仿宋_GB2312" w:cs="DengXian-Regular"/>
          <w:sz w:val="32"/>
          <w:szCs w:val="32"/>
        </w:rPr>
        <w:t>万元。决算支出完成年初预算的</w:t>
      </w:r>
      <w:r>
        <w:rPr>
          <w:rFonts w:ascii="仿宋_GB2312" w:eastAsia="仿宋_GB2312" w:cs="DengXian-Regular"/>
          <w:sz w:val="32"/>
          <w:szCs w:val="32"/>
        </w:rPr>
        <w:t>101.88</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w:t>
      </w:r>
      <w:r>
        <w:rPr>
          <w:rFonts w:ascii="仿宋_GB2312" w:eastAsia="仿宋_GB2312" w:cs="DengXian-Regular"/>
          <w:sz w:val="32"/>
          <w:szCs w:val="32"/>
        </w:rPr>
        <w:t>2021</w:t>
      </w:r>
      <w:r>
        <w:rPr>
          <w:rFonts w:hint="eastAsia" w:ascii="仿宋_GB2312" w:eastAsia="仿宋_GB2312" w:cs="DengXian-Regular"/>
          <w:sz w:val="32"/>
          <w:szCs w:val="32"/>
        </w:rPr>
        <w:t>年</w:t>
      </w:r>
      <w:r>
        <w:rPr>
          <w:rFonts w:ascii="仿宋_GB2312" w:eastAsia="仿宋_GB2312" w:cs="DengXian-Regular"/>
          <w:sz w:val="32"/>
          <w:szCs w:val="32"/>
        </w:rPr>
        <w:t>度政策加大教育投入力度</w:t>
      </w:r>
      <w:r>
        <w:rPr>
          <w:rFonts w:hint="eastAsia" w:ascii="仿宋" w:hAnsi="仿宋" w:eastAsia="仿宋"/>
          <w:snapToGrid w:val="0"/>
          <w:sz w:val="32"/>
          <w:szCs w:val="32"/>
        </w:rPr>
        <w:t>。预算支出与决算支出对比情况如图4。</w:t>
      </w:r>
    </w:p>
    <w:p w14:paraId="34F0F5D3">
      <w:pPr>
        <w:spacing w:after="0" w:line="360" w:lineRule="auto"/>
        <w:jc w:val="center"/>
        <w:rPr>
          <w:rFonts w:ascii="仿宋_GB2312" w:eastAsia="仿宋_GB2312" w:cs="DengXian-Regular"/>
          <w:sz w:val="32"/>
          <w:szCs w:val="32"/>
        </w:rPr>
      </w:pPr>
      <w:r>
        <w:rPr>
          <w:rFonts w:hint="eastAsia" w:asciiTheme="minorEastAsia" w:hAnsiTheme="minorEastAsia" w:eastAsiaTheme="minorEastAsia" w:cstheme="minorEastAsia"/>
          <w:b/>
          <w:bCs/>
          <w:sz w:val="32"/>
          <w:szCs w:val="32"/>
        </w:rPr>
        <w:t>图4  202</w:t>
      </w:r>
      <w:r>
        <w:rPr>
          <w:rFonts w:asciiTheme="minorEastAsia" w:hAnsiTheme="minorEastAsia" w:eastAsiaTheme="minorEastAsia" w:cstheme="minorEastAsia"/>
          <w:b/>
          <w:bCs/>
          <w:sz w:val="32"/>
          <w:szCs w:val="32"/>
        </w:rPr>
        <w:t>1</w:t>
      </w:r>
      <w:r>
        <w:rPr>
          <w:rFonts w:hint="eastAsia" w:asciiTheme="minorEastAsia" w:hAnsiTheme="minorEastAsia" w:eastAsiaTheme="minorEastAsia" w:cstheme="minorEastAsia"/>
          <w:b/>
          <w:bCs/>
          <w:sz w:val="32"/>
          <w:szCs w:val="32"/>
        </w:rPr>
        <w:t>年度区教体</w:t>
      </w:r>
      <w:r>
        <w:rPr>
          <w:rFonts w:asciiTheme="minorEastAsia" w:hAnsiTheme="minorEastAsia" w:eastAsiaTheme="minorEastAsia" w:cstheme="minorEastAsia"/>
          <w:b/>
          <w:bCs/>
          <w:sz w:val="32"/>
          <w:szCs w:val="32"/>
        </w:rPr>
        <w:t>局</w:t>
      </w:r>
      <w:r>
        <w:rPr>
          <w:rFonts w:hint="eastAsia" w:asciiTheme="minorEastAsia" w:hAnsiTheme="minorEastAsia" w:eastAsiaTheme="minorEastAsia" w:cstheme="minorEastAsia"/>
          <w:b/>
          <w:bCs/>
          <w:sz w:val="32"/>
          <w:szCs w:val="32"/>
        </w:rPr>
        <w:t>预算支出与决算支出对比图</w:t>
      </w:r>
      <w:r>
        <w:drawing>
          <wp:anchor distT="0" distB="0" distL="114300" distR="114300" simplePos="0" relativeHeight="251661312" behindDoc="0" locked="0" layoutInCell="1" allowOverlap="1">
            <wp:simplePos x="0" y="0"/>
            <wp:positionH relativeFrom="margin">
              <wp:posOffset>0</wp:posOffset>
            </wp:positionH>
            <wp:positionV relativeFrom="paragraph">
              <wp:posOffset>-400050</wp:posOffset>
            </wp:positionV>
            <wp:extent cx="5243830" cy="3362325"/>
            <wp:effectExtent l="0" t="0" r="0" b="0"/>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868B71B">
      <w:pPr>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区教体</w:t>
      </w:r>
      <w:r>
        <w:rPr>
          <w:rFonts w:ascii="仿宋_GB2312" w:eastAsia="仿宋_GB2312" w:cs="DengXian-Regular"/>
          <w:sz w:val="32"/>
          <w:szCs w:val="32"/>
        </w:rPr>
        <w:t>局</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年实际项目支出</w:t>
      </w:r>
      <w:r>
        <w:rPr>
          <w:rFonts w:ascii="仿宋_GB2312" w:eastAsia="仿宋_GB2312" w:cs="DengXian-Regular"/>
          <w:sz w:val="32"/>
          <w:szCs w:val="32"/>
        </w:rPr>
        <w:t>42879.95</w:t>
      </w:r>
      <w:r>
        <w:rPr>
          <w:rFonts w:hint="eastAsia" w:ascii="仿宋_GB2312" w:eastAsia="仿宋_GB2312" w:cs="DengXian-Regular"/>
          <w:sz w:val="32"/>
          <w:szCs w:val="32"/>
        </w:rPr>
        <w:t>万元，决算报表中项目支出</w:t>
      </w:r>
      <w:r>
        <w:rPr>
          <w:rFonts w:ascii="仿宋_GB2312" w:eastAsia="仿宋_GB2312" w:cs="DengXian-Regular"/>
          <w:sz w:val="32"/>
          <w:szCs w:val="32"/>
        </w:rPr>
        <w:t>42879.95</w:t>
      </w:r>
      <w:r>
        <w:rPr>
          <w:rFonts w:hint="eastAsia" w:ascii="仿宋_GB2312" w:eastAsia="仿宋_GB2312" w:cs="DengXian-Regular"/>
          <w:sz w:val="32"/>
          <w:szCs w:val="32"/>
        </w:rPr>
        <w:t>万元，实际支出与决算报表差</w:t>
      </w:r>
      <w:r>
        <w:rPr>
          <w:rFonts w:ascii="仿宋_GB2312" w:eastAsia="仿宋_GB2312" w:cs="DengXian-Regular"/>
          <w:sz w:val="32"/>
          <w:szCs w:val="32"/>
        </w:rPr>
        <w:t>0</w:t>
      </w:r>
      <w:r>
        <w:rPr>
          <w:rFonts w:hint="eastAsia" w:ascii="仿宋_GB2312" w:eastAsia="仿宋_GB2312" w:cs="DengXian-Regular"/>
          <w:sz w:val="32"/>
          <w:szCs w:val="32"/>
        </w:rPr>
        <w:t>万元。</w:t>
      </w:r>
    </w:p>
    <w:p w14:paraId="42FB71C0">
      <w:pPr>
        <w:pStyle w:val="4"/>
        <w:spacing w:before="0" w:after="0" w:line="540" w:lineRule="exact"/>
        <w:ind w:firstLine="643" w:firstLineChars="200"/>
        <w:jc w:val="both"/>
        <w:rPr>
          <w:rFonts w:ascii="仿宋_GB2312" w:hAnsi="Tahoma" w:cs="DengXian-Regular"/>
          <w:sz w:val="32"/>
        </w:rPr>
      </w:pPr>
      <w:bookmarkStart w:id="13" w:name="_Toc492652769"/>
      <w:bookmarkStart w:id="14" w:name="_Toc19291"/>
      <w:bookmarkStart w:id="15" w:name="_Toc465149503"/>
      <w:r>
        <w:rPr>
          <w:rFonts w:hint="eastAsia" w:ascii="仿宋_GB2312" w:hAnsi="Tahoma" w:cs="DengXian-Regular"/>
          <w:sz w:val="32"/>
        </w:rPr>
        <w:t>（五）“三公”经费预算安排及支出情况</w:t>
      </w:r>
      <w:bookmarkEnd w:id="13"/>
      <w:bookmarkEnd w:id="14"/>
      <w:bookmarkEnd w:id="15"/>
    </w:p>
    <w:p w14:paraId="27E65C17">
      <w:pPr>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年区教体</w:t>
      </w:r>
      <w:r>
        <w:rPr>
          <w:rFonts w:ascii="仿宋_GB2312" w:eastAsia="仿宋_GB2312" w:cs="DengXian-Regular"/>
          <w:sz w:val="32"/>
          <w:szCs w:val="32"/>
        </w:rPr>
        <w:t>局</w:t>
      </w:r>
      <w:r>
        <w:rPr>
          <w:rFonts w:hint="eastAsia" w:ascii="仿宋_GB2312" w:eastAsia="仿宋_GB2312" w:cs="DengXian-Regular"/>
          <w:sz w:val="32"/>
          <w:szCs w:val="32"/>
        </w:rPr>
        <w:t>“三公”经费预算</w:t>
      </w:r>
      <w:r>
        <w:rPr>
          <w:rFonts w:ascii="仿宋_GB2312" w:eastAsia="仿宋_GB2312" w:cs="DengXian-Regular"/>
          <w:sz w:val="32"/>
          <w:szCs w:val="32"/>
        </w:rPr>
        <w:t>51.9</w:t>
      </w:r>
      <w:r>
        <w:rPr>
          <w:rFonts w:hint="eastAsia" w:ascii="仿宋_GB2312" w:eastAsia="仿宋_GB2312" w:cs="DengXian-Regular"/>
          <w:sz w:val="32"/>
          <w:szCs w:val="32"/>
        </w:rPr>
        <w:t>万元（公务用车运行维护费</w:t>
      </w:r>
      <w:r>
        <w:rPr>
          <w:rFonts w:ascii="仿宋_GB2312" w:eastAsia="仿宋_GB2312" w:cs="DengXian-Regular"/>
          <w:sz w:val="32"/>
          <w:szCs w:val="32"/>
        </w:rPr>
        <w:t>38.9</w:t>
      </w:r>
      <w:r>
        <w:rPr>
          <w:rFonts w:hint="eastAsia" w:ascii="仿宋_GB2312" w:eastAsia="仿宋_GB2312" w:cs="DengXian-Regular"/>
          <w:sz w:val="32"/>
          <w:szCs w:val="32"/>
        </w:rPr>
        <w:t>万元，公务接待费</w:t>
      </w:r>
      <w:r>
        <w:rPr>
          <w:rFonts w:ascii="仿宋_GB2312" w:eastAsia="仿宋_GB2312" w:cs="DengXian-Regular"/>
          <w:sz w:val="32"/>
          <w:szCs w:val="32"/>
        </w:rPr>
        <w:t>13</w:t>
      </w:r>
      <w:r>
        <w:rPr>
          <w:rFonts w:hint="eastAsia" w:ascii="仿宋_GB2312" w:eastAsia="仿宋_GB2312" w:cs="DengXian-Regular"/>
          <w:sz w:val="32"/>
          <w:szCs w:val="32"/>
        </w:rPr>
        <w:t>万元），实际支出</w:t>
      </w:r>
      <w:r>
        <w:rPr>
          <w:rFonts w:ascii="仿宋_GB2312" w:eastAsia="仿宋_GB2312" w:cs="DengXian-Regular"/>
          <w:sz w:val="32"/>
          <w:szCs w:val="32"/>
        </w:rPr>
        <w:t>6.04</w:t>
      </w:r>
      <w:r>
        <w:rPr>
          <w:rFonts w:hint="eastAsia" w:ascii="仿宋_GB2312" w:eastAsia="仿宋_GB2312" w:cs="DengXian-Regular"/>
          <w:sz w:val="32"/>
          <w:szCs w:val="32"/>
        </w:rPr>
        <w:t>万元（公务用车运行维护费</w:t>
      </w:r>
      <w:r>
        <w:rPr>
          <w:rFonts w:ascii="仿宋_GB2312" w:eastAsia="仿宋_GB2312" w:cs="DengXian-Regular"/>
          <w:sz w:val="32"/>
          <w:szCs w:val="32"/>
        </w:rPr>
        <w:t>5.29</w:t>
      </w:r>
      <w:r>
        <w:rPr>
          <w:rFonts w:hint="eastAsia" w:ascii="仿宋_GB2312" w:eastAsia="仿宋_GB2312" w:cs="DengXian-Regular"/>
          <w:sz w:val="32"/>
          <w:szCs w:val="32"/>
        </w:rPr>
        <w:t>万元，公务接待费</w:t>
      </w:r>
      <w:r>
        <w:rPr>
          <w:rFonts w:ascii="仿宋_GB2312" w:eastAsia="仿宋_GB2312" w:cs="DengXian-Regular"/>
          <w:sz w:val="32"/>
          <w:szCs w:val="32"/>
        </w:rPr>
        <w:t>0.75</w:t>
      </w:r>
      <w:r>
        <w:rPr>
          <w:rFonts w:hint="eastAsia" w:ascii="仿宋_GB2312" w:eastAsia="仿宋_GB2312" w:cs="DengXian-Regular"/>
          <w:sz w:val="32"/>
          <w:szCs w:val="32"/>
        </w:rPr>
        <w:t>万元），比预算减少</w:t>
      </w:r>
      <w:r>
        <w:rPr>
          <w:rFonts w:ascii="仿宋_GB2312" w:eastAsia="仿宋_GB2312" w:cs="DengXian-Regular"/>
          <w:sz w:val="32"/>
          <w:szCs w:val="32"/>
        </w:rPr>
        <w:t>45.86</w:t>
      </w:r>
      <w:r>
        <w:rPr>
          <w:rFonts w:hint="eastAsia" w:ascii="仿宋_GB2312" w:eastAsia="仿宋_GB2312" w:cs="DengXian-Regular"/>
          <w:sz w:val="32"/>
          <w:szCs w:val="32"/>
        </w:rPr>
        <w:t>万元，节约率</w:t>
      </w:r>
      <w:r>
        <w:rPr>
          <w:rFonts w:ascii="仿宋_GB2312" w:eastAsia="仿宋_GB2312" w:cs="DengXian-Regular"/>
          <w:sz w:val="32"/>
          <w:szCs w:val="32"/>
        </w:rPr>
        <w:t>88.36</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年“三公”经费预算数与</w:t>
      </w:r>
      <w:r>
        <w:rPr>
          <w:rFonts w:ascii="仿宋_GB2312" w:eastAsia="仿宋_GB2312" w:cs="DengXian-Regular"/>
          <w:sz w:val="32"/>
          <w:szCs w:val="32"/>
        </w:rPr>
        <w:t>2020</w:t>
      </w:r>
      <w:r>
        <w:rPr>
          <w:rFonts w:hint="eastAsia" w:ascii="仿宋_GB2312" w:eastAsia="仿宋_GB2312" w:cs="DengXian-Regular"/>
          <w:sz w:val="32"/>
          <w:szCs w:val="32"/>
        </w:rPr>
        <w:t>年预算数相比增加5.4万</w:t>
      </w:r>
      <w:r>
        <w:rPr>
          <w:rFonts w:ascii="仿宋_GB2312" w:eastAsia="仿宋_GB2312" w:cs="DengXian-Regular"/>
          <w:sz w:val="32"/>
          <w:szCs w:val="32"/>
        </w:rPr>
        <w:t>元</w:t>
      </w:r>
      <w:r>
        <w:rPr>
          <w:rFonts w:hint="eastAsia" w:ascii="仿宋_GB2312" w:eastAsia="仿宋_GB2312" w:cs="DengXian-Regular"/>
          <w:sz w:val="32"/>
          <w:szCs w:val="32"/>
        </w:rPr>
        <w:t>，决算数与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年实际支出相比，减少</w:t>
      </w:r>
      <w:r>
        <w:rPr>
          <w:rFonts w:ascii="仿宋_GB2312" w:eastAsia="仿宋_GB2312" w:cs="DengXian-Regular"/>
          <w:sz w:val="32"/>
          <w:szCs w:val="32"/>
        </w:rPr>
        <w:t>1.15</w:t>
      </w:r>
      <w:r>
        <w:rPr>
          <w:rFonts w:hint="eastAsia" w:ascii="仿宋_GB2312" w:eastAsia="仿宋_GB2312" w:cs="DengXian-Regular"/>
          <w:sz w:val="32"/>
          <w:szCs w:val="32"/>
        </w:rPr>
        <w:t>万元。具体详见表1。</w:t>
      </w:r>
    </w:p>
    <w:p w14:paraId="315E2E77">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区教体</w:t>
      </w:r>
      <w:r>
        <w:rPr>
          <w:rFonts w:asciiTheme="minorEastAsia" w:hAnsiTheme="minorEastAsia" w:eastAsiaTheme="minorEastAsia" w:cstheme="minorEastAsia"/>
          <w:b/>
          <w:bCs/>
          <w:sz w:val="32"/>
          <w:szCs w:val="32"/>
        </w:rPr>
        <w:t>局</w:t>
      </w:r>
      <w:r>
        <w:rPr>
          <w:rFonts w:hint="eastAsia" w:asciiTheme="minorEastAsia" w:hAnsiTheme="minorEastAsia" w:eastAsiaTheme="minorEastAsia" w:cstheme="minorEastAsia"/>
          <w:b/>
          <w:bCs/>
          <w:sz w:val="32"/>
          <w:szCs w:val="32"/>
        </w:rPr>
        <w:t>“三公”经费预算及决算明细表</w:t>
      </w:r>
    </w:p>
    <w:p w14:paraId="44FAD18D">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14:paraId="0595F2BD">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0BA600">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C062FB">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9D345E">
            <w:pPr>
              <w:spacing w:after="0"/>
              <w:ind w:firstLine="422" w:firstLineChars="200"/>
              <w:jc w:val="center"/>
              <w:textAlignment w:val="center"/>
              <w:rPr>
                <w:rFonts w:ascii="宋体" w:hAnsi="宋体" w:eastAsia="宋体" w:cs="宋体"/>
                <w:b/>
                <w:bCs/>
                <w:color w:val="000000"/>
                <w:sz w:val="21"/>
                <w:szCs w:val="21"/>
              </w:rPr>
            </w:pPr>
            <w:r>
              <w:rPr>
                <w:rFonts w:ascii="宋体" w:hAnsi="宋体" w:eastAsia="宋体" w:cs="宋体"/>
                <w:b/>
                <w:bCs/>
                <w:color w:val="000000"/>
                <w:sz w:val="21"/>
                <w:szCs w:val="21"/>
              </w:rPr>
              <w:t>2020</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14:paraId="1D3B0309">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ascii="宋体" w:hAnsi="宋体" w:eastAsia="宋体" w:cs="宋体"/>
                <w:b/>
                <w:bCs/>
                <w:color w:val="000000"/>
                <w:sz w:val="21"/>
                <w:szCs w:val="21"/>
              </w:rPr>
              <w:t>1</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F9004">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14:paraId="4508ABE8">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18353">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A6EEA3">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C8894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80B0295">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1889CA">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6E5CD1F">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510582E">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ABBCB8">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14:paraId="695F0130">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D56C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14:paraId="52317CC9">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9D97">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ED4F">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9950">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8E9A4D">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94DCBA">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CB004E">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r>
      <w:tr w14:paraId="312FA184">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D84F">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D0AD05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70EC">
            <w:pPr>
              <w:spacing w:after="0"/>
              <w:jc w:val="center"/>
              <w:textAlignment w:val="center"/>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39.5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DC6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5.82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17DC">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38.9</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C876E">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5.29</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37F9AE">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E9B86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-0.53</w:t>
            </w:r>
          </w:p>
        </w:tc>
      </w:tr>
      <w:tr w14:paraId="637CF045">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66CA">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B9435">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E3A8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669B">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6A9E0">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A78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0.75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D3415D">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7BD1C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-0.62</w:t>
            </w:r>
          </w:p>
        </w:tc>
      </w:tr>
      <w:tr w14:paraId="1641EFC0">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6282">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0C519B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F9F4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46.5</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2DF78">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7.19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E2C3">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51.9</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D536CD">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6.04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71012C">
            <w:pPr>
              <w:spacing w:after="0"/>
              <w:ind w:firstLine="420" w:firstLineChars="20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867C46">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-1.15</w:t>
            </w:r>
          </w:p>
        </w:tc>
      </w:tr>
    </w:tbl>
    <w:p w14:paraId="0CA94535">
      <w:pPr>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ascii="仿宋_GB2312" w:eastAsia="仿宋_GB2312" w:cs="DengXian-Regular"/>
          <w:sz w:val="32"/>
          <w:szCs w:val="32"/>
        </w:rPr>
        <w:t>1</w:t>
      </w:r>
      <w:r>
        <w:rPr>
          <w:rFonts w:hint="eastAsia" w:ascii="仿宋_GB2312" w:eastAsia="仿宋_GB2312" w:cs="DengXian-Regular"/>
          <w:sz w:val="32"/>
          <w:szCs w:val="32"/>
        </w:rPr>
        <w:t>年底区教体</w:t>
      </w:r>
      <w:r>
        <w:rPr>
          <w:rFonts w:ascii="仿宋_GB2312" w:eastAsia="仿宋_GB2312" w:cs="DengXian-Regular"/>
          <w:sz w:val="32"/>
          <w:szCs w:val="32"/>
        </w:rPr>
        <w:t>局</w:t>
      </w:r>
      <w:r>
        <w:rPr>
          <w:rFonts w:hint="eastAsia" w:ascii="仿宋_GB2312" w:eastAsia="仿宋_GB2312" w:cs="DengXian-Regular"/>
          <w:sz w:val="32"/>
          <w:szCs w:val="32"/>
        </w:rPr>
        <w:t>车辆合计</w:t>
      </w:r>
      <w:r>
        <w:rPr>
          <w:rFonts w:ascii="仿宋_GB2312" w:eastAsia="仿宋_GB2312" w:cs="DengXian-Regular"/>
          <w:sz w:val="32"/>
          <w:szCs w:val="32"/>
        </w:rPr>
        <w:t>2</w:t>
      </w:r>
      <w:r>
        <w:rPr>
          <w:rFonts w:hint="eastAsia" w:ascii="仿宋_GB2312" w:eastAsia="仿宋_GB2312" w:cs="DengXian-Regular"/>
          <w:sz w:val="32"/>
          <w:szCs w:val="32"/>
        </w:rPr>
        <w:t>辆，其中领导用车</w:t>
      </w:r>
      <w:r>
        <w:rPr>
          <w:rFonts w:ascii="仿宋_GB2312" w:eastAsia="仿宋_GB2312" w:cs="DengXian-Regular"/>
          <w:sz w:val="32"/>
          <w:szCs w:val="32"/>
        </w:rPr>
        <w:t>0</w:t>
      </w:r>
      <w:r>
        <w:rPr>
          <w:rFonts w:hint="eastAsia" w:ascii="仿宋_GB2312" w:eastAsia="仿宋_GB2312" w:cs="DengXian-Regular"/>
          <w:sz w:val="32"/>
          <w:szCs w:val="32"/>
        </w:rPr>
        <w:t>辆，其他用车</w:t>
      </w:r>
      <w:r>
        <w:rPr>
          <w:rFonts w:ascii="仿宋_GB2312" w:eastAsia="仿宋_GB2312" w:cs="DengXian-Regular"/>
          <w:sz w:val="32"/>
          <w:szCs w:val="32"/>
        </w:rPr>
        <w:t>2</w:t>
      </w:r>
      <w:r>
        <w:rPr>
          <w:rFonts w:hint="eastAsia" w:ascii="仿宋_GB2312" w:eastAsia="仿宋_GB2312" w:cs="DengXian-Regular"/>
          <w:sz w:val="32"/>
          <w:szCs w:val="32"/>
        </w:rPr>
        <w:t>辆。202</w:t>
      </w:r>
      <w:r>
        <w:rPr>
          <w:rFonts w:ascii="仿宋_GB2312" w:eastAsia="仿宋_GB2312" w:cs="DengXian-Regular"/>
          <w:sz w:val="32"/>
          <w:szCs w:val="32"/>
        </w:rPr>
        <w:t>1</w:t>
      </w:r>
      <w:r>
        <w:rPr>
          <w:rFonts w:hint="eastAsia" w:ascii="仿宋_GB2312" w:eastAsia="仿宋_GB2312" w:cs="DengXian-Regular"/>
          <w:sz w:val="32"/>
          <w:szCs w:val="32"/>
        </w:rPr>
        <w:t>年公务用车购置及运维费年初预算</w:t>
      </w:r>
      <w:r>
        <w:rPr>
          <w:rFonts w:ascii="仿宋_GB2312" w:eastAsia="仿宋_GB2312" w:cs="DengXian-Regular"/>
          <w:sz w:val="32"/>
          <w:szCs w:val="32"/>
        </w:rPr>
        <w:t>38.9</w:t>
      </w:r>
      <w:r>
        <w:rPr>
          <w:rFonts w:hint="eastAsia" w:ascii="仿宋_GB2312" w:eastAsia="仿宋_GB2312" w:cs="DengXian-Regular"/>
          <w:sz w:val="32"/>
          <w:szCs w:val="32"/>
        </w:rPr>
        <w:t>万元，全部为公务用车运行维护费，实际支出</w:t>
      </w:r>
      <w:r>
        <w:rPr>
          <w:rFonts w:ascii="仿宋_GB2312" w:eastAsia="仿宋_GB2312" w:cs="DengXian-Regular"/>
          <w:sz w:val="32"/>
          <w:szCs w:val="32"/>
        </w:rPr>
        <w:t>5.29</w:t>
      </w:r>
      <w:r>
        <w:rPr>
          <w:rFonts w:hint="eastAsia" w:ascii="仿宋_GB2312" w:eastAsia="仿宋_GB2312" w:cs="DengXian-Regular"/>
          <w:sz w:val="32"/>
          <w:szCs w:val="32"/>
        </w:rPr>
        <w:t>万元，比预算减少</w:t>
      </w:r>
      <w:r>
        <w:rPr>
          <w:rFonts w:ascii="仿宋_GB2312" w:eastAsia="仿宋_GB2312" w:cs="DengXian-Regular"/>
          <w:sz w:val="32"/>
          <w:szCs w:val="32"/>
        </w:rPr>
        <w:t>33.61</w:t>
      </w:r>
      <w:r>
        <w:rPr>
          <w:rFonts w:hint="eastAsia" w:ascii="仿宋_GB2312" w:eastAsia="仿宋_GB2312" w:cs="DengXian-Regular"/>
          <w:sz w:val="32"/>
          <w:szCs w:val="32"/>
        </w:rPr>
        <w:t>万元，节约率</w:t>
      </w:r>
      <w:r>
        <w:rPr>
          <w:rFonts w:ascii="仿宋_GB2312" w:eastAsia="仿宋_GB2312" w:cs="DengXian-Regular"/>
          <w:sz w:val="32"/>
          <w:szCs w:val="32"/>
        </w:rPr>
        <w:t>86.40</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年预算相比减少</w:t>
      </w:r>
      <w:r>
        <w:rPr>
          <w:rFonts w:ascii="仿宋_GB2312" w:eastAsia="仿宋_GB2312" w:cs="DengXian-Regular"/>
          <w:sz w:val="32"/>
          <w:szCs w:val="32"/>
        </w:rPr>
        <w:t>0.53</w:t>
      </w:r>
      <w:r>
        <w:rPr>
          <w:rFonts w:hint="eastAsia" w:ascii="仿宋_GB2312" w:eastAsia="仿宋_GB2312" w:cs="DengXian-Regular"/>
          <w:sz w:val="32"/>
          <w:szCs w:val="32"/>
        </w:rPr>
        <w:t>万</w:t>
      </w:r>
      <w:r>
        <w:rPr>
          <w:rFonts w:ascii="仿宋_GB2312" w:eastAsia="仿宋_GB2312" w:cs="DengXian-Regular"/>
          <w:sz w:val="32"/>
          <w:szCs w:val="32"/>
        </w:rPr>
        <w:t>元</w:t>
      </w:r>
      <w:r>
        <w:rPr>
          <w:rFonts w:hint="eastAsia" w:ascii="仿宋_GB2312" w:eastAsia="仿宋_GB2312" w:cs="DengXian-Regular"/>
          <w:sz w:val="32"/>
          <w:szCs w:val="32"/>
        </w:rPr>
        <w:t>，决算数与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年实际支出相比，减少</w:t>
      </w:r>
      <w:r>
        <w:rPr>
          <w:rFonts w:ascii="仿宋_GB2312" w:eastAsia="仿宋_GB2312" w:cs="DengXian-Regular"/>
          <w:sz w:val="32"/>
          <w:szCs w:val="32"/>
        </w:rPr>
        <w:t>0.53</w:t>
      </w:r>
      <w:r>
        <w:rPr>
          <w:rFonts w:hint="eastAsia" w:ascii="仿宋_GB2312" w:eastAsia="仿宋_GB2312" w:cs="DengXian-Regular"/>
          <w:sz w:val="32"/>
          <w:szCs w:val="32"/>
        </w:rPr>
        <w:t>万元。</w:t>
      </w:r>
    </w:p>
    <w:p w14:paraId="7BCE94CB">
      <w:pPr>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ascii="仿宋_GB2312" w:eastAsia="仿宋_GB2312" w:cs="DengXian-Regular"/>
          <w:sz w:val="32"/>
          <w:szCs w:val="32"/>
        </w:rPr>
        <w:t>1</w:t>
      </w:r>
      <w:r>
        <w:rPr>
          <w:rFonts w:hint="eastAsia" w:ascii="仿宋_GB2312" w:eastAsia="仿宋_GB2312" w:cs="DengXian-Regular"/>
          <w:sz w:val="32"/>
          <w:szCs w:val="32"/>
        </w:rPr>
        <w:t>年区教体</w:t>
      </w:r>
      <w:r>
        <w:rPr>
          <w:rFonts w:ascii="仿宋_GB2312" w:eastAsia="仿宋_GB2312" w:cs="DengXian-Regular"/>
          <w:sz w:val="32"/>
          <w:szCs w:val="32"/>
        </w:rPr>
        <w:t>局</w:t>
      </w:r>
      <w:r>
        <w:rPr>
          <w:rFonts w:hint="eastAsia" w:ascii="仿宋_GB2312" w:eastAsia="仿宋_GB2312" w:cs="DengXian-Regular"/>
          <w:sz w:val="32"/>
          <w:szCs w:val="32"/>
        </w:rPr>
        <w:t>公务接待费年初预算</w:t>
      </w:r>
      <w:r>
        <w:rPr>
          <w:rFonts w:ascii="仿宋_GB2312" w:eastAsia="仿宋_GB2312" w:cs="DengXian-Regular"/>
          <w:sz w:val="32"/>
          <w:szCs w:val="32"/>
        </w:rPr>
        <w:t>13</w:t>
      </w:r>
      <w:r>
        <w:rPr>
          <w:rFonts w:hint="eastAsia" w:ascii="仿宋_GB2312" w:eastAsia="仿宋_GB2312" w:cs="DengXian-Regular"/>
          <w:sz w:val="32"/>
          <w:szCs w:val="32"/>
        </w:rPr>
        <w:t>万元，实际支出</w:t>
      </w:r>
      <w:r>
        <w:rPr>
          <w:rFonts w:ascii="仿宋_GB2312" w:eastAsia="仿宋_GB2312" w:cs="DengXian-Regular"/>
          <w:sz w:val="32"/>
          <w:szCs w:val="32"/>
        </w:rPr>
        <w:t>0.75</w:t>
      </w:r>
      <w:r>
        <w:rPr>
          <w:rFonts w:hint="eastAsia" w:ascii="仿宋_GB2312" w:eastAsia="仿宋_GB2312" w:cs="DengXian-Regular"/>
          <w:sz w:val="32"/>
          <w:szCs w:val="32"/>
        </w:rPr>
        <w:t>万元，比预算减少了</w:t>
      </w:r>
      <w:r>
        <w:rPr>
          <w:rFonts w:ascii="仿宋_GB2312" w:eastAsia="仿宋_GB2312" w:cs="DengXian-Regular"/>
          <w:sz w:val="32"/>
          <w:szCs w:val="32"/>
        </w:rPr>
        <w:t>12.25</w:t>
      </w:r>
      <w:r>
        <w:rPr>
          <w:rFonts w:hint="eastAsia" w:ascii="仿宋_GB2312" w:eastAsia="仿宋_GB2312" w:cs="DengXian-Regular"/>
          <w:sz w:val="32"/>
          <w:szCs w:val="32"/>
        </w:rPr>
        <w:t>万元，节约率</w:t>
      </w:r>
      <w:r>
        <w:rPr>
          <w:rFonts w:ascii="仿宋_GB2312" w:eastAsia="仿宋_GB2312" w:cs="DengXian-Regular"/>
          <w:sz w:val="32"/>
          <w:szCs w:val="32"/>
        </w:rPr>
        <w:t>94.23</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年预算数与</w:t>
      </w:r>
      <w:r>
        <w:rPr>
          <w:rFonts w:ascii="仿宋_GB2312" w:eastAsia="仿宋_GB2312" w:cs="DengXian-Regular"/>
          <w:sz w:val="32"/>
          <w:szCs w:val="32"/>
        </w:rPr>
        <w:t>2020</w:t>
      </w:r>
      <w:r>
        <w:rPr>
          <w:rFonts w:hint="eastAsia" w:ascii="仿宋_GB2312" w:eastAsia="仿宋_GB2312" w:cs="DengXian-Regular"/>
          <w:sz w:val="32"/>
          <w:szCs w:val="32"/>
        </w:rPr>
        <w:t>年预算相比增加6万</w:t>
      </w:r>
      <w:r>
        <w:rPr>
          <w:rFonts w:ascii="仿宋_GB2312" w:eastAsia="仿宋_GB2312" w:cs="DengXian-Regular"/>
          <w:sz w:val="32"/>
          <w:szCs w:val="32"/>
        </w:rPr>
        <w:t>元</w:t>
      </w:r>
      <w:r>
        <w:rPr>
          <w:rFonts w:hint="eastAsia" w:ascii="仿宋_GB2312" w:eastAsia="仿宋_GB2312" w:cs="DengXian-Regular"/>
          <w:sz w:val="32"/>
          <w:szCs w:val="32"/>
        </w:rPr>
        <w:t>，决算数与</w:t>
      </w:r>
      <w:r>
        <w:rPr>
          <w:rFonts w:ascii="仿宋_GB2312" w:eastAsia="仿宋_GB2312" w:cs="DengXian-Regular"/>
          <w:sz w:val="32"/>
          <w:szCs w:val="32"/>
        </w:rPr>
        <w:t>2020</w:t>
      </w:r>
      <w:r>
        <w:rPr>
          <w:rFonts w:hint="eastAsia" w:ascii="仿宋_GB2312" w:eastAsia="仿宋_GB2312" w:cs="DengXian-Regular"/>
          <w:sz w:val="32"/>
          <w:szCs w:val="32"/>
        </w:rPr>
        <w:t>年实际支出相比，减少0.62万元。</w:t>
      </w:r>
    </w:p>
    <w:p w14:paraId="5446D79B">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14:paraId="4ACD5438">
      <w:pPr>
        <w:spacing w:after="0" w:line="540" w:lineRule="exact"/>
        <w:ind w:firstLine="640" w:firstLineChars="200"/>
        <w:jc w:val="both"/>
        <w:rPr>
          <w:rFonts w:ascii="仿宋_GB2312" w:eastAsia="仿宋_GB2312" w:cs="DengXian-Regular"/>
          <w:sz w:val="32"/>
          <w:szCs w:val="32"/>
        </w:rPr>
      </w:pPr>
      <w:bookmarkStart w:id="19" w:name="_Toc492652775"/>
      <w:bookmarkStart w:id="20" w:name="_Toc11842"/>
      <w:r>
        <w:rPr>
          <w:rFonts w:hint="eastAsia" w:ascii="仿宋_GB2312" w:eastAsia="仿宋_GB2312" w:cs="DengXian-Regular"/>
          <w:sz w:val="32"/>
          <w:szCs w:val="32"/>
        </w:rPr>
        <w:t>根据绩效预算管理改革的有关政策和文件规定，绩效评价工作组以绩效预算架构为指导，以部门预算文本及相关资料为基础，制定了部门整体支出绩效评价指标体系。</w:t>
      </w:r>
    </w:p>
    <w:p w14:paraId="2EAE6361">
      <w:pPr>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21" w:name="_Toc492652771"/>
      <w:bookmarkStart w:id="22" w:name="_Toc9569"/>
    </w:p>
    <w:p w14:paraId="4B859511">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21"/>
      <w:bookmarkEnd w:id="22"/>
    </w:p>
    <w:p w14:paraId="2243F29E">
      <w:pPr>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14:paraId="093EA009">
      <w:pPr>
        <w:keepNext/>
        <w:widowControl w:val="0"/>
        <w:spacing w:after="0" w:line="540" w:lineRule="exact"/>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14:paraId="5E2ED5C9">
      <w:pPr>
        <w:pStyle w:val="4"/>
        <w:spacing w:before="0" w:after="0" w:line="540" w:lineRule="exact"/>
        <w:ind w:firstLine="643" w:firstLineChars="200"/>
        <w:jc w:val="both"/>
        <w:rPr>
          <w:rFonts w:ascii="楷体" w:hAnsi="楷体" w:eastAsia="楷体"/>
          <w:sz w:val="32"/>
        </w:rPr>
      </w:pPr>
      <w:bookmarkStart w:id="23" w:name="_Toc30221"/>
      <w:bookmarkStart w:id="24" w:name="_Toc492652772"/>
      <w:r>
        <w:rPr>
          <w:rFonts w:hint="eastAsia" w:ascii="楷体" w:hAnsi="楷体" w:eastAsia="楷体"/>
          <w:kern w:val="2"/>
          <w:sz w:val="32"/>
        </w:rPr>
        <w:t>（二）过程（48分）</w:t>
      </w:r>
      <w:bookmarkEnd w:id="23"/>
      <w:bookmarkEnd w:id="24"/>
    </w:p>
    <w:p w14:paraId="580C7716">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14:paraId="7201385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14:paraId="716780FD">
      <w:pPr>
        <w:pStyle w:val="4"/>
        <w:spacing w:before="0" w:after="0" w:line="540" w:lineRule="exact"/>
        <w:ind w:firstLine="643" w:firstLineChars="200"/>
        <w:jc w:val="both"/>
        <w:rPr>
          <w:rFonts w:ascii="楷体" w:hAnsi="楷体" w:eastAsia="楷体"/>
          <w:kern w:val="2"/>
          <w:sz w:val="32"/>
        </w:rPr>
      </w:pPr>
      <w:bookmarkStart w:id="25" w:name="_Toc492652773"/>
      <w:bookmarkStart w:id="26" w:name="_Toc24932"/>
      <w:r>
        <w:rPr>
          <w:rFonts w:hint="eastAsia" w:ascii="楷体" w:hAnsi="楷体" w:eastAsia="楷体"/>
          <w:kern w:val="2"/>
          <w:sz w:val="32"/>
        </w:rPr>
        <w:t>（三）产出（25分）</w:t>
      </w:r>
      <w:bookmarkEnd w:id="25"/>
      <w:bookmarkEnd w:id="26"/>
    </w:p>
    <w:p w14:paraId="5B20BB48">
      <w:pPr>
        <w:spacing w:after="0" w:line="540" w:lineRule="exact"/>
        <w:ind w:firstLine="640" w:firstLineChars="200"/>
        <w:jc w:val="both"/>
        <w:textAlignment w:val="baseline"/>
        <w:rPr>
          <w:rFonts w:ascii="仿宋_GB2312" w:eastAsia="仿宋_GB2312" w:cs="DengXian-Regular"/>
          <w:sz w:val="32"/>
          <w:szCs w:val="32"/>
        </w:rPr>
      </w:pPr>
      <w:bookmarkStart w:id="27" w:name="_Toc492652774"/>
      <w:r>
        <w:rPr>
          <w:rFonts w:hint="eastAsia" w:ascii="仿宋_GB2312" w:eastAsia="仿宋_GB2312" w:cs="DengXian-Regular"/>
          <w:sz w:val="32"/>
          <w:szCs w:val="32"/>
        </w:rPr>
        <w:t>主要反映结转结余率，项目资金使用率。</w:t>
      </w:r>
    </w:p>
    <w:p w14:paraId="394CE8E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14:paraId="5976063C">
      <w:pPr>
        <w:pStyle w:val="4"/>
        <w:spacing w:before="0" w:after="0" w:line="540" w:lineRule="exact"/>
        <w:ind w:firstLine="643" w:firstLineChars="200"/>
        <w:jc w:val="both"/>
        <w:rPr>
          <w:rFonts w:ascii="楷体_GB2312" w:eastAsia="楷体_GB2312" w:hAnsiTheme="minorEastAsia"/>
          <w:sz w:val="32"/>
        </w:rPr>
      </w:pPr>
      <w:bookmarkStart w:id="28" w:name="_Toc21821"/>
      <w:r>
        <w:rPr>
          <w:rFonts w:hint="eastAsia" w:ascii="楷体_GB2312" w:eastAsia="楷体_GB2312" w:hAnsiTheme="minorEastAsia"/>
          <w:kern w:val="2"/>
          <w:sz w:val="32"/>
        </w:rPr>
        <w:t>（四）效果（15分）</w:t>
      </w:r>
      <w:bookmarkEnd w:id="27"/>
      <w:bookmarkEnd w:id="28"/>
    </w:p>
    <w:p w14:paraId="03F8C0B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14:paraId="651875D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14:paraId="44B873B7">
      <w:pPr>
        <w:pStyle w:val="3"/>
        <w:spacing w:before="0" w:after="0" w:line="540" w:lineRule="exact"/>
        <w:ind w:firstLine="643" w:firstLineChars="200"/>
        <w:rPr>
          <w:rFonts w:ascii="黑体"/>
        </w:rPr>
      </w:pPr>
      <w:r>
        <w:rPr>
          <w:rFonts w:hint="eastAsia" w:ascii="黑体"/>
        </w:rPr>
        <w:t>三、综合绩效评价工作情况</w:t>
      </w:r>
      <w:bookmarkEnd w:id="18"/>
      <w:bookmarkEnd w:id="19"/>
      <w:bookmarkEnd w:id="20"/>
      <w:bookmarkStart w:id="29" w:name="_Toc465149505"/>
      <w:bookmarkStart w:id="30" w:name="_Toc492652776"/>
    </w:p>
    <w:bookmarkEnd w:id="29"/>
    <w:bookmarkEnd w:id="30"/>
    <w:p w14:paraId="71A28E0B">
      <w:pPr>
        <w:pStyle w:val="4"/>
        <w:spacing w:before="0" w:after="0" w:line="540" w:lineRule="exact"/>
        <w:ind w:firstLine="643" w:firstLineChars="200"/>
        <w:jc w:val="both"/>
        <w:rPr>
          <w:rFonts w:ascii="楷体_GB2312" w:eastAsia="楷体_GB2312" w:hAnsiTheme="minorEastAsia"/>
          <w:sz w:val="32"/>
        </w:rPr>
      </w:pPr>
      <w:bookmarkStart w:id="31" w:name="_Toc17138"/>
      <w:bookmarkStart w:id="32" w:name="_Toc465149506"/>
      <w:bookmarkStart w:id="33" w:name="_Toc492652777"/>
      <w:bookmarkStart w:id="34" w:name="_Toc465149511"/>
      <w:bookmarkStart w:id="35" w:name="_Toc492652781"/>
      <w:bookmarkStart w:id="36" w:name="_Toc6467"/>
      <w:r>
        <w:rPr>
          <w:rFonts w:hint="eastAsia" w:ascii="楷体_GB2312" w:eastAsia="楷体_GB2312" w:hAnsiTheme="minorEastAsia"/>
          <w:kern w:val="2"/>
          <w:sz w:val="32"/>
        </w:rPr>
        <w:t>（一）绩效评价目的</w:t>
      </w:r>
      <w:bookmarkEnd w:id="31"/>
    </w:p>
    <w:p w14:paraId="1113E35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通过对区教体</w:t>
      </w:r>
      <w:r>
        <w:rPr>
          <w:rFonts w:ascii="仿宋_GB2312" w:eastAsia="仿宋_GB2312" w:cs="DengXian-Regular"/>
          <w:sz w:val="32"/>
          <w:szCs w:val="32"/>
        </w:rPr>
        <w:t>局</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14:paraId="33205098">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14:paraId="450C1A85">
      <w:pPr>
        <w:pStyle w:val="4"/>
        <w:spacing w:before="0" w:after="0" w:line="540" w:lineRule="exact"/>
        <w:ind w:firstLine="643" w:firstLineChars="200"/>
        <w:jc w:val="both"/>
        <w:rPr>
          <w:rFonts w:ascii="楷体_GB2312" w:eastAsia="楷体_GB2312" w:hAnsiTheme="minorEastAsia"/>
          <w:kern w:val="2"/>
          <w:sz w:val="32"/>
        </w:rPr>
      </w:pPr>
      <w:bookmarkStart w:id="37" w:name="_Toc11607"/>
      <w:r>
        <w:rPr>
          <w:rFonts w:hint="eastAsia" w:ascii="楷体_GB2312" w:eastAsia="楷体_GB2312" w:hAnsiTheme="minorEastAsia"/>
          <w:kern w:val="2"/>
          <w:sz w:val="32"/>
        </w:rPr>
        <w:t>（二）绩效评价依据</w:t>
      </w:r>
      <w:bookmarkEnd w:id="32"/>
      <w:bookmarkEnd w:id="33"/>
      <w:bookmarkEnd w:id="37"/>
    </w:p>
    <w:p w14:paraId="0C363D5A">
      <w:pPr>
        <w:spacing w:after="0" w:line="540" w:lineRule="exact"/>
        <w:ind w:firstLine="640" w:firstLineChars="200"/>
        <w:jc w:val="both"/>
        <w:textAlignment w:val="baseline"/>
        <w:rPr>
          <w:rFonts w:ascii="仿宋_GB2312" w:eastAsia="仿宋_GB2312" w:cs="DengXian-Regular"/>
          <w:sz w:val="32"/>
          <w:szCs w:val="32"/>
        </w:rPr>
      </w:pPr>
      <w:bookmarkStart w:id="38"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14:paraId="78D54B28">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14:paraId="497598D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14:paraId="3E7C4D7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14:paraId="34ADE7C7">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14:paraId="4518529D">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w:t>
      </w:r>
      <w:r>
        <w:rPr>
          <w:rFonts w:hint="eastAsia" w:ascii="仿宋_GB2312" w:eastAsia="仿宋_GB2312" w:cs="DengXian-Regular"/>
          <w:sz w:val="32"/>
          <w:szCs w:val="32"/>
          <w:lang w:eastAsia="zh-CN"/>
        </w:rPr>
        <w:t>〈</w:t>
      </w:r>
      <w:bookmarkStart w:id="80" w:name="_GoBack"/>
      <w:bookmarkEnd w:id="80"/>
      <w:r>
        <w:rPr>
          <w:rFonts w:hint="eastAsia" w:ascii="仿宋_GB2312" w:eastAsia="仿宋_GB2312" w:cs="DengXian-Regular"/>
          <w:sz w:val="32"/>
          <w:szCs w:val="32"/>
        </w:rPr>
        <w:t>全面实施预算绩效管理推进工作方案</w:t>
      </w:r>
      <w:r>
        <w:rPr>
          <w:rFonts w:hint="eastAsia" w:ascii="仿宋_GB2312" w:eastAsia="仿宋_GB2312" w:cs="DengXian-Regular"/>
          <w:sz w:val="32"/>
          <w:szCs w:val="32"/>
          <w:lang w:eastAsia="zh-CN"/>
        </w:rPr>
        <w:t>〉</w:t>
      </w:r>
      <w:r>
        <w:rPr>
          <w:rFonts w:hint="eastAsia" w:ascii="仿宋_GB2312" w:eastAsia="仿宋_GB2312" w:cs="DengXian-Regular"/>
          <w:sz w:val="32"/>
          <w:szCs w:val="32"/>
        </w:rPr>
        <w:t>的通知》（徐政财字〔2019〕33号）；</w:t>
      </w:r>
    </w:p>
    <w:p w14:paraId="52D651F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14:paraId="5E28C61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9" w:name="_Toc492652778"/>
    </w:p>
    <w:p w14:paraId="79ADE34A">
      <w:pPr>
        <w:pStyle w:val="4"/>
        <w:spacing w:before="0" w:after="0" w:line="540" w:lineRule="exact"/>
        <w:ind w:firstLine="643" w:firstLineChars="200"/>
        <w:jc w:val="both"/>
        <w:rPr>
          <w:rFonts w:ascii="楷体_GB2312" w:eastAsia="楷体_GB2312" w:hAnsiTheme="minorEastAsia"/>
          <w:kern w:val="2"/>
          <w:sz w:val="32"/>
        </w:rPr>
      </w:pPr>
      <w:bookmarkStart w:id="40" w:name="_Toc7609"/>
      <w:r>
        <w:rPr>
          <w:rFonts w:hint="eastAsia" w:ascii="楷体_GB2312" w:eastAsia="楷体_GB2312" w:hAnsiTheme="minorEastAsia"/>
          <w:kern w:val="2"/>
          <w:sz w:val="32"/>
        </w:rPr>
        <w:t>（三）绩效评价</w:t>
      </w:r>
      <w:bookmarkEnd w:id="39"/>
      <w:r>
        <w:rPr>
          <w:rFonts w:hint="eastAsia" w:ascii="楷体_GB2312" w:eastAsia="楷体_GB2312" w:hAnsiTheme="minorEastAsia"/>
          <w:kern w:val="2"/>
          <w:sz w:val="32"/>
        </w:rPr>
        <w:t>内容</w:t>
      </w:r>
      <w:bookmarkEnd w:id="40"/>
    </w:p>
    <w:bookmarkEnd w:id="38"/>
    <w:p w14:paraId="16285737">
      <w:pPr>
        <w:spacing w:after="0" w:line="540" w:lineRule="exact"/>
        <w:ind w:firstLine="640" w:firstLineChars="200"/>
        <w:jc w:val="both"/>
        <w:textAlignment w:val="baseline"/>
        <w:rPr>
          <w:rFonts w:ascii="仿宋_GB2312" w:eastAsia="仿宋_GB2312" w:cs="DengXian-Regular"/>
          <w:sz w:val="32"/>
          <w:szCs w:val="32"/>
        </w:rPr>
      </w:pPr>
      <w:bookmarkStart w:id="41" w:name="_Toc465149508"/>
      <w:bookmarkStart w:id="42" w:name="_Toc492652779"/>
      <w:r>
        <w:rPr>
          <w:rFonts w:hint="eastAsia" w:ascii="仿宋_GB2312" w:eastAsia="仿宋_GB2312" w:cs="DengXian-Regular"/>
          <w:sz w:val="32"/>
          <w:szCs w:val="32"/>
        </w:rPr>
        <w:t>区教体</w:t>
      </w:r>
      <w:r>
        <w:rPr>
          <w:rFonts w:ascii="仿宋_GB2312" w:eastAsia="仿宋_GB2312" w:cs="DengXian-Regular"/>
          <w:sz w:val="32"/>
          <w:szCs w:val="32"/>
        </w:rPr>
        <w:t>局</w:t>
      </w:r>
      <w:r>
        <w:rPr>
          <w:rFonts w:hint="eastAsia" w:ascii="仿宋_GB2312" w:eastAsia="仿宋_GB2312" w:cs="DengXian-Regular"/>
          <w:sz w:val="32"/>
          <w:szCs w:val="32"/>
        </w:rPr>
        <w:t>2021年部门整体支出绩效目标和指标的设置及完成情况；资金预算情况、实际收支情况及结转结余情况；部门履职对社会发展所带来的直接或间接影响及服务对象对部门履职效果的满意程度。</w:t>
      </w:r>
    </w:p>
    <w:p w14:paraId="0CD0ACB1">
      <w:pPr>
        <w:pStyle w:val="4"/>
        <w:spacing w:before="0" w:after="0" w:line="540" w:lineRule="exact"/>
        <w:ind w:firstLine="643" w:firstLineChars="200"/>
        <w:jc w:val="both"/>
        <w:rPr>
          <w:rFonts w:ascii="楷体_GB2312" w:eastAsia="楷体_GB2312" w:hAnsiTheme="minorEastAsia"/>
          <w:kern w:val="2"/>
          <w:sz w:val="32"/>
        </w:rPr>
      </w:pPr>
      <w:bookmarkStart w:id="43" w:name="_Toc789"/>
      <w:r>
        <w:rPr>
          <w:rFonts w:hint="eastAsia" w:ascii="楷体_GB2312" w:eastAsia="楷体_GB2312" w:hAnsiTheme="minorEastAsia"/>
          <w:kern w:val="2"/>
          <w:sz w:val="32"/>
        </w:rPr>
        <w:t>（四）绩效评价原则</w:t>
      </w:r>
      <w:bookmarkEnd w:id="43"/>
    </w:p>
    <w:p w14:paraId="6E987546">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14:paraId="0D981EC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14:paraId="75F9684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14:paraId="2E09636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14:paraId="18573B17">
      <w:pPr>
        <w:pStyle w:val="4"/>
        <w:spacing w:before="0" w:after="0" w:line="540" w:lineRule="exact"/>
        <w:ind w:firstLine="643" w:firstLineChars="200"/>
        <w:jc w:val="both"/>
        <w:rPr>
          <w:rFonts w:ascii="楷体_GB2312" w:eastAsia="楷体_GB2312" w:hAnsiTheme="minorEastAsia"/>
          <w:kern w:val="2"/>
          <w:sz w:val="32"/>
        </w:rPr>
      </w:pPr>
      <w:bookmarkStart w:id="44" w:name="_Toc8171"/>
      <w:r>
        <w:rPr>
          <w:rFonts w:hint="eastAsia" w:ascii="楷体_GB2312" w:eastAsia="楷体_GB2312" w:hAnsiTheme="minorEastAsia"/>
          <w:kern w:val="2"/>
          <w:sz w:val="32"/>
        </w:rPr>
        <w:t>（五）</w:t>
      </w:r>
      <w:bookmarkEnd w:id="41"/>
      <w:bookmarkStart w:id="45" w:name="_Toc465149509"/>
      <w:r>
        <w:rPr>
          <w:rFonts w:hint="eastAsia" w:ascii="楷体_GB2312" w:eastAsia="楷体_GB2312" w:hAnsiTheme="minorEastAsia"/>
          <w:kern w:val="2"/>
          <w:sz w:val="32"/>
        </w:rPr>
        <w:t>绩效评价方法</w:t>
      </w:r>
      <w:bookmarkEnd w:id="42"/>
      <w:bookmarkEnd w:id="44"/>
      <w:bookmarkEnd w:id="45"/>
    </w:p>
    <w:p w14:paraId="32DDF72A">
      <w:pPr>
        <w:spacing w:after="0" w:line="540" w:lineRule="exact"/>
        <w:ind w:firstLine="640" w:firstLineChars="200"/>
        <w:jc w:val="both"/>
        <w:textAlignment w:val="baseline"/>
        <w:rPr>
          <w:rFonts w:ascii="仿宋_GB2312" w:eastAsia="仿宋_GB2312" w:cs="DengXian-Regular"/>
          <w:sz w:val="32"/>
          <w:szCs w:val="32"/>
        </w:rPr>
      </w:pPr>
      <w:bookmarkStart w:id="46" w:name="_Toc421623217"/>
      <w:bookmarkStart w:id="47" w:name="_Toc422314152"/>
      <w:bookmarkStart w:id="48" w:name="_Toc465149510"/>
      <w:bookmarkStart w:id="49" w:name="_Toc49265278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6"/>
      <w:bookmarkEnd w:id="47"/>
    </w:p>
    <w:p w14:paraId="4205FA51">
      <w:pPr>
        <w:spacing w:after="0" w:line="540" w:lineRule="exact"/>
        <w:ind w:firstLine="640" w:firstLineChars="200"/>
        <w:jc w:val="both"/>
        <w:textAlignment w:val="baseline"/>
        <w:rPr>
          <w:rFonts w:ascii="仿宋_GB2312" w:eastAsia="仿宋_GB2312" w:cs="DengXian-Regular"/>
          <w:sz w:val="32"/>
          <w:szCs w:val="32"/>
        </w:rPr>
      </w:pPr>
      <w:bookmarkStart w:id="50" w:name="_Toc422314153"/>
      <w:bookmarkStart w:id="51"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50"/>
      <w:bookmarkEnd w:id="51"/>
    </w:p>
    <w:p w14:paraId="19ED124C">
      <w:pPr>
        <w:spacing w:after="0" w:line="540" w:lineRule="exact"/>
        <w:ind w:firstLine="640" w:firstLineChars="200"/>
        <w:jc w:val="both"/>
        <w:textAlignment w:val="baseline"/>
        <w:rPr>
          <w:rFonts w:ascii="仿宋_GB2312" w:eastAsia="仿宋_GB2312" w:cs="DengXian-Regular"/>
          <w:sz w:val="32"/>
          <w:szCs w:val="32"/>
        </w:rPr>
      </w:pPr>
      <w:bookmarkStart w:id="52" w:name="_Toc422314155"/>
      <w:bookmarkStart w:id="53"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52"/>
      <w:bookmarkEnd w:id="53"/>
    </w:p>
    <w:p w14:paraId="4CFC3DB1">
      <w:pPr>
        <w:spacing w:after="0" w:line="540" w:lineRule="exact"/>
        <w:ind w:firstLine="640" w:firstLineChars="200"/>
        <w:jc w:val="both"/>
        <w:textAlignment w:val="baseline"/>
        <w:rPr>
          <w:rFonts w:ascii="仿宋_GB2312" w:eastAsia="仿宋_GB2312" w:cs="DengXian-Regular"/>
          <w:sz w:val="32"/>
          <w:szCs w:val="32"/>
        </w:rPr>
      </w:pPr>
      <w:bookmarkStart w:id="54" w:name="_Toc422314156"/>
      <w:bookmarkStart w:id="55"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4"/>
      <w:bookmarkEnd w:id="55"/>
      <w:bookmarkStart w:id="56" w:name="_Toc20821"/>
    </w:p>
    <w:p w14:paraId="58E517A4">
      <w:pPr>
        <w:spacing w:after="0" w:line="540" w:lineRule="exact"/>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8"/>
      <w:bookmarkEnd w:id="49"/>
      <w:bookmarkEnd w:id="56"/>
    </w:p>
    <w:p w14:paraId="7D53B11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14:paraId="6E12D07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14:paraId="4F6A191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充分收集相关资料，主要包括部门职责、工作活动、预决算文本、相关管理制度、资金使用等相关资料，为制定绩效评价实施方案和指标体系奠定了基础。</w:t>
      </w:r>
    </w:p>
    <w:p w14:paraId="11944B1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14:paraId="77424BC3">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基于对教体</w:t>
      </w:r>
      <w:r>
        <w:rPr>
          <w:rFonts w:ascii="仿宋_GB2312" w:eastAsia="仿宋_GB2312" w:cs="DengXian-Regular"/>
          <w:sz w:val="32"/>
          <w:szCs w:val="32"/>
        </w:rPr>
        <w:t>局</w:t>
      </w:r>
      <w:r>
        <w:rPr>
          <w:rFonts w:hint="eastAsia" w:ascii="仿宋_GB2312" w:eastAsia="仿宋_GB2312" w:cs="DengXian-Regular"/>
          <w:sz w:val="32"/>
          <w:szCs w:val="32"/>
        </w:rPr>
        <w:t>相关资料的收集，制定绩效评价实施方案和体系,确定最终方案。</w:t>
      </w:r>
    </w:p>
    <w:p w14:paraId="3568800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14:paraId="72F8D8C7">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根据绩效评价实施方案和指标体系，对区教体</w:t>
      </w:r>
      <w:r>
        <w:rPr>
          <w:rFonts w:ascii="仿宋_GB2312" w:eastAsia="仿宋_GB2312" w:cs="DengXian-Regular"/>
          <w:sz w:val="32"/>
          <w:szCs w:val="32"/>
        </w:rPr>
        <w:t>局</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14:paraId="41C3D116">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p>
    <w:p w14:paraId="0503D0A8">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14:paraId="1B9ACD12">
      <w:pPr>
        <w:pStyle w:val="3"/>
        <w:spacing w:before="0" w:after="0" w:line="540" w:lineRule="exact"/>
        <w:ind w:firstLine="643" w:firstLineChars="200"/>
        <w:rPr>
          <w:rFonts w:ascii="黑体"/>
        </w:rPr>
      </w:pPr>
      <w:r>
        <w:rPr>
          <w:rFonts w:hint="eastAsia" w:ascii="黑体"/>
        </w:rPr>
        <w:t>四、</w:t>
      </w:r>
      <w:bookmarkEnd w:id="34"/>
      <w:bookmarkEnd w:id="35"/>
      <w:bookmarkStart w:id="57" w:name="_Toc492652782"/>
      <w:r>
        <w:rPr>
          <w:rFonts w:hint="eastAsia" w:ascii="黑体"/>
        </w:rPr>
        <w:t>绩效评价评分情况</w:t>
      </w:r>
      <w:bookmarkEnd w:id="36"/>
    </w:p>
    <w:bookmarkEnd w:id="57"/>
    <w:p w14:paraId="45BA77B1">
      <w:pPr>
        <w:spacing w:after="0" w:line="540" w:lineRule="exact"/>
        <w:ind w:firstLine="640" w:firstLineChars="200"/>
        <w:jc w:val="both"/>
        <w:textAlignment w:val="baseline"/>
        <w:rPr>
          <w:rFonts w:ascii="仿宋_GB2312" w:eastAsia="仿宋_GB2312" w:cs="Times New Roman" w:hAnsiTheme="minorEastAsia"/>
          <w:sz w:val="32"/>
          <w:szCs w:val="32"/>
          <w:u w:color="000000"/>
        </w:rPr>
      </w:pPr>
      <w:bookmarkStart w:id="58" w:name="_Toc13757"/>
      <w:bookmarkStart w:id="59" w:name="_Toc464638561"/>
      <w:bookmarkStart w:id="60" w:name="_Toc492652784"/>
      <w:bookmarkStart w:id="61" w:name="_Toc465149516"/>
      <w:r>
        <w:rPr>
          <w:rFonts w:hint="eastAsia" w:ascii="仿宋_GB2312" w:eastAsia="仿宋_GB2312" w:cs="DengXian-Regular"/>
          <w:sz w:val="32"/>
          <w:szCs w:val="32"/>
        </w:rPr>
        <w:t>区教体</w:t>
      </w:r>
      <w:r>
        <w:rPr>
          <w:rFonts w:ascii="仿宋_GB2312" w:eastAsia="仿宋_GB2312" w:cs="DengXian-Regular"/>
          <w:sz w:val="32"/>
          <w:szCs w:val="32"/>
        </w:rPr>
        <w:t>局</w:t>
      </w:r>
      <w:r>
        <w:rPr>
          <w:rFonts w:hint="eastAsia" w:ascii="仿宋_GB2312" w:eastAsia="仿宋_GB2312" w:cs="DengXian-Regular"/>
          <w:sz w:val="32"/>
          <w:szCs w:val="32"/>
        </w:rPr>
        <w:t>部门整体支出绩效评价总得分为</w:t>
      </w:r>
      <w:r>
        <w:rPr>
          <w:rFonts w:ascii="仿宋_GB2312" w:eastAsia="仿宋_GB2312" w:cs="DengXian-Regular"/>
          <w:sz w:val="32"/>
          <w:szCs w:val="32"/>
        </w:rPr>
        <w:t>97.7</w:t>
      </w:r>
      <w:r>
        <w:rPr>
          <w:rFonts w:hint="eastAsia" w:ascii="仿宋_GB2312" w:eastAsia="仿宋_GB2312" w:cs="DengXian-Regular"/>
          <w:sz w:val="32"/>
          <w:szCs w:val="32"/>
        </w:rPr>
        <w:t>分，综合绩效评价等级为“优”。各项得分情况如下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14:paraId="5926F74A">
      <w:pPr>
        <w:pStyle w:val="4"/>
        <w:spacing w:before="0" w:after="0" w:line="540" w:lineRule="exact"/>
        <w:ind w:firstLine="643" w:firstLineChars="200"/>
        <w:jc w:val="both"/>
        <w:rPr>
          <w:rFonts w:ascii="楷体_GB2312" w:eastAsia="楷体_GB2312" w:hAnsiTheme="minorEastAsia"/>
          <w:kern w:val="2"/>
          <w:sz w:val="32"/>
        </w:rPr>
      </w:pPr>
      <w:bookmarkStart w:id="62" w:name="_Toc492652783"/>
      <w:bookmarkStart w:id="63" w:name="_Toc4390"/>
      <w:r>
        <w:rPr>
          <w:rFonts w:hint="eastAsia" w:ascii="楷体_GB2312" w:eastAsia="楷体_GB2312" w:hAnsiTheme="minorEastAsia"/>
          <w:kern w:val="2"/>
          <w:sz w:val="32"/>
        </w:rPr>
        <w:t>（一）</w:t>
      </w:r>
      <w:bookmarkEnd w:id="62"/>
      <w:r>
        <w:rPr>
          <w:rFonts w:hint="eastAsia" w:ascii="楷体_GB2312" w:eastAsia="楷体_GB2312" w:hAnsiTheme="minorEastAsia"/>
          <w:kern w:val="2"/>
          <w:sz w:val="32"/>
        </w:rPr>
        <w:t>投入（1</w:t>
      </w:r>
      <w:r>
        <w:rPr>
          <w:rFonts w:ascii="楷体_GB2312" w:eastAsia="楷体_GB2312" w:hAnsiTheme="minorEastAsia"/>
          <w:kern w:val="2"/>
          <w:sz w:val="32"/>
        </w:rPr>
        <w:t>6</w:t>
      </w:r>
      <w:r>
        <w:rPr>
          <w:rFonts w:hint="eastAsia" w:ascii="楷体_GB2312" w:eastAsia="楷体_GB2312" w:hAnsiTheme="minorEastAsia"/>
          <w:kern w:val="2"/>
          <w:sz w:val="32"/>
        </w:rPr>
        <w:t>分）</w:t>
      </w:r>
      <w:bookmarkEnd w:id="63"/>
    </w:p>
    <w:p w14:paraId="4FF23721">
      <w:pPr>
        <w:spacing w:after="0" w:line="54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14:paraId="2C0D2379">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14:paraId="72C4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14:paraId="47523A08">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14:paraId="4B703241">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14:paraId="195113D8">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14:paraId="7835EC0A">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14:paraId="5CBAAF1B">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14:paraId="6D3FC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14:paraId="0F1C949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14:paraId="1FF6BE5F">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6</w:t>
            </w:r>
            <w:r>
              <w:rPr>
                <w:rFonts w:hint="eastAsia" w:cs="宋体" w:asciiTheme="minorEastAsia" w:hAnsiTheme="minorEastAsia" w:eastAsiaTheme="minorEastAsia"/>
                <w:sz w:val="21"/>
                <w:szCs w:val="21"/>
              </w:rPr>
              <w:t>分）</w:t>
            </w:r>
          </w:p>
        </w:tc>
        <w:tc>
          <w:tcPr>
            <w:tcW w:w="1418" w:type="dxa"/>
            <w:vMerge w:val="restart"/>
            <w:vAlign w:val="center"/>
          </w:tcPr>
          <w:p w14:paraId="4E771BA3">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w:t>
            </w:r>
            <w:r>
              <w:rPr>
                <w:rFonts w:cs="宋体" w:asciiTheme="minorEastAsia" w:hAnsiTheme="minorEastAsia" w:eastAsiaTheme="minorEastAsia"/>
                <w:sz w:val="21"/>
                <w:szCs w:val="21"/>
              </w:rPr>
              <w:t>7</w:t>
            </w:r>
            <w:r>
              <w:rPr>
                <w:rFonts w:hint="eastAsia" w:cs="宋体" w:asciiTheme="minorEastAsia" w:hAnsiTheme="minorEastAsia" w:eastAsiaTheme="minorEastAsia"/>
                <w:sz w:val="21"/>
                <w:szCs w:val="21"/>
              </w:rPr>
              <w:t>分）</w:t>
            </w:r>
          </w:p>
        </w:tc>
        <w:tc>
          <w:tcPr>
            <w:tcW w:w="1701" w:type="dxa"/>
            <w:vAlign w:val="center"/>
          </w:tcPr>
          <w:p w14:paraId="094A751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14:paraId="2B31060F">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c>
          <w:tcPr>
            <w:tcW w:w="1134" w:type="dxa"/>
            <w:vAlign w:val="center"/>
          </w:tcPr>
          <w:p w14:paraId="1A43425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CD0A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5792B1B8">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61F8BBBB">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2583F0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14:paraId="14043AF7">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c>
          <w:tcPr>
            <w:tcW w:w="1134" w:type="dxa"/>
            <w:vAlign w:val="center"/>
          </w:tcPr>
          <w:p w14:paraId="353E8C7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20710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7473019C">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14:paraId="045C4D5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14:paraId="729A290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9</w:t>
            </w:r>
            <w:r>
              <w:rPr>
                <w:rFonts w:hint="eastAsia" w:cs="宋体" w:asciiTheme="minorEastAsia" w:hAnsiTheme="minorEastAsia" w:eastAsiaTheme="minorEastAsia"/>
                <w:sz w:val="21"/>
                <w:szCs w:val="21"/>
              </w:rPr>
              <w:t>分）</w:t>
            </w:r>
          </w:p>
        </w:tc>
        <w:tc>
          <w:tcPr>
            <w:tcW w:w="1701" w:type="dxa"/>
            <w:vAlign w:val="center"/>
          </w:tcPr>
          <w:p w14:paraId="15AD916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w:t>
            </w:r>
            <w:r>
              <w:rPr>
                <w:rFonts w:cs="宋体" w:asciiTheme="minorEastAsia" w:hAnsiTheme="minorEastAsia" w:eastAsiaTheme="minorEastAsia"/>
                <w:sz w:val="21"/>
                <w:szCs w:val="21"/>
              </w:rPr>
              <w:t>经费变动率</w:t>
            </w:r>
          </w:p>
        </w:tc>
        <w:tc>
          <w:tcPr>
            <w:tcW w:w="1276" w:type="dxa"/>
            <w:vAlign w:val="center"/>
          </w:tcPr>
          <w:p w14:paraId="13AA34FD">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c>
          <w:tcPr>
            <w:tcW w:w="1134" w:type="dxa"/>
            <w:vAlign w:val="center"/>
          </w:tcPr>
          <w:p w14:paraId="78E52A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6F87F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1E5D68D8">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5031D4F1">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75561AD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重点支出</w:t>
            </w:r>
            <w:r>
              <w:rPr>
                <w:rFonts w:cs="宋体" w:asciiTheme="minorEastAsia" w:hAnsiTheme="minorEastAsia" w:eastAsiaTheme="minorEastAsia"/>
                <w:sz w:val="21"/>
                <w:szCs w:val="21"/>
              </w:rPr>
              <w:t>安排</w:t>
            </w:r>
            <w:r>
              <w:rPr>
                <w:rFonts w:hint="eastAsia" w:cs="宋体" w:asciiTheme="minorEastAsia" w:hAnsiTheme="minorEastAsia" w:eastAsiaTheme="minorEastAsia"/>
                <w:sz w:val="21"/>
                <w:szCs w:val="21"/>
              </w:rPr>
              <w:t>率</w:t>
            </w:r>
          </w:p>
        </w:tc>
        <w:tc>
          <w:tcPr>
            <w:tcW w:w="1276" w:type="dxa"/>
            <w:vAlign w:val="center"/>
          </w:tcPr>
          <w:p w14:paraId="1ACF0FDE">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c>
          <w:tcPr>
            <w:tcW w:w="1134" w:type="dxa"/>
            <w:vAlign w:val="center"/>
          </w:tcPr>
          <w:p w14:paraId="18A6DAE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E9E4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14:paraId="6BF1A5E7">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14:paraId="4A7B26BB">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14:paraId="4EE33D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14:paraId="37B631D7">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c>
          <w:tcPr>
            <w:tcW w:w="1134" w:type="dxa"/>
            <w:vAlign w:val="center"/>
          </w:tcPr>
          <w:p w14:paraId="425B847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5B3AA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14:paraId="422F3748">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14:paraId="4E200F09">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14:paraId="4FA6C05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6</w:t>
            </w:r>
          </w:p>
        </w:tc>
        <w:tc>
          <w:tcPr>
            <w:tcW w:w="1134" w:type="dxa"/>
            <w:vAlign w:val="center"/>
          </w:tcPr>
          <w:p w14:paraId="2D576AC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w:t>
            </w:r>
          </w:p>
        </w:tc>
      </w:tr>
    </w:tbl>
    <w:p w14:paraId="2D72046F">
      <w:pPr>
        <w:spacing w:after="0" w:line="540" w:lineRule="exact"/>
        <w:ind w:firstLine="640" w:firstLineChars="200"/>
        <w:jc w:val="both"/>
        <w:textAlignment w:val="baseline"/>
        <w:rPr>
          <w:rFonts w:ascii="仿宋_GB2312" w:eastAsia="仿宋_GB2312" w:cs="DengXian-Regular"/>
          <w:sz w:val="32"/>
          <w:szCs w:val="32"/>
        </w:rPr>
      </w:pPr>
      <w:bookmarkStart w:id="64" w:name="_Toc464638478"/>
      <w:bookmarkStart w:id="65" w:name="_Toc465149513"/>
      <w:r>
        <w:rPr>
          <w:rFonts w:hint="eastAsia" w:ascii="仿宋_GB2312" w:eastAsia="仿宋_GB2312" w:cs="DengXian-Regular"/>
          <w:sz w:val="32"/>
          <w:szCs w:val="32"/>
        </w:rPr>
        <w:t>1.绩效目标设定（</w:t>
      </w:r>
      <w:r>
        <w:rPr>
          <w:rFonts w:ascii="仿宋_GB2312" w:eastAsia="仿宋_GB2312" w:cs="DengXian-Regular"/>
          <w:sz w:val="32"/>
          <w:szCs w:val="32"/>
        </w:rPr>
        <w:t>7</w:t>
      </w:r>
      <w:r>
        <w:rPr>
          <w:rFonts w:hint="eastAsia" w:ascii="仿宋_GB2312" w:eastAsia="仿宋_GB2312" w:cs="DengXian-Regular"/>
          <w:sz w:val="32"/>
          <w:szCs w:val="32"/>
        </w:rPr>
        <w:t>分）</w:t>
      </w:r>
    </w:p>
    <w:p w14:paraId="7F0E63A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w:t>
      </w:r>
      <w:r>
        <w:rPr>
          <w:rFonts w:ascii="仿宋_GB2312" w:eastAsia="仿宋_GB2312" w:cs="DengXian-Regular"/>
          <w:sz w:val="32"/>
          <w:szCs w:val="32"/>
        </w:rPr>
        <w:t>4</w:t>
      </w:r>
      <w:r>
        <w:rPr>
          <w:rFonts w:hint="eastAsia" w:ascii="仿宋_GB2312" w:eastAsia="仿宋_GB2312" w:cs="DengXian-Regular"/>
          <w:sz w:val="32"/>
          <w:szCs w:val="32"/>
        </w:rPr>
        <w:t>分)</w:t>
      </w:r>
    </w:p>
    <w:p w14:paraId="084C8646">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14:paraId="22AE21B7">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通过对比保定市徐水区委办公室及保定市徐水区人民政府办公室印发的《保定市徐水区教育</w:t>
      </w:r>
      <w:r>
        <w:rPr>
          <w:rFonts w:ascii="仿宋_GB2312" w:eastAsia="仿宋_GB2312" w:cs="DengXian-Regular"/>
          <w:sz w:val="32"/>
          <w:szCs w:val="32"/>
        </w:rPr>
        <w:t>和体</w:t>
      </w:r>
      <w:r>
        <w:rPr>
          <w:rFonts w:hint="eastAsia" w:ascii="仿宋_GB2312" w:eastAsia="仿宋_GB2312" w:cs="DengXian-Regular"/>
          <w:sz w:val="32"/>
          <w:szCs w:val="32"/>
        </w:rPr>
        <w:t>育</w:t>
      </w:r>
      <w:r>
        <w:rPr>
          <w:rFonts w:ascii="仿宋_GB2312" w:eastAsia="仿宋_GB2312" w:cs="DengXian-Regular"/>
          <w:sz w:val="32"/>
          <w:szCs w:val="32"/>
        </w:rPr>
        <w:t>局</w:t>
      </w:r>
      <w:r>
        <w:rPr>
          <w:rFonts w:hint="eastAsia" w:ascii="仿宋_GB2312" w:eastAsia="仿宋_GB2312" w:cs="DengXian-Regular"/>
          <w:sz w:val="32"/>
          <w:szCs w:val="32"/>
        </w:rPr>
        <w:t>职能配置内设机构和人员编制规定》和徐水区教育</w:t>
      </w:r>
      <w:r>
        <w:rPr>
          <w:rFonts w:ascii="仿宋_GB2312" w:eastAsia="仿宋_GB2312" w:cs="DengXian-Regular"/>
          <w:sz w:val="32"/>
          <w:szCs w:val="32"/>
        </w:rPr>
        <w:t>和体育局</w:t>
      </w:r>
      <w:r>
        <w:rPr>
          <w:rFonts w:hint="eastAsia" w:ascii="仿宋_GB2312" w:eastAsia="仿宋_GB2312" w:cs="DengXian-Regular"/>
          <w:sz w:val="32"/>
          <w:szCs w:val="32"/>
        </w:rPr>
        <w:t>2020年预算文本—部门职责工作活动绩效目标，评价工作组认为区教体</w:t>
      </w:r>
      <w:r>
        <w:rPr>
          <w:rFonts w:ascii="仿宋_GB2312" w:eastAsia="仿宋_GB2312" w:cs="DengXian-Regular"/>
          <w:sz w:val="32"/>
          <w:szCs w:val="32"/>
        </w:rPr>
        <w:t>局</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14:paraId="75F9A3F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1559EB5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2</w:t>
      </w:r>
      <w:r>
        <w:rPr>
          <w:rFonts w:hint="eastAsia" w:ascii="仿宋_GB2312" w:eastAsia="仿宋_GB2312" w:cs="DengXian-Regular"/>
          <w:sz w:val="32"/>
          <w:szCs w:val="32"/>
        </w:rPr>
        <w:t>）绩效目标明确性（</w:t>
      </w:r>
      <w:r>
        <w:rPr>
          <w:rFonts w:ascii="仿宋_GB2312" w:eastAsia="仿宋_GB2312" w:cs="DengXian-Regular"/>
          <w:sz w:val="32"/>
          <w:szCs w:val="32"/>
        </w:rPr>
        <w:t>3</w:t>
      </w:r>
      <w:r>
        <w:rPr>
          <w:rFonts w:hint="eastAsia" w:ascii="仿宋_GB2312" w:eastAsia="仿宋_GB2312" w:cs="DengXian-Regular"/>
          <w:sz w:val="32"/>
          <w:szCs w:val="32"/>
        </w:rPr>
        <w:t>分）</w:t>
      </w:r>
    </w:p>
    <w:p w14:paraId="7F2D5941">
      <w:pPr>
        <w:spacing w:after="0" w:line="540" w:lineRule="exact"/>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14:paraId="7B8E1B0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根据区教体</w:t>
      </w:r>
      <w:r>
        <w:rPr>
          <w:rFonts w:ascii="仿宋_GB2312" w:eastAsia="仿宋_GB2312" w:cs="DengXian-Regular"/>
          <w:sz w:val="32"/>
          <w:szCs w:val="32"/>
        </w:rPr>
        <w:t>局</w:t>
      </w:r>
      <w:r>
        <w:rPr>
          <w:rFonts w:hint="eastAsia" w:ascii="仿宋_GB2312" w:eastAsia="仿宋_GB2312" w:cs="DengXian-Regular"/>
          <w:sz w:val="32"/>
          <w:szCs w:val="32"/>
        </w:rPr>
        <w:t>2020年预算文本—部门职责工作活动绩效目标,该指标实际得分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7033BD4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w:t>
      </w:r>
      <w:r>
        <w:rPr>
          <w:rFonts w:ascii="仿宋_GB2312" w:eastAsia="仿宋_GB2312" w:cs="DengXian-Regular"/>
          <w:sz w:val="32"/>
          <w:szCs w:val="32"/>
        </w:rPr>
        <w:t>9</w:t>
      </w:r>
      <w:r>
        <w:rPr>
          <w:rFonts w:hint="eastAsia" w:ascii="仿宋_GB2312" w:eastAsia="仿宋_GB2312" w:cs="DengXian-Regular"/>
          <w:sz w:val="32"/>
          <w:szCs w:val="32"/>
        </w:rPr>
        <w:t>分）</w:t>
      </w:r>
    </w:p>
    <w:p w14:paraId="07BB26C4">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（1）三公</w:t>
      </w:r>
      <w:r>
        <w:rPr>
          <w:rFonts w:ascii="仿宋_GB2312" w:eastAsia="仿宋_GB2312" w:cs="DengXian-Regular"/>
          <w:sz w:val="32"/>
          <w:szCs w:val="32"/>
        </w:rPr>
        <w:t>经费变动率</w:t>
      </w:r>
      <w:r>
        <w:rPr>
          <w:rFonts w:hint="eastAsia" w:ascii="仿宋_GB2312" w:eastAsia="仿宋_GB2312" w:cs="DengXian-Regular"/>
          <w:sz w:val="32"/>
          <w:szCs w:val="32"/>
        </w:rPr>
        <w:t>（</w:t>
      </w:r>
      <w:r>
        <w:rPr>
          <w:rFonts w:ascii="仿宋_GB2312" w:eastAsia="仿宋_GB2312" w:cs="DengXian-Regular"/>
          <w:sz w:val="32"/>
          <w:szCs w:val="32"/>
        </w:rPr>
        <w:t>3</w:t>
      </w:r>
      <w:r>
        <w:rPr>
          <w:rFonts w:hint="eastAsia" w:ascii="仿宋_GB2312" w:eastAsia="仿宋_GB2312" w:cs="DengXian-Regular"/>
          <w:sz w:val="32"/>
          <w:szCs w:val="32"/>
        </w:rPr>
        <w:t>分）</w:t>
      </w:r>
    </w:p>
    <w:p w14:paraId="79657EC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该指标主要评价部门“三公经费”预算数与上年度“三公经费”预算数的变动比率，用以反映和考核部门（单位）对控制重点行政成本的努力程度。</w:t>
      </w:r>
    </w:p>
    <w:p w14:paraId="2B8C325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根据区教体</w:t>
      </w:r>
      <w:r>
        <w:rPr>
          <w:rFonts w:ascii="仿宋_GB2312" w:eastAsia="仿宋_GB2312" w:cs="DengXian-Regular"/>
          <w:sz w:val="32"/>
          <w:szCs w:val="32"/>
        </w:rPr>
        <w:t>局</w:t>
      </w:r>
      <w:r>
        <w:rPr>
          <w:rFonts w:hint="eastAsia" w:ascii="仿宋_GB2312" w:eastAsia="仿宋_GB2312" w:cs="DengXian-Regular"/>
          <w:sz w:val="32"/>
          <w:szCs w:val="32"/>
        </w:rPr>
        <w:t>2020年预算文本及相关会计资料，该指标实际得分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0BD67B98">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（2）重点支出</w:t>
      </w:r>
      <w:r>
        <w:rPr>
          <w:rFonts w:ascii="仿宋_GB2312" w:eastAsia="仿宋_GB2312" w:cs="DengXian-Regular"/>
          <w:sz w:val="32"/>
          <w:szCs w:val="32"/>
        </w:rPr>
        <w:t>安排</w:t>
      </w:r>
      <w:r>
        <w:rPr>
          <w:rFonts w:hint="eastAsia" w:ascii="仿宋_GB2312" w:eastAsia="仿宋_GB2312" w:cs="DengXian-Regular"/>
          <w:sz w:val="32"/>
          <w:szCs w:val="32"/>
        </w:rPr>
        <w:t>率（</w:t>
      </w:r>
      <w:r>
        <w:rPr>
          <w:rFonts w:ascii="仿宋_GB2312" w:eastAsia="仿宋_GB2312" w:cs="DengXian-Regular"/>
          <w:sz w:val="32"/>
          <w:szCs w:val="32"/>
        </w:rPr>
        <w:t>3</w:t>
      </w:r>
      <w:r>
        <w:rPr>
          <w:rFonts w:hint="eastAsia" w:ascii="仿宋_GB2312" w:eastAsia="仿宋_GB2312" w:cs="DengXian-Regular"/>
          <w:sz w:val="32"/>
          <w:szCs w:val="32"/>
        </w:rPr>
        <w:t>分）</w:t>
      </w:r>
    </w:p>
    <w:p w14:paraId="2BB22B3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该指标主要评价部门（单位）本年度预算安排的重点项目支出与部门项目总支出的比率，用以反映和考核部门（单位）对履行主要职责或完成重点任务的保障程度。</w:t>
      </w:r>
    </w:p>
    <w:p w14:paraId="0721257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重点支出安排率=（重点项目支出/项目总支出）×100%。</w:t>
      </w:r>
    </w:p>
    <w:p w14:paraId="42BC206D">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重点项目支出：部门（单位）年度预算安排的，与本部门履职和发展密切相关、具有明显社会和经济影响、党委政府关心或社会比较关注的项目支出总额。</w:t>
      </w:r>
    </w:p>
    <w:p w14:paraId="440E3E6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项目总支出：部门（单位）年度预算安排的项目支出总额。</w:t>
      </w:r>
    </w:p>
    <w:p w14:paraId="0B7F9CA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7C921B6D">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w:t>
      </w:r>
      <w:r>
        <w:rPr>
          <w:rFonts w:ascii="仿宋_GB2312" w:eastAsia="仿宋_GB2312" w:cs="DengXian-Regular"/>
          <w:sz w:val="32"/>
          <w:szCs w:val="32"/>
        </w:rPr>
        <w:t>3</w:t>
      </w:r>
      <w:r>
        <w:rPr>
          <w:rFonts w:hint="eastAsia" w:ascii="仿宋_GB2312" w:eastAsia="仿宋_GB2312" w:cs="DengXian-Regular"/>
          <w:sz w:val="32"/>
          <w:szCs w:val="32"/>
        </w:rPr>
        <w:t>分）</w:t>
      </w:r>
    </w:p>
    <w:p w14:paraId="4985FB3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该指标主要考核截至2020年底区教体</w:t>
      </w:r>
      <w:r>
        <w:rPr>
          <w:rFonts w:ascii="仿宋_GB2312" w:eastAsia="仿宋_GB2312" w:cs="DengXian-Regular"/>
          <w:sz w:val="32"/>
          <w:szCs w:val="32"/>
        </w:rPr>
        <w:t>局</w:t>
      </w:r>
      <w:r>
        <w:rPr>
          <w:rFonts w:hint="eastAsia" w:ascii="仿宋_GB2312" w:eastAsia="仿宋_GB2312" w:cs="DengXian-Regular"/>
          <w:sz w:val="32"/>
          <w:szCs w:val="32"/>
        </w:rPr>
        <w:t>在职人员控制情况，通过在职人员控制率衡量。</w:t>
      </w:r>
    </w:p>
    <w:p w14:paraId="476DC55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14:paraId="0BF5A65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根据保定市徐水区委办公室及保定市徐水区人民政府办公室关于印发《保定市徐水区教育</w:t>
      </w:r>
      <w:r>
        <w:rPr>
          <w:rFonts w:ascii="仿宋_GB2312" w:eastAsia="仿宋_GB2312" w:cs="DengXian-Regular"/>
          <w:sz w:val="32"/>
          <w:szCs w:val="32"/>
        </w:rPr>
        <w:t>和体育局</w:t>
      </w:r>
      <w:r>
        <w:rPr>
          <w:rFonts w:hint="eastAsia" w:ascii="仿宋_GB2312" w:eastAsia="仿宋_GB2312" w:cs="DengXian-Regular"/>
          <w:sz w:val="32"/>
          <w:szCs w:val="32"/>
        </w:rPr>
        <w:t>职能配置内设机构和人员编制规定》的通知，徐水区教体</w:t>
      </w:r>
      <w:r>
        <w:rPr>
          <w:rFonts w:ascii="仿宋_GB2312" w:eastAsia="仿宋_GB2312" w:cs="DengXian-Regular"/>
          <w:sz w:val="32"/>
          <w:szCs w:val="32"/>
        </w:rPr>
        <w:t>局</w:t>
      </w:r>
      <w:r>
        <w:rPr>
          <w:rFonts w:hint="eastAsia" w:ascii="仿宋_GB2312" w:eastAsia="仿宋_GB2312" w:cs="DengXian-Regular"/>
          <w:sz w:val="32"/>
          <w:szCs w:val="32"/>
        </w:rPr>
        <w:t>人员编制为</w:t>
      </w:r>
      <w:r>
        <w:rPr>
          <w:rFonts w:ascii="仿宋_GB2312" w:eastAsia="仿宋_GB2312" w:cs="DengXian-Regular"/>
          <w:sz w:val="32"/>
          <w:szCs w:val="32"/>
        </w:rPr>
        <w:t>5844</w:t>
      </w:r>
      <w:r>
        <w:rPr>
          <w:rFonts w:hint="eastAsia" w:ascii="仿宋_GB2312" w:eastAsia="仿宋_GB2312" w:cs="DengXian-Regular"/>
          <w:sz w:val="32"/>
          <w:szCs w:val="32"/>
        </w:rPr>
        <w:t>人，根据区教体</w:t>
      </w:r>
      <w:r>
        <w:rPr>
          <w:rFonts w:ascii="仿宋_GB2312" w:eastAsia="仿宋_GB2312" w:cs="DengXian-Regular"/>
          <w:sz w:val="32"/>
          <w:szCs w:val="32"/>
        </w:rPr>
        <w:t>局</w:t>
      </w:r>
      <w:r>
        <w:rPr>
          <w:rFonts w:hint="eastAsia" w:ascii="仿宋_GB2312" w:eastAsia="仿宋_GB2312" w:cs="DengXian-Regular"/>
          <w:sz w:val="32"/>
          <w:szCs w:val="32"/>
        </w:rPr>
        <w:t>2020年决算文本-部门基本情况表，截至2020年底，在职人员</w:t>
      </w:r>
      <w:r>
        <w:rPr>
          <w:rFonts w:ascii="仿宋_GB2312" w:eastAsia="仿宋_GB2312" w:cs="DengXian-Regular"/>
          <w:sz w:val="32"/>
          <w:szCs w:val="32"/>
        </w:rPr>
        <w:t>5478</w:t>
      </w:r>
      <w:r>
        <w:rPr>
          <w:rFonts w:hint="eastAsia" w:ascii="仿宋_GB2312" w:eastAsia="仿宋_GB2312" w:cs="DengXian-Regular"/>
          <w:sz w:val="32"/>
          <w:szCs w:val="32"/>
        </w:rPr>
        <w:t>人，在职人员控制率=（</w:t>
      </w:r>
      <w:r>
        <w:rPr>
          <w:rFonts w:ascii="仿宋_GB2312" w:eastAsia="仿宋_GB2312" w:cs="DengXian-Regular"/>
          <w:sz w:val="32"/>
          <w:szCs w:val="32"/>
        </w:rPr>
        <w:t>5478</w:t>
      </w:r>
      <w:r>
        <w:rPr>
          <w:rFonts w:hint="eastAsia" w:ascii="仿宋_GB2312" w:eastAsia="仿宋_GB2312" w:cs="DengXian-Regular"/>
          <w:sz w:val="32"/>
          <w:szCs w:val="32"/>
        </w:rPr>
        <w:t>/</w:t>
      </w:r>
      <w:r>
        <w:rPr>
          <w:rFonts w:ascii="仿宋_GB2312" w:eastAsia="仿宋_GB2312" w:cs="DengXian-Regular"/>
          <w:sz w:val="32"/>
          <w:szCs w:val="32"/>
        </w:rPr>
        <w:t>5844</w:t>
      </w:r>
      <w:r>
        <w:rPr>
          <w:rFonts w:hint="eastAsia" w:ascii="仿宋_GB2312" w:eastAsia="仿宋_GB2312" w:cs="DengXian-Regular"/>
          <w:sz w:val="32"/>
          <w:szCs w:val="32"/>
        </w:rPr>
        <w:t>）*100%=</w:t>
      </w:r>
      <w:r>
        <w:rPr>
          <w:rFonts w:ascii="仿宋_GB2312" w:eastAsia="仿宋_GB2312" w:cs="DengXian-Regular"/>
          <w:sz w:val="32"/>
          <w:szCs w:val="32"/>
        </w:rPr>
        <w:t>93.74</w:t>
      </w:r>
      <w:r>
        <w:rPr>
          <w:rFonts w:hint="eastAsia" w:ascii="仿宋_GB2312" w:eastAsia="仿宋_GB2312" w:cs="DengXian-Regular"/>
          <w:sz w:val="32"/>
          <w:szCs w:val="32"/>
        </w:rPr>
        <w:t>%。</w:t>
      </w:r>
    </w:p>
    <w:p w14:paraId="478204E8">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bookmarkEnd w:id="64"/>
    <w:bookmarkEnd w:id="65"/>
    <w:p w14:paraId="51F668F3">
      <w:pPr>
        <w:pStyle w:val="4"/>
        <w:spacing w:before="0" w:after="0" w:line="540" w:lineRule="exact"/>
        <w:ind w:firstLine="643" w:firstLineChars="200"/>
        <w:jc w:val="both"/>
        <w:rPr>
          <w:rFonts w:ascii="楷体" w:hAnsi="楷体" w:eastAsia="楷体"/>
          <w:sz w:val="32"/>
        </w:rPr>
      </w:pPr>
      <w:bookmarkStart w:id="66" w:name="_Toc19940"/>
      <w:r>
        <w:rPr>
          <w:rFonts w:hint="eastAsia" w:ascii="楷体" w:hAnsi="楷体" w:eastAsia="楷体"/>
          <w:sz w:val="32"/>
        </w:rPr>
        <w:t>（二）过程（</w:t>
      </w:r>
      <w:r>
        <w:rPr>
          <w:rFonts w:ascii="楷体" w:hAnsi="楷体" w:eastAsia="楷体"/>
          <w:sz w:val="32"/>
        </w:rPr>
        <w:t>56</w:t>
      </w:r>
      <w:r>
        <w:rPr>
          <w:rFonts w:hint="eastAsia" w:ascii="楷体" w:hAnsi="楷体" w:eastAsia="楷体"/>
          <w:sz w:val="32"/>
        </w:rPr>
        <w:t>分）</w:t>
      </w:r>
      <w:bookmarkEnd w:id="66"/>
    </w:p>
    <w:p w14:paraId="209CD1AF">
      <w:pPr>
        <w:spacing w:after="0" w:line="540" w:lineRule="exact"/>
        <w:ind w:firstLine="640" w:firstLineChars="200"/>
        <w:jc w:val="both"/>
        <w:textAlignment w:val="baseline"/>
        <w:rPr>
          <w:rFonts w:ascii="仿宋_GB2312" w:eastAsia="仿宋_GB2312" w:cs="DengXian-Regular"/>
          <w:sz w:val="32"/>
          <w:szCs w:val="32"/>
        </w:rPr>
      </w:pPr>
      <w:bookmarkStart w:id="67"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14:paraId="1C2E7E12">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14:paraId="4379E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14:paraId="0F4641BB">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14:paraId="7B18B12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14:paraId="25D65CD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14:paraId="485437C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14:paraId="5000592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4E17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14:paraId="3DCD248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w:t>
            </w:r>
            <w:r>
              <w:rPr>
                <w:rFonts w:cs="宋体" w:asciiTheme="minorEastAsia" w:hAnsiTheme="minorEastAsia" w:eastAsiaTheme="minorEastAsia"/>
                <w:sz w:val="21"/>
                <w:szCs w:val="21"/>
              </w:rPr>
              <w:t>56</w:t>
            </w:r>
            <w:r>
              <w:rPr>
                <w:rFonts w:hint="eastAsia" w:cs="宋体" w:asciiTheme="minorEastAsia" w:hAnsiTheme="minorEastAsia" w:eastAsiaTheme="minorEastAsia"/>
                <w:sz w:val="21"/>
                <w:szCs w:val="21"/>
              </w:rPr>
              <w:t>分）</w:t>
            </w:r>
          </w:p>
        </w:tc>
        <w:tc>
          <w:tcPr>
            <w:tcW w:w="1388" w:type="dxa"/>
            <w:vMerge w:val="restart"/>
            <w:vAlign w:val="center"/>
          </w:tcPr>
          <w:p w14:paraId="1A96168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14:paraId="4CDDC7F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28</w:t>
            </w:r>
            <w:r>
              <w:rPr>
                <w:rFonts w:hint="eastAsia" w:cs="宋体" w:asciiTheme="minorEastAsia" w:hAnsiTheme="minorEastAsia" w:eastAsiaTheme="minorEastAsia"/>
                <w:sz w:val="21"/>
                <w:szCs w:val="21"/>
              </w:rPr>
              <w:t>分）</w:t>
            </w:r>
          </w:p>
        </w:tc>
        <w:tc>
          <w:tcPr>
            <w:tcW w:w="2277" w:type="dxa"/>
            <w:vAlign w:val="center"/>
          </w:tcPr>
          <w:p w14:paraId="6C9DF4DE">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预算调整率</w:t>
            </w:r>
          </w:p>
        </w:tc>
        <w:tc>
          <w:tcPr>
            <w:tcW w:w="1155" w:type="dxa"/>
            <w:vAlign w:val="center"/>
          </w:tcPr>
          <w:p w14:paraId="13E99C38">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c>
          <w:tcPr>
            <w:tcW w:w="1276" w:type="dxa"/>
            <w:vAlign w:val="center"/>
          </w:tcPr>
          <w:p w14:paraId="7A1FC4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4399B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56E236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CA93234">
            <w:pPr>
              <w:spacing w:line="420" w:lineRule="exact"/>
              <w:jc w:val="center"/>
              <w:rPr>
                <w:rFonts w:cs="宋体" w:asciiTheme="minorEastAsia" w:hAnsiTheme="minorEastAsia" w:eastAsiaTheme="minorEastAsia"/>
                <w:sz w:val="21"/>
                <w:szCs w:val="21"/>
              </w:rPr>
            </w:pPr>
          </w:p>
        </w:tc>
        <w:tc>
          <w:tcPr>
            <w:tcW w:w="2277" w:type="dxa"/>
            <w:vAlign w:val="center"/>
          </w:tcPr>
          <w:p w14:paraId="58CDE37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w:t>
            </w:r>
            <w:r>
              <w:rPr>
                <w:rFonts w:cs="宋体" w:asciiTheme="minorEastAsia" w:hAnsiTheme="minorEastAsia" w:eastAsiaTheme="minorEastAsia"/>
                <w:sz w:val="21"/>
                <w:szCs w:val="21"/>
              </w:rPr>
              <w:t>结余</w:t>
            </w:r>
            <w:r>
              <w:rPr>
                <w:rFonts w:hint="eastAsia" w:cs="宋体" w:asciiTheme="minorEastAsia" w:hAnsiTheme="minorEastAsia" w:eastAsiaTheme="minorEastAsia"/>
                <w:sz w:val="21"/>
                <w:szCs w:val="21"/>
              </w:rPr>
              <w:t>率</w:t>
            </w:r>
          </w:p>
        </w:tc>
        <w:tc>
          <w:tcPr>
            <w:tcW w:w="1155" w:type="dxa"/>
            <w:vAlign w:val="center"/>
          </w:tcPr>
          <w:p w14:paraId="4055BF0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1C43962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9</w:t>
            </w:r>
          </w:p>
        </w:tc>
      </w:tr>
      <w:tr w14:paraId="4882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BB72263">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7BF26AB">
            <w:pPr>
              <w:spacing w:line="420" w:lineRule="exact"/>
              <w:jc w:val="center"/>
              <w:rPr>
                <w:rFonts w:cs="宋体" w:asciiTheme="minorEastAsia" w:hAnsiTheme="minorEastAsia" w:eastAsiaTheme="minorEastAsia"/>
                <w:sz w:val="21"/>
                <w:szCs w:val="21"/>
              </w:rPr>
            </w:pPr>
          </w:p>
        </w:tc>
        <w:tc>
          <w:tcPr>
            <w:tcW w:w="2277" w:type="dxa"/>
            <w:vAlign w:val="center"/>
          </w:tcPr>
          <w:p w14:paraId="641E39D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预算完成率</w:t>
            </w:r>
          </w:p>
        </w:tc>
        <w:tc>
          <w:tcPr>
            <w:tcW w:w="1155" w:type="dxa"/>
            <w:vAlign w:val="center"/>
          </w:tcPr>
          <w:p w14:paraId="09E966CC">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c>
          <w:tcPr>
            <w:tcW w:w="1276" w:type="dxa"/>
            <w:vAlign w:val="center"/>
          </w:tcPr>
          <w:p w14:paraId="6FD1A3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F88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F536C8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3BF7E94C">
            <w:pPr>
              <w:spacing w:line="420" w:lineRule="exact"/>
              <w:jc w:val="center"/>
              <w:rPr>
                <w:rFonts w:cs="宋体" w:asciiTheme="minorEastAsia" w:hAnsiTheme="minorEastAsia" w:eastAsiaTheme="minorEastAsia"/>
                <w:sz w:val="21"/>
                <w:szCs w:val="21"/>
              </w:rPr>
            </w:pPr>
          </w:p>
        </w:tc>
        <w:tc>
          <w:tcPr>
            <w:tcW w:w="2277" w:type="dxa"/>
            <w:vAlign w:val="center"/>
          </w:tcPr>
          <w:p w14:paraId="4D6C38E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支付进</w:t>
            </w:r>
            <w:r>
              <w:rPr>
                <w:rFonts w:cs="宋体" w:asciiTheme="minorEastAsia" w:hAnsiTheme="minorEastAsia" w:eastAsiaTheme="minorEastAsia"/>
                <w:sz w:val="21"/>
                <w:szCs w:val="21"/>
              </w:rPr>
              <w:t>度</w:t>
            </w:r>
            <w:r>
              <w:rPr>
                <w:rFonts w:hint="eastAsia" w:cs="宋体" w:asciiTheme="minorEastAsia" w:hAnsiTheme="minorEastAsia" w:eastAsiaTheme="minorEastAsia"/>
                <w:sz w:val="21"/>
                <w:szCs w:val="21"/>
              </w:rPr>
              <w:t>率</w:t>
            </w:r>
          </w:p>
        </w:tc>
        <w:tc>
          <w:tcPr>
            <w:tcW w:w="1155" w:type="dxa"/>
            <w:vAlign w:val="center"/>
          </w:tcPr>
          <w:p w14:paraId="2C8580D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FF11BEB">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3.9</w:t>
            </w:r>
          </w:p>
        </w:tc>
      </w:tr>
      <w:tr w14:paraId="7A9C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5EBDEB6">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7B550514">
            <w:pPr>
              <w:spacing w:line="420" w:lineRule="exact"/>
              <w:jc w:val="center"/>
              <w:rPr>
                <w:rFonts w:cs="宋体" w:asciiTheme="minorEastAsia" w:hAnsiTheme="minorEastAsia" w:eastAsiaTheme="minorEastAsia"/>
                <w:sz w:val="21"/>
                <w:szCs w:val="21"/>
              </w:rPr>
            </w:pPr>
          </w:p>
        </w:tc>
        <w:tc>
          <w:tcPr>
            <w:tcW w:w="2277" w:type="dxa"/>
            <w:vAlign w:val="center"/>
          </w:tcPr>
          <w:p w14:paraId="1E85825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14:paraId="6CEE47B3">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c>
          <w:tcPr>
            <w:tcW w:w="1276" w:type="dxa"/>
            <w:vAlign w:val="center"/>
          </w:tcPr>
          <w:p w14:paraId="65B5F1CC">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0FBF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118C9AFD">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1E91211F">
            <w:pPr>
              <w:spacing w:line="420" w:lineRule="exact"/>
              <w:jc w:val="center"/>
              <w:rPr>
                <w:rFonts w:cs="宋体" w:asciiTheme="minorEastAsia" w:hAnsiTheme="minorEastAsia" w:eastAsiaTheme="minorEastAsia"/>
                <w:sz w:val="21"/>
                <w:szCs w:val="21"/>
              </w:rPr>
            </w:pPr>
          </w:p>
        </w:tc>
        <w:tc>
          <w:tcPr>
            <w:tcW w:w="2277" w:type="dxa"/>
            <w:vAlign w:val="center"/>
          </w:tcPr>
          <w:p w14:paraId="62EA011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14:paraId="0080D2B7">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c>
          <w:tcPr>
            <w:tcW w:w="1276" w:type="dxa"/>
            <w:vAlign w:val="center"/>
          </w:tcPr>
          <w:p w14:paraId="297737C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08C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6B21257C">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84FCDC5">
            <w:pPr>
              <w:spacing w:line="420" w:lineRule="exact"/>
              <w:jc w:val="center"/>
              <w:rPr>
                <w:rFonts w:cs="宋体" w:asciiTheme="minorEastAsia" w:hAnsiTheme="minorEastAsia" w:eastAsiaTheme="minorEastAsia"/>
                <w:sz w:val="21"/>
                <w:szCs w:val="21"/>
              </w:rPr>
            </w:pPr>
          </w:p>
        </w:tc>
        <w:tc>
          <w:tcPr>
            <w:tcW w:w="2277" w:type="dxa"/>
            <w:vAlign w:val="center"/>
          </w:tcPr>
          <w:p w14:paraId="0B4A3E7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w:t>
            </w:r>
            <w:r>
              <w:rPr>
                <w:rFonts w:cs="宋体" w:asciiTheme="minorEastAsia" w:hAnsiTheme="minorEastAsia" w:eastAsiaTheme="minorEastAsia"/>
                <w:sz w:val="21"/>
                <w:szCs w:val="21"/>
              </w:rPr>
              <w:t>结余变动</w:t>
            </w:r>
            <w:r>
              <w:rPr>
                <w:rFonts w:hint="eastAsia" w:cs="宋体" w:asciiTheme="minorEastAsia" w:hAnsiTheme="minorEastAsia" w:eastAsiaTheme="minorEastAsia"/>
                <w:sz w:val="21"/>
                <w:szCs w:val="21"/>
              </w:rPr>
              <w:t>率</w:t>
            </w:r>
          </w:p>
        </w:tc>
        <w:tc>
          <w:tcPr>
            <w:tcW w:w="1155" w:type="dxa"/>
            <w:vAlign w:val="center"/>
          </w:tcPr>
          <w:p w14:paraId="17E49EC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457588C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r>
              <w:rPr>
                <w:rFonts w:cs="宋体" w:asciiTheme="minorEastAsia" w:hAnsiTheme="minorEastAsia" w:eastAsiaTheme="minorEastAsia"/>
                <w:sz w:val="21"/>
                <w:szCs w:val="21"/>
              </w:rPr>
              <w:t>9</w:t>
            </w:r>
          </w:p>
        </w:tc>
      </w:tr>
      <w:tr w14:paraId="31D30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2F58F39">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FF47597">
            <w:pPr>
              <w:spacing w:line="420" w:lineRule="exact"/>
              <w:jc w:val="center"/>
              <w:rPr>
                <w:rFonts w:cs="宋体" w:asciiTheme="minorEastAsia" w:hAnsiTheme="minorEastAsia" w:eastAsiaTheme="minorEastAsia"/>
                <w:sz w:val="21"/>
                <w:szCs w:val="21"/>
              </w:rPr>
            </w:pPr>
          </w:p>
        </w:tc>
        <w:tc>
          <w:tcPr>
            <w:tcW w:w="2277" w:type="dxa"/>
            <w:vAlign w:val="center"/>
          </w:tcPr>
          <w:p w14:paraId="4506509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公用</w:t>
            </w:r>
            <w:r>
              <w:rPr>
                <w:rFonts w:cs="宋体" w:asciiTheme="minorEastAsia" w:hAnsiTheme="minorEastAsia" w:eastAsiaTheme="minorEastAsia"/>
                <w:sz w:val="21"/>
                <w:szCs w:val="21"/>
              </w:rPr>
              <w:t>经费控制率</w:t>
            </w:r>
          </w:p>
        </w:tc>
        <w:tc>
          <w:tcPr>
            <w:tcW w:w="1155" w:type="dxa"/>
            <w:vAlign w:val="center"/>
          </w:tcPr>
          <w:p w14:paraId="37F4791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c>
          <w:tcPr>
            <w:tcW w:w="1276" w:type="dxa"/>
            <w:vAlign w:val="center"/>
          </w:tcPr>
          <w:p w14:paraId="0D25979D">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075F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0" w:hRule="exact"/>
          <w:jc w:val="center"/>
        </w:trPr>
        <w:tc>
          <w:tcPr>
            <w:tcW w:w="1557" w:type="dxa"/>
            <w:vMerge w:val="continue"/>
            <w:vAlign w:val="center"/>
          </w:tcPr>
          <w:p w14:paraId="60A7B0F7">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35397E1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14:paraId="6CC2272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14:paraId="374B203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59EF3AF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F252DEF">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r>
      <w:tr w14:paraId="659F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5C5328E0">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5AD4805">
            <w:pPr>
              <w:spacing w:line="420" w:lineRule="exact"/>
              <w:jc w:val="center"/>
              <w:rPr>
                <w:rFonts w:cs="宋体" w:asciiTheme="minorEastAsia" w:hAnsiTheme="minorEastAsia" w:eastAsiaTheme="minorEastAsia"/>
                <w:sz w:val="21"/>
                <w:szCs w:val="21"/>
              </w:rPr>
            </w:pPr>
          </w:p>
        </w:tc>
        <w:tc>
          <w:tcPr>
            <w:tcW w:w="2277" w:type="dxa"/>
            <w:vAlign w:val="center"/>
          </w:tcPr>
          <w:p w14:paraId="35BA24C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14:paraId="4304BA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26A79ED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977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224F4BF4">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5AD240E9">
            <w:pPr>
              <w:spacing w:line="420" w:lineRule="exact"/>
              <w:jc w:val="center"/>
              <w:rPr>
                <w:rFonts w:cs="宋体" w:asciiTheme="minorEastAsia" w:hAnsiTheme="minorEastAsia" w:eastAsiaTheme="minorEastAsia"/>
                <w:sz w:val="21"/>
                <w:szCs w:val="21"/>
              </w:rPr>
            </w:pPr>
          </w:p>
        </w:tc>
        <w:tc>
          <w:tcPr>
            <w:tcW w:w="2277" w:type="dxa"/>
            <w:vAlign w:val="center"/>
          </w:tcPr>
          <w:p w14:paraId="098F0DC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14:paraId="05012F0A">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B2C734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61CF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362B0F25">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436D25A6">
            <w:pPr>
              <w:spacing w:line="420" w:lineRule="exact"/>
              <w:jc w:val="center"/>
              <w:rPr>
                <w:rFonts w:cs="宋体" w:asciiTheme="minorEastAsia" w:hAnsiTheme="minorEastAsia" w:eastAsiaTheme="minorEastAsia"/>
                <w:sz w:val="21"/>
                <w:szCs w:val="21"/>
              </w:rPr>
            </w:pPr>
          </w:p>
        </w:tc>
        <w:tc>
          <w:tcPr>
            <w:tcW w:w="2277" w:type="dxa"/>
            <w:vAlign w:val="center"/>
          </w:tcPr>
          <w:p w14:paraId="6FEEE30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w:t>
            </w:r>
            <w:r>
              <w:rPr>
                <w:rFonts w:cs="宋体" w:asciiTheme="minorEastAsia" w:hAnsiTheme="minorEastAsia" w:eastAsiaTheme="minorEastAsia"/>
                <w:sz w:val="21"/>
                <w:szCs w:val="21"/>
              </w:rPr>
              <w:t>规</w:t>
            </w:r>
            <w:r>
              <w:rPr>
                <w:rFonts w:hint="eastAsia" w:cs="宋体" w:asciiTheme="minorEastAsia" w:hAnsiTheme="minorEastAsia" w:eastAsiaTheme="minorEastAsia"/>
                <w:sz w:val="21"/>
                <w:szCs w:val="21"/>
              </w:rPr>
              <w:t>性</w:t>
            </w:r>
          </w:p>
        </w:tc>
        <w:tc>
          <w:tcPr>
            <w:tcW w:w="1155" w:type="dxa"/>
            <w:vAlign w:val="center"/>
          </w:tcPr>
          <w:p w14:paraId="541DC31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4CDAF87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0A98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0A9057EA">
            <w:pPr>
              <w:spacing w:line="420" w:lineRule="exact"/>
              <w:jc w:val="center"/>
              <w:rPr>
                <w:rFonts w:cs="宋体" w:asciiTheme="minorEastAsia" w:hAnsiTheme="minorEastAsia" w:eastAsiaTheme="minorEastAsia"/>
                <w:sz w:val="21"/>
                <w:szCs w:val="21"/>
              </w:rPr>
            </w:pPr>
          </w:p>
        </w:tc>
        <w:tc>
          <w:tcPr>
            <w:tcW w:w="1388" w:type="dxa"/>
            <w:vMerge w:val="restart"/>
            <w:vAlign w:val="center"/>
          </w:tcPr>
          <w:p w14:paraId="53FFEDA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w:t>
            </w:r>
            <w:r>
              <w:rPr>
                <w:rFonts w:cs="宋体" w:asciiTheme="minorEastAsia" w:hAnsiTheme="minorEastAsia" w:eastAsiaTheme="minorEastAsia"/>
                <w:sz w:val="21"/>
                <w:szCs w:val="21"/>
              </w:rPr>
              <w:t>产管理</w:t>
            </w:r>
            <w:r>
              <w:rPr>
                <w:rFonts w:hint="eastAsia" w:cs="宋体" w:asciiTheme="minorEastAsia" w:hAnsiTheme="minorEastAsia" w:eastAsiaTheme="minorEastAsia"/>
                <w:sz w:val="21"/>
                <w:szCs w:val="21"/>
              </w:rPr>
              <w:t>（12分）</w:t>
            </w:r>
          </w:p>
        </w:tc>
        <w:tc>
          <w:tcPr>
            <w:tcW w:w="2277" w:type="dxa"/>
            <w:vAlign w:val="center"/>
          </w:tcPr>
          <w:p w14:paraId="70AD713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14:paraId="0EFED916">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379F0EA4">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3</w:t>
            </w:r>
          </w:p>
        </w:tc>
      </w:tr>
      <w:tr w14:paraId="6E6E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7431AB2">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68DA5DD0">
            <w:pPr>
              <w:spacing w:line="420" w:lineRule="exact"/>
              <w:jc w:val="center"/>
              <w:rPr>
                <w:rFonts w:cs="宋体" w:asciiTheme="minorEastAsia" w:hAnsiTheme="minorEastAsia" w:eastAsiaTheme="minorEastAsia"/>
                <w:sz w:val="21"/>
                <w:szCs w:val="21"/>
              </w:rPr>
            </w:pPr>
          </w:p>
        </w:tc>
        <w:tc>
          <w:tcPr>
            <w:tcW w:w="2277" w:type="dxa"/>
            <w:vAlign w:val="center"/>
          </w:tcPr>
          <w:p w14:paraId="0729142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资产管理安全性</w:t>
            </w:r>
          </w:p>
        </w:tc>
        <w:tc>
          <w:tcPr>
            <w:tcW w:w="1155" w:type="dxa"/>
            <w:vAlign w:val="center"/>
          </w:tcPr>
          <w:p w14:paraId="6D398524">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52AA94B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108FD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14:paraId="7258454E">
            <w:pPr>
              <w:spacing w:line="420" w:lineRule="exact"/>
              <w:jc w:val="center"/>
              <w:rPr>
                <w:rFonts w:cs="宋体" w:asciiTheme="minorEastAsia" w:hAnsiTheme="minorEastAsia" w:eastAsiaTheme="minorEastAsia"/>
                <w:sz w:val="21"/>
                <w:szCs w:val="21"/>
              </w:rPr>
            </w:pPr>
          </w:p>
        </w:tc>
        <w:tc>
          <w:tcPr>
            <w:tcW w:w="1388" w:type="dxa"/>
            <w:vMerge w:val="continue"/>
            <w:vAlign w:val="center"/>
          </w:tcPr>
          <w:p w14:paraId="0F970536">
            <w:pPr>
              <w:spacing w:line="420" w:lineRule="exact"/>
              <w:jc w:val="center"/>
              <w:rPr>
                <w:rFonts w:cs="宋体" w:asciiTheme="minorEastAsia" w:hAnsiTheme="minorEastAsia" w:eastAsiaTheme="minorEastAsia"/>
                <w:sz w:val="21"/>
                <w:szCs w:val="21"/>
              </w:rPr>
            </w:pPr>
          </w:p>
        </w:tc>
        <w:tc>
          <w:tcPr>
            <w:tcW w:w="2277" w:type="dxa"/>
            <w:vAlign w:val="center"/>
          </w:tcPr>
          <w:p w14:paraId="3D0A0A5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固定资产利用率</w:t>
            </w:r>
          </w:p>
        </w:tc>
        <w:tc>
          <w:tcPr>
            <w:tcW w:w="1155" w:type="dxa"/>
            <w:vAlign w:val="center"/>
          </w:tcPr>
          <w:p w14:paraId="59308CF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14:paraId="69E6FB0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3</w:t>
            </w:r>
          </w:p>
        </w:tc>
      </w:tr>
      <w:tr w14:paraId="1DD5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14:paraId="75AC29B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14:paraId="682A126C">
            <w:pPr>
              <w:spacing w:line="420" w:lineRule="exact"/>
              <w:jc w:val="center"/>
              <w:rPr>
                <w:rFonts w:cs="宋体" w:asciiTheme="minorEastAsia" w:hAnsiTheme="minorEastAsia" w:eastAsiaTheme="minorEastAsia"/>
                <w:sz w:val="21"/>
                <w:szCs w:val="21"/>
              </w:rPr>
            </w:pPr>
          </w:p>
        </w:tc>
        <w:tc>
          <w:tcPr>
            <w:tcW w:w="1155" w:type="dxa"/>
            <w:vAlign w:val="center"/>
          </w:tcPr>
          <w:p w14:paraId="2155209E">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56</w:t>
            </w:r>
          </w:p>
        </w:tc>
        <w:tc>
          <w:tcPr>
            <w:tcW w:w="1276" w:type="dxa"/>
            <w:vAlign w:val="center"/>
          </w:tcPr>
          <w:p w14:paraId="634DBE62">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53.7</w:t>
            </w:r>
          </w:p>
        </w:tc>
      </w:tr>
      <w:bookmarkEnd w:id="67"/>
    </w:tbl>
    <w:p w14:paraId="7AD8F7C7">
      <w:pPr>
        <w:spacing w:after="0" w:line="540" w:lineRule="exact"/>
        <w:ind w:firstLine="640" w:firstLineChars="200"/>
        <w:jc w:val="both"/>
        <w:textAlignment w:val="baseline"/>
        <w:rPr>
          <w:rFonts w:ascii="仿宋_GB2312" w:eastAsia="仿宋_GB2312" w:cs="DengXian-Regular"/>
          <w:sz w:val="32"/>
          <w:szCs w:val="32"/>
        </w:rPr>
      </w:pPr>
      <w:bookmarkStart w:id="68" w:name="_Toc465149514"/>
      <w:bookmarkStart w:id="69" w:name="_Toc464638487"/>
      <w:r>
        <w:rPr>
          <w:rFonts w:hint="eastAsia" w:ascii="仿宋_GB2312" w:eastAsia="仿宋_GB2312" w:cs="DengXian-Regular"/>
          <w:sz w:val="32"/>
          <w:szCs w:val="32"/>
        </w:rPr>
        <w:t>1.预算执行（2</w:t>
      </w:r>
      <w:r>
        <w:rPr>
          <w:rFonts w:ascii="仿宋_GB2312" w:eastAsia="仿宋_GB2312" w:cs="DengXian-Regular"/>
          <w:sz w:val="32"/>
          <w:szCs w:val="32"/>
        </w:rPr>
        <w:t>8</w:t>
      </w:r>
      <w:r>
        <w:rPr>
          <w:rFonts w:hint="eastAsia" w:ascii="仿宋_GB2312" w:eastAsia="仿宋_GB2312" w:cs="DengXian-Regular"/>
          <w:sz w:val="32"/>
          <w:szCs w:val="32"/>
        </w:rPr>
        <w:t>分）</w:t>
      </w:r>
    </w:p>
    <w:p w14:paraId="2DAF0B8E">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（1）预算调整率（</w:t>
      </w:r>
      <w:r>
        <w:rPr>
          <w:rFonts w:ascii="仿宋_GB2312" w:eastAsia="仿宋_GB2312" w:cs="DengXian-Regular"/>
          <w:sz w:val="32"/>
          <w:szCs w:val="32"/>
        </w:rPr>
        <w:t>3</w:t>
      </w:r>
      <w:r>
        <w:rPr>
          <w:rFonts w:hint="eastAsia" w:ascii="仿宋_GB2312" w:eastAsia="仿宋_GB2312" w:cs="DengXian-Regular"/>
          <w:sz w:val="32"/>
          <w:szCs w:val="32"/>
        </w:rPr>
        <w:t>分）</w:t>
      </w:r>
    </w:p>
    <w:p w14:paraId="2B694F7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该指标主要评价部门（单位）本年度预算调整数与预算数的比率，用以反映和考核部门（单位）预算的调整程度。</w:t>
      </w:r>
    </w:p>
    <w:p w14:paraId="66D36A3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预算调整率=（预算调整数/预算数）×100%。</w:t>
      </w:r>
    </w:p>
    <w:p w14:paraId="4728E69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预算调整数：部门（单位）在本年度内涉及预算的追加、追减或结构调整的资金总和（因落实国家政策、发生不可抗力、上级部门或本级党委政府临时交办而产生的调整除外）。</w:t>
      </w:r>
    </w:p>
    <w:p w14:paraId="2C44CA4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22B002B7">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（2）结转</w:t>
      </w:r>
      <w:r>
        <w:rPr>
          <w:rFonts w:ascii="仿宋_GB2312" w:eastAsia="仿宋_GB2312" w:cs="DengXian-Regular"/>
          <w:sz w:val="32"/>
          <w:szCs w:val="32"/>
        </w:rPr>
        <w:t>结余</w:t>
      </w:r>
      <w:r>
        <w:rPr>
          <w:rFonts w:hint="eastAsia" w:ascii="仿宋_GB2312" w:eastAsia="仿宋_GB2312" w:cs="DengXian-Regular"/>
          <w:sz w:val="32"/>
          <w:szCs w:val="32"/>
        </w:rPr>
        <w:t>率（</w:t>
      </w:r>
      <w:r>
        <w:rPr>
          <w:rFonts w:ascii="仿宋_GB2312" w:eastAsia="仿宋_GB2312" w:cs="DengXian-Regular"/>
          <w:sz w:val="32"/>
          <w:szCs w:val="32"/>
        </w:rPr>
        <w:t>3</w:t>
      </w:r>
      <w:r>
        <w:rPr>
          <w:rFonts w:hint="eastAsia" w:ascii="仿宋_GB2312" w:eastAsia="仿宋_GB2312" w:cs="DengXian-Regular"/>
          <w:sz w:val="32"/>
          <w:szCs w:val="32"/>
        </w:rPr>
        <w:t>分）</w:t>
      </w:r>
    </w:p>
    <w:p w14:paraId="6AB4524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该指标主要评价部门（单位）本年度结转结余总额与支出预算数的比率，用以反映和考核部门（单位）对本年度结转结余资金的实际控制程度。</w:t>
      </w:r>
    </w:p>
    <w:p w14:paraId="6ECD1A4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结转结余率=结转结余总额/支出预算数×100%。</w:t>
      </w:r>
    </w:p>
    <w:p w14:paraId="7DBD0FD8">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结转结余总额：部门（单位）本年度的结转资金与结余资金之和（以决算数为准）。</w:t>
      </w:r>
    </w:p>
    <w:p w14:paraId="57A5729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根据区教体</w:t>
      </w:r>
      <w:r>
        <w:rPr>
          <w:rFonts w:ascii="仿宋_GB2312" w:eastAsia="仿宋_GB2312" w:cs="DengXian-Regular"/>
          <w:sz w:val="32"/>
          <w:szCs w:val="32"/>
        </w:rPr>
        <w:t>局</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年决算文本，202</w:t>
      </w:r>
      <w:r>
        <w:rPr>
          <w:rFonts w:ascii="仿宋_GB2312" w:eastAsia="仿宋_GB2312" w:cs="DengXian-Regular"/>
          <w:sz w:val="32"/>
          <w:szCs w:val="32"/>
        </w:rPr>
        <w:t>1</w:t>
      </w:r>
      <w:r>
        <w:rPr>
          <w:rFonts w:hint="eastAsia" w:ascii="仿宋_GB2312" w:eastAsia="仿宋_GB2312" w:cs="DengXian-Regular"/>
          <w:sz w:val="32"/>
          <w:szCs w:val="32"/>
        </w:rPr>
        <w:t>年结转</w:t>
      </w:r>
      <w:r>
        <w:rPr>
          <w:rFonts w:ascii="仿宋_GB2312" w:eastAsia="仿宋_GB2312" w:cs="DengXian-Regular"/>
          <w:sz w:val="32"/>
          <w:szCs w:val="32"/>
        </w:rPr>
        <w:t>结</w:t>
      </w:r>
      <w:r>
        <w:rPr>
          <w:rFonts w:hint="eastAsia" w:ascii="仿宋_GB2312" w:eastAsia="仿宋_GB2312" w:cs="DengXian-Regular"/>
          <w:sz w:val="32"/>
          <w:szCs w:val="32"/>
        </w:rPr>
        <w:t>余</w:t>
      </w:r>
      <w:r>
        <w:rPr>
          <w:rFonts w:ascii="仿宋_GB2312" w:eastAsia="仿宋_GB2312" w:cs="DengXian-Regular"/>
          <w:sz w:val="32"/>
          <w:szCs w:val="32"/>
        </w:rPr>
        <w:t>总额333.8</w:t>
      </w:r>
      <w:r>
        <w:rPr>
          <w:rFonts w:hint="eastAsia" w:ascii="仿宋_GB2312" w:eastAsia="仿宋_GB2312" w:cs="DengXian-Regular"/>
          <w:sz w:val="32"/>
          <w:szCs w:val="32"/>
        </w:rPr>
        <w:t>万元，支出预算</w:t>
      </w:r>
      <w:r>
        <w:rPr>
          <w:rFonts w:ascii="仿宋_GB2312" w:eastAsia="仿宋_GB2312" w:cs="DengXian-Regular"/>
          <w:sz w:val="32"/>
          <w:szCs w:val="32"/>
        </w:rPr>
        <w:t>数131314.52</w:t>
      </w:r>
      <w:r>
        <w:rPr>
          <w:rFonts w:hint="eastAsia" w:ascii="仿宋_GB2312" w:eastAsia="仿宋_GB2312" w:cs="DengXian-Regular"/>
          <w:sz w:val="32"/>
          <w:szCs w:val="32"/>
        </w:rPr>
        <w:t>万元，结转</w:t>
      </w:r>
      <w:r>
        <w:rPr>
          <w:rFonts w:ascii="仿宋_GB2312" w:eastAsia="仿宋_GB2312" w:cs="DengXian-Regular"/>
          <w:sz w:val="32"/>
          <w:szCs w:val="32"/>
        </w:rPr>
        <w:t>结余</w:t>
      </w:r>
      <w:r>
        <w:rPr>
          <w:rFonts w:hint="eastAsia" w:ascii="仿宋_GB2312" w:eastAsia="仿宋_GB2312" w:cs="DengXian-Regular"/>
          <w:sz w:val="32"/>
          <w:szCs w:val="32"/>
        </w:rPr>
        <w:t>率=（</w:t>
      </w:r>
      <w:r>
        <w:rPr>
          <w:rFonts w:ascii="仿宋_GB2312" w:eastAsia="仿宋_GB2312" w:cs="DengXian-Regular"/>
          <w:sz w:val="32"/>
          <w:szCs w:val="32"/>
        </w:rPr>
        <w:t>333.8</w:t>
      </w:r>
      <w:r>
        <w:rPr>
          <w:rFonts w:hint="eastAsia" w:ascii="仿宋_GB2312" w:eastAsia="仿宋_GB2312" w:cs="DengXian-Regular"/>
          <w:sz w:val="32"/>
          <w:szCs w:val="32"/>
        </w:rPr>
        <w:t>/</w:t>
      </w:r>
      <w:r>
        <w:rPr>
          <w:rFonts w:ascii="仿宋_GB2312" w:eastAsia="仿宋_GB2312" w:cs="DengXian-Regular"/>
          <w:sz w:val="32"/>
          <w:szCs w:val="32"/>
        </w:rPr>
        <w:t>131314.52</w:t>
      </w:r>
      <w:r>
        <w:rPr>
          <w:rFonts w:hint="eastAsia" w:ascii="仿宋_GB2312" w:eastAsia="仿宋_GB2312" w:cs="DengXian-Regular"/>
          <w:sz w:val="32"/>
          <w:szCs w:val="32"/>
        </w:rPr>
        <w:t>）*100%=</w:t>
      </w:r>
      <w:r>
        <w:rPr>
          <w:rFonts w:ascii="仿宋_GB2312" w:eastAsia="仿宋_GB2312" w:cs="DengXian-Regular"/>
          <w:sz w:val="32"/>
          <w:szCs w:val="32"/>
        </w:rPr>
        <w:t>0.25</w:t>
      </w:r>
      <w:r>
        <w:rPr>
          <w:rFonts w:hint="eastAsia" w:ascii="仿宋_GB2312" w:eastAsia="仿宋_GB2312" w:cs="DengXian-Regular"/>
          <w:sz w:val="32"/>
          <w:szCs w:val="32"/>
        </w:rPr>
        <w:t>%。</w:t>
      </w:r>
    </w:p>
    <w:p w14:paraId="4B08597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2.9</w:t>
      </w:r>
      <w:r>
        <w:rPr>
          <w:rFonts w:hint="eastAsia" w:ascii="仿宋_GB2312" w:eastAsia="仿宋_GB2312" w:cs="DengXian-Regular"/>
          <w:sz w:val="32"/>
          <w:szCs w:val="32"/>
        </w:rPr>
        <w:t>分。</w:t>
      </w:r>
    </w:p>
    <w:p w14:paraId="0698DF8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（3）预算完成率（2分）</w:t>
      </w:r>
    </w:p>
    <w:p w14:paraId="353CB7C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该指标主要评价部门（单位）本年度预算完成数与预算数的比率，用以反映和考核部门（单位）预算完成程度。</w:t>
      </w:r>
    </w:p>
    <w:p w14:paraId="38EDC88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预算完成率=（预算完成数/预算数）×100%。</w:t>
      </w:r>
    </w:p>
    <w:p w14:paraId="05FB80A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预算完成数：部门（单位）本年度实际完成的预算数。</w:t>
      </w:r>
    </w:p>
    <w:p w14:paraId="51ADE43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预算数：财政部门批复的本年度部门（单位）预算数。</w:t>
      </w:r>
    </w:p>
    <w:p w14:paraId="30A8BC14">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6AFF5BF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4</w:t>
      </w:r>
      <w:r>
        <w:rPr>
          <w:rFonts w:hint="eastAsia" w:ascii="仿宋_GB2312" w:eastAsia="仿宋_GB2312" w:cs="DengXian-Regular"/>
          <w:sz w:val="32"/>
          <w:szCs w:val="32"/>
        </w:rPr>
        <w:t>）“三公”经费控制率（</w:t>
      </w:r>
      <w:r>
        <w:rPr>
          <w:rFonts w:ascii="仿宋_GB2312" w:eastAsia="仿宋_GB2312" w:cs="DengXian-Regular"/>
          <w:sz w:val="32"/>
          <w:szCs w:val="32"/>
        </w:rPr>
        <w:t>4</w:t>
      </w:r>
      <w:r>
        <w:rPr>
          <w:rFonts w:hint="eastAsia" w:ascii="仿宋_GB2312" w:eastAsia="仿宋_GB2312" w:cs="DengXian-Regular"/>
          <w:sz w:val="32"/>
          <w:szCs w:val="32"/>
        </w:rPr>
        <w:t>分）</w:t>
      </w:r>
    </w:p>
    <w:p w14:paraId="4FF8F618">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14:paraId="1E21CAA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14:paraId="1C79E1B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根据区教体</w:t>
      </w:r>
      <w:r>
        <w:rPr>
          <w:rFonts w:ascii="仿宋_GB2312" w:eastAsia="仿宋_GB2312" w:cs="DengXian-Regular"/>
          <w:sz w:val="32"/>
          <w:szCs w:val="32"/>
        </w:rPr>
        <w:t>局</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年预算文本及决算文本，“三公”经费年初预算数</w:t>
      </w:r>
      <w:r>
        <w:rPr>
          <w:rFonts w:ascii="仿宋_GB2312" w:eastAsia="仿宋_GB2312" w:cs="DengXian-Regular"/>
          <w:sz w:val="32"/>
          <w:szCs w:val="32"/>
        </w:rPr>
        <w:t>51.9</w:t>
      </w:r>
      <w:r>
        <w:rPr>
          <w:rFonts w:hint="eastAsia" w:ascii="仿宋_GB2312" w:eastAsia="仿宋_GB2312" w:cs="DengXian-Regular"/>
          <w:sz w:val="32"/>
          <w:szCs w:val="32"/>
        </w:rPr>
        <w:t>万元，年末决算数</w:t>
      </w:r>
      <w:r>
        <w:rPr>
          <w:rFonts w:ascii="仿宋_GB2312" w:eastAsia="仿宋_GB2312" w:cs="DengXian-Regular"/>
          <w:sz w:val="32"/>
          <w:szCs w:val="32"/>
        </w:rPr>
        <w:t>6.04</w:t>
      </w:r>
      <w:r>
        <w:rPr>
          <w:rFonts w:hint="eastAsia" w:ascii="仿宋_GB2312" w:eastAsia="仿宋_GB2312" w:cs="DengXian-Regular"/>
          <w:sz w:val="32"/>
          <w:szCs w:val="32"/>
        </w:rPr>
        <w:t>万元，“三公”经费控制率=（年末决算数/年初预算数）*100%=</w:t>
      </w:r>
      <w:r>
        <w:rPr>
          <w:rFonts w:ascii="仿宋_GB2312" w:eastAsia="仿宋_GB2312" w:cs="DengXian-Regular"/>
          <w:sz w:val="32"/>
          <w:szCs w:val="32"/>
        </w:rPr>
        <w:t>15.46</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14:paraId="4863699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1EE0C6B7">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5</w:t>
      </w:r>
      <w:r>
        <w:rPr>
          <w:rFonts w:hint="eastAsia" w:ascii="仿宋_GB2312" w:eastAsia="仿宋_GB2312" w:cs="DengXian-Regular"/>
          <w:sz w:val="32"/>
          <w:szCs w:val="32"/>
        </w:rPr>
        <w:t>）政府采购执行率（</w:t>
      </w:r>
      <w:r>
        <w:rPr>
          <w:rFonts w:ascii="仿宋_GB2312" w:eastAsia="仿宋_GB2312" w:cs="DengXian-Regular"/>
          <w:sz w:val="32"/>
          <w:szCs w:val="32"/>
        </w:rPr>
        <w:t>4</w:t>
      </w:r>
      <w:r>
        <w:rPr>
          <w:rFonts w:hint="eastAsia" w:ascii="仿宋_GB2312" w:eastAsia="仿宋_GB2312" w:cs="DengXian-Regular"/>
          <w:sz w:val="32"/>
          <w:szCs w:val="32"/>
        </w:rPr>
        <w:t>分）</w:t>
      </w:r>
    </w:p>
    <w:p w14:paraId="7FAC9AAE">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14:paraId="53AFE55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14:paraId="02216F5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根据区教体</w:t>
      </w:r>
      <w:r>
        <w:rPr>
          <w:rFonts w:ascii="仿宋_GB2312" w:eastAsia="仿宋_GB2312" w:cs="DengXian-Regular"/>
          <w:sz w:val="32"/>
          <w:szCs w:val="32"/>
        </w:rPr>
        <w:t>局</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年预算文本及决算文本，政府采购年初预算数</w:t>
      </w:r>
      <w:r>
        <w:rPr>
          <w:rFonts w:ascii="仿宋_GB2312" w:eastAsia="仿宋_GB2312" w:cs="DengXian-Regular"/>
          <w:sz w:val="32"/>
          <w:szCs w:val="32"/>
        </w:rPr>
        <w:t>11282.15</w:t>
      </w:r>
      <w:r>
        <w:rPr>
          <w:rFonts w:hint="eastAsia" w:ascii="仿宋_GB2312" w:eastAsia="仿宋_GB2312" w:cs="DengXian-Regular"/>
          <w:sz w:val="32"/>
          <w:szCs w:val="32"/>
        </w:rPr>
        <w:t>万元，年末决算数</w:t>
      </w:r>
      <w:r>
        <w:rPr>
          <w:rFonts w:ascii="仿宋_GB2312" w:eastAsia="仿宋_GB2312" w:cs="DengXian-Regular"/>
          <w:sz w:val="32"/>
          <w:szCs w:val="32"/>
        </w:rPr>
        <w:t>50175.69</w:t>
      </w:r>
      <w:r>
        <w:rPr>
          <w:rFonts w:hint="eastAsia" w:ascii="仿宋_GB2312" w:eastAsia="仿宋_GB2312" w:cs="DengXian-Regular"/>
          <w:sz w:val="32"/>
          <w:szCs w:val="32"/>
        </w:rPr>
        <w:t>万元，政府采购执行率为</w:t>
      </w:r>
      <w:r>
        <w:rPr>
          <w:rFonts w:ascii="仿宋_GB2312" w:eastAsia="仿宋_GB2312" w:cs="DengXian-Regular"/>
          <w:sz w:val="32"/>
          <w:szCs w:val="32"/>
        </w:rPr>
        <w:t>444.74%</w:t>
      </w:r>
      <w:r>
        <w:rPr>
          <w:rFonts w:hint="eastAsia" w:ascii="仿宋_GB2312" w:eastAsia="仿宋_GB2312" w:cs="DengXian-Regular"/>
          <w:sz w:val="32"/>
          <w:szCs w:val="32"/>
        </w:rPr>
        <w:t>。</w:t>
      </w:r>
    </w:p>
    <w:p w14:paraId="215307A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该指标实际得分为</w:t>
      </w:r>
      <w:r>
        <w:rPr>
          <w:rFonts w:ascii="仿宋_GB2312" w:eastAsia="仿宋_GB2312" w:cs="DengXian-Regular"/>
          <w:sz w:val="32"/>
          <w:szCs w:val="32"/>
        </w:rPr>
        <w:t>4</w:t>
      </w:r>
      <w:r>
        <w:rPr>
          <w:rFonts w:hint="eastAsia" w:ascii="仿宋_GB2312" w:eastAsia="仿宋_GB2312" w:cs="DengXian-Regular"/>
          <w:sz w:val="32"/>
          <w:szCs w:val="32"/>
        </w:rPr>
        <w:t>分。</w:t>
      </w:r>
    </w:p>
    <w:p w14:paraId="2DD6AB8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6</w:t>
      </w:r>
      <w:r>
        <w:rPr>
          <w:rFonts w:hint="eastAsia" w:ascii="仿宋_GB2312" w:eastAsia="仿宋_GB2312" w:cs="DengXian-Regular"/>
          <w:sz w:val="32"/>
          <w:szCs w:val="32"/>
        </w:rPr>
        <w:t>）结转</w:t>
      </w:r>
      <w:r>
        <w:rPr>
          <w:rFonts w:ascii="仿宋_GB2312" w:eastAsia="仿宋_GB2312" w:cs="DengXian-Regular"/>
          <w:sz w:val="32"/>
          <w:szCs w:val="32"/>
        </w:rPr>
        <w:t>结余变动</w:t>
      </w:r>
      <w:r>
        <w:rPr>
          <w:rFonts w:hint="eastAsia" w:ascii="仿宋_GB2312" w:eastAsia="仿宋_GB2312" w:cs="DengXian-Regular"/>
          <w:sz w:val="32"/>
          <w:szCs w:val="32"/>
        </w:rPr>
        <w:t>率（3分）</w:t>
      </w:r>
    </w:p>
    <w:p w14:paraId="560A2D8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该指标主要评价部门（单位）本年度结转结余资金总额与上年度结转结余资金总额的变动比率，用以反映和考核部门（单位）对控制结转结余资金的努力程度。</w:t>
      </w:r>
    </w:p>
    <w:p w14:paraId="7345E1A4">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结转结余变动率=[（本年度累计结转结余资金总额-上年度累计结转结余资金总额）/上年度累计结转结余资金总额]×100%。</w:t>
      </w:r>
    </w:p>
    <w:p w14:paraId="7B72558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ascii="仿宋_GB2312" w:eastAsia="仿宋_GB2312" w:cs="DengXian-Regular"/>
          <w:sz w:val="32"/>
          <w:szCs w:val="32"/>
        </w:rPr>
        <w:t>区教体局</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w:t>
      </w:r>
      <w:r>
        <w:rPr>
          <w:rFonts w:ascii="仿宋_GB2312" w:eastAsia="仿宋_GB2312" w:cs="DengXian-Regular"/>
          <w:sz w:val="32"/>
          <w:szCs w:val="32"/>
        </w:rPr>
        <w:t>度决算文本，</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w:t>
      </w:r>
      <w:r>
        <w:rPr>
          <w:rFonts w:ascii="仿宋_GB2312" w:eastAsia="仿宋_GB2312" w:cs="DengXian-Regular"/>
          <w:sz w:val="32"/>
          <w:szCs w:val="32"/>
        </w:rPr>
        <w:t>结转结余资金总额333.8</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20</w:t>
      </w:r>
      <w:r>
        <w:rPr>
          <w:rFonts w:ascii="仿宋_GB2312" w:eastAsia="仿宋_GB2312" w:cs="DengXian-Regular"/>
          <w:sz w:val="32"/>
          <w:szCs w:val="32"/>
        </w:rPr>
        <w:t>20</w:t>
      </w:r>
      <w:r>
        <w:rPr>
          <w:rFonts w:hint="eastAsia" w:ascii="仿宋_GB2312" w:eastAsia="仿宋_GB2312" w:cs="DengXian-Regular"/>
          <w:sz w:val="32"/>
          <w:szCs w:val="32"/>
        </w:rPr>
        <w:t>年结</w:t>
      </w:r>
      <w:r>
        <w:rPr>
          <w:rFonts w:ascii="仿宋_GB2312" w:eastAsia="仿宋_GB2312" w:cs="DengXian-Regular"/>
          <w:sz w:val="32"/>
          <w:szCs w:val="32"/>
        </w:rPr>
        <w:t>转结余资金总额11006.9</w:t>
      </w:r>
      <w:r>
        <w:rPr>
          <w:rFonts w:hint="eastAsia" w:ascii="仿宋_GB2312" w:eastAsia="仿宋_GB2312" w:cs="DengXian-Regular"/>
          <w:sz w:val="32"/>
          <w:szCs w:val="32"/>
        </w:rPr>
        <w:t>万</w:t>
      </w:r>
      <w:r>
        <w:rPr>
          <w:rFonts w:ascii="仿宋_GB2312" w:eastAsia="仿宋_GB2312" w:cs="DengXian-Regular"/>
          <w:sz w:val="32"/>
          <w:szCs w:val="32"/>
        </w:rPr>
        <w:t>元。</w:t>
      </w:r>
      <w:r>
        <w:rPr>
          <w:rFonts w:hint="eastAsia" w:ascii="仿宋_GB2312" w:eastAsia="仿宋_GB2312" w:cs="DengXian-Regular"/>
          <w:sz w:val="32"/>
          <w:szCs w:val="32"/>
        </w:rPr>
        <w:t>结</w:t>
      </w:r>
      <w:r>
        <w:rPr>
          <w:rFonts w:ascii="仿宋_GB2312" w:eastAsia="仿宋_GB2312" w:cs="DengXian-Regular"/>
          <w:sz w:val="32"/>
          <w:szCs w:val="32"/>
        </w:rPr>
        <w:t>转结余变动率＝</w:t>
      </w:r>
      <w:r>
        <w:rPr>
          <w:rFonts w:hint="eastAsia" w:ascii="仿宋_GB2312" w:eastAsia="仿宋_GB2312" w:cs="DengXian-Regular"/>
          <w:sz w:val="32"/>
          <w:szCs w:val="32"/>
        </w:rPr>
        <w:t>[（333.8-11006.9）/</w:t>
      </w:r>
      <w:r>
        <w:rPr>
          <w:rFonts w:ascii="仿宋_GB2312" w:eastAsia="仿宋_GB2312" w:cs="DengXian-Regular"/>
          <w:sz w:val="32"/>
          <w:szCs w:val="32"/>
        </w:rPr>
        <w:t>333.8</w:t>
      </w:r>
      <w:r>
        <w:rPr>
          <w:rFonts w:hint="eastAsia" w:ascii="仿宋_GB2312" w:eastAsia="仿宋_GB2312" w:cs="DengXian-Regular"/>
          <w:sz w:val="32"/>
          <w:szCs w:val="32"/>
        </w:rPr>
        <w:t>] ×100%＝</w:t>
      </w:r>
      <w:r>
        <w:rPr>
          <w:rFonts w:ascii="仿宋_GB2312" w:eastAsia="仿宋_GB2312" w:cs="DengXian-Regular"/>
          <w:sz w:val="32"/>
          <w:szCs w:val="32"/>
        </w:rPr>
        <w:t>0.009</w:t>
      </w:r>
      <w:r>
        <w:rPr>
          <w:rFonts w:hint="eastAsia" w:ascii="仿宋_GB2312" w:eastAsia="仿宋_GB2312" w:cs="DengXian-Regular"/>
          <w:sz w:val="32"/>
          <w:szCs w:val="32"/>
        </w:rPr>
        <w:t>%</w:t>
      </w:r>
    </w:p>
    <w:p w14:paraId="7A1467A6">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2.9</w:t>
      </w:r>
      <w:r>
        <w:rPr>
          <w:rFonts w:hint="eastAsia" w:ascii="仿宋_GB2312" w:eastAsia="仿宋_GB2312" w:cs="DengXian-Regular"/>
          <w:sz w:val="32"/>
          <w:szCs w:val="32"/>
        </w:rPr>
        <w:t>分。</w:t>
      </w:r>
    </w:p>
    <w:p w14:paraId="6CFCB41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7</w:t>
      </w:r>
      <w:r>
        <w:rPr>
          <w:rFonts w:hint="eastAsia" w:ascii="仿宋_GB2312" w:eastAsia="仿宋_GB2312" w:cs="DengXian-Regular"/>
          <w:sz w:val="32"/>
          <w:szCs w:val="32"/>
        </w:rPr>
        <w:t>）公用</w:t>
      </w:r>
      <w:r>
        <w:rPr>
          <w:rFonts w:ascii="仿宋_GB2312" w:eastAsia="仿宋_GB2312" w:cs="DengXian-Regular"/>
          <w:sz w:val="32"/>
          <w:szCs w:val="32"/>
        </w:rPr>
        <w:t>经费控制率</w:t>
      </w:r>
      <w:r>
        <w:rPr>
          <w:rFonts w:hint="eastAsia" w:ascii="仿宋_GB2312" w:eastAsia="仿宋_GB2312" w:cs="DengXian-Regular"/>
          <w:sz w:val="32"/>
          <w:szCs w:val="32"/>
        </w:rPr>
        <w:t>（3分）</w:t>
      </w:r>
    </w:p>
    <w:p w14:paraId="5FE7D866">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该指标主要评价部门本年度实际支出的公用经费总额与预算安排的公用经费总额的比率，用以反映和考核部门（单位）对机构运转成本的实际控制程度。</w:t>
      </w:r>
    </w:p>
    <w:p w14:paraId="4D55182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5793C426">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w:t>
      </w:r>
      <w:r>
        <w:rPr>
          <w:rFonts w:ascii="仿宋_GB2312" w:eastAsia="仿宋_GB2312" w:cs="DengXian-Regular"/>
          <w:sz w:val="32"/>
          <w:szCs w:val="32"/>
        </w:rPr>
        <w:t>8</w:t>
      </w:r>
      <w:r>
        <w:rPr>
          <w:rFonts w:hint="eastAsia" w:ascii="仿宋_GB2312" w:eastAsia="仿宋_GB2312" w:cs="DengXian-Regular"/>
          <w:sz w:val="32"/>
          <w:szCs w:val="32"/>
        </w:rPr>
        <w:t>）支付进度</w:t>
      </w:r>
      <w:r>
        <w:rPr>
          <w:rFonts w:ascii="仿宋_GB2312" w:eastAsia="仿宋_GB2312" w:cs="DengXian-Regular"/>
          <w:sz w:val="32"/>
          <w:szCs w:val="32"/>
        </w:rPr>
        <w:t>率</w:t>
      </w:r>
      <w:r>
        <w:rPr>
          <w:rFonts w:hint="eastAsia" w:ascii="仿宋_GB2312" w:eastAsia="仿宋_GB2312" w:cs="DengXian-Regular"/>
          <w:sz w:val="32"/>
          <w:szCs w:val="32"/>
        </w:rPr>
        <w:t>（</w:t>
      </w:r>
      <w:r>
        <w:rPr>
          <w:rFonts w:ascii="仿宋_GB2312" w:eastAsia="仿宋_GB2312" w:cs="DengXian-Regular"/>
          <w:sz w:val="32"/>
          <w:szCs w:val="32"/>
        </w:rPr>
        <w:t>4</w:t>
      </w:r>
      <w:r>
        <w:rPr>
          <w:rFonts w:hint="eastAsia" w:ascii="仿宋_GB2312" w:eastAsia="仿宋_GB2312" w:cs="DengXian-Regular"/>
          <w:sz w:val="32"/>
          <w:szCs w:val="32"/>
        </w:rPr>
        <w:t>分）</w:t>
      </w:r>
    </w:p>
    <w:p w14:paraId="5B176383">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w:t>
      </w:r>
      <w:r>
        <w:rPr>
          <w:rFonts w:ascii="仿宋_GB2312" w:eastAsia="仿宋_GB2312" w:cs="DengXian-Regular"/>
          <w:sz w:val="32"/>
          <w:szCs w:val="32"/>
        </w:rPr>
        <w:t>指标主要评价部门</w:t>
      </w:r>
      <w:r>
        <w:rPr>
          <w:rFonts w:hint="eastAsia" w:ascii="仿宋_GB2312" w:eastAsia="仿宋_GB2312" w:cs="DengXian-Regular"/>
          <w:sz w:val="32"/>
          <w:szCs w:val="32"/>
        </w:rPr>
        <w:t>（单位）实际支付进度与既定支付进度的比率，用以反映和考核部门（单位）预算执行的及时性和均衡性程度。</w:t>
      </w:r>
    </w:p>
    <w:p w14:paraId="47F4283E">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支付进度率=（实际支付进度/既定支付进度）×100%。</w:t>
      </w:r>
    </w:p>
    <w:p w14:paraId="3DC67BC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实际支付进度：部门（单位）在某一时点的支出预算执行总数与年度支出预算数的比率。</w:t>
      </w:r>
    </w:p>
    <w:p w14:paraId="61525726">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既定支付进度：由部门（单位）在申报部门整体绩效目标时，参照序时支付进度、前三年支付进度、同级部门平均支付进度水平等确定的，在某一时点应达到的支付进度（比率）。</w:t>
      </w:r>
    </w:p>
    <w:p w14:paraId="1781EA8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3.9</w:t>
      </w:r>
      <w:r>
        <w:rPr>
          <w:rFonts w:hint="eastAsia" w:ascii="仿宋_GB2312" w:eastAsia="仿宋_GB2312" w:cs="DengXian-Regular"/>
          <w:sz w:val="32"/>
          <w:szCs w:val="32"/>
        </w:rPr>
        <w:t>分。</w:t>
      </w:r>
    </w:p>
    <w:p w14:paraId="5108E33D">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14:paraId="1E54DBB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0929CB14">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14:paraId="5E4270B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教体</w:t>
      </w:r>
      <w:r>
        <w:rPr>
          <w:rFonts w:ascii="仿宋_GB2312" w:eastAsia="仿宋_GB2312" w:cs="DengXian-Regular"/>
          <w:sz w:val="32"/>
          <w:szCs w:val="32"/>
        </w:rPr>
        <w:t>局</w:t>
      </w:r>
      <w:r>
        <w:rPr>
          <w:rFonts w:hint="eastAsia" w:ascii="仿宋_GB2312" w:eastAsia="仿宋_GB2312" w:cs="DengXian-Regular"/>
          <w:sz w:val="32"/>
          <w:szCs w:val="32"/>
        </w:rPr>
        <w:t>工作制度涵盖了财务制度、网络安全制度、公务用车制度等相关制度，单位付款流程审批单、资产盘点表等资料，教</w:t>
      </w:r>
      <w:r>
        <w:rPr>
          <w:rFonts w:ascii="仿宋_GB2312" w:eastAsia="仿宋_GB2312" w:cs="DengXian-Regular"/>
          <w:sz w:val="32"/>
          <w:szCs w:val="32"/>
        </w:rPr>
        <w:t>体局严格</w:t>
      </w:r>
      <w:r>
        <w:rPr>
          <w:rFonts w:hint="eastAsia" w:ascii="仿宋_GB2312" w:eastAsia="仿宋_GB2312" w:cs="DengXian-Regular"/>
          <w:sz w:val="32"/>
          <w:szCs w:val="32"/>
        </w:rPr>
        <w:t>按照相关管理制度的规定执行。</w:t>
      </w:r>
    </w:p>
    <w:p w14:paraId="6C86099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025D7D93">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14:paraId="0D8EEA0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14:paraId="182C25A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区教体</w:t>
      </w:r>
      <w:r>
        <w:rPr>
          <w:rFonts w:ascii="仿宋_GB2312" w:eastAsia="仿宋_GB2312" w:cs="DengXian-Regular"/>
          <w:sz w:val="32"/>
          <w:szCs w:val="32"/>
        </w:rPr>
        <w:t>局</w:t>
      </w:r>
      <w:r>
        <w:rPr>
          <w:rFonts w:hint="eastAsia" w:ascii="仿宋_GB2312" w:eastAsia="仿宋_GB2312" w:cs="DengXian-Regular"/>
          <w:sz w:val="32"/>
          <w:szCs w:val="32"/>
        </w:rPr>
        <w:t>202</w:t>
      </w:r>
      <w:r>
        <w:rPr>
          <w:rFonts w:ascii="仿宋_GB2312" w:eastAsia="仿宋_GB2312" w:cs="DengXian-Regular"/>
          <w:sz w:val="32"/>
          <w:szCs w:val="32"/>
        </w:rPr>
        <w:t>1</w:t>
      </w:r>
      <w:r>
        <w:rPr>
          <w:rFonts w:hint="eastAsia" w:ascii="仿宋_GB2312" w:eastAsia="仿宋_GB2312" w:cs="DengXian-Regular"/>
          <w:sz w:val="32"/>
          <w:szCs w:val="32"/>
        </w:rPr>
        <w:t>年按政府信息公开的有关要求在保定市徐水区人民政府网公开了202</w:t>
      </w:r>
      <w:r>
        <w:rPr>
          <w:rFonts w:ascii="仿宋_GB2312" w:eastAsia="仿宋_GB2312" w:cs="DengXian-Regular"/>
          <w:sz w:val="32"/>
          <w:szCs w:val="32"/>
        </w:rPr>
        <w:t>1</w:t>
      </w:r>
      <w:r>
        <w:rPr>
          <w:rFonts w:hint="eastAsia" w:ascii="仿宋_GB2312" w:eastAsia="仿宋_GB2312" w:cs="DengXian-Regular"/>
          <w:sz w:val="32"/>
          <w:szCs w:val="32"/>
        </w:rPr>
        <w:t>年的预决算情况、部门责任清单、行政监督清单等相关信息。</w:t>
      </w:r>
    </w:p>
    <w:p w14:paraId="7712D25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02F7C8F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14:paraId="3C1D7E3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14:paraId="5A2C7788">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根据区教体</w:t>
      </w:r>
      <w:r>
        <w:rPr>
          <w:rFonts w:ascii="仿宋_GB2312" w:eastAsia="仿宋_GB2312" w:cs="DengXian-Regular"/>
          <w:sz w:val="32"/>
          <w:szCs w:val="32"/>
        </w:rPr>
        <w:t>局</w:t>
      </w:r>
      <w:r>
        <w:rPr>
          <w:rFonts w:hint="eastAsia" w:ascii="仿宋_GB2312" w:eastAsia="仿宋_GB2312" w:cs="DengXian-Regular"/>
          <w:sz w:val="32"/>
          <w:szCs w:val="32"/>
        </w:rPr>
        <w:t>的会计账簿、凭证及其他相关资料，区教体</w:t>
      </w:r>
      <w:r>
        <w:rPr>
          <w:rFonts w:ascii="仿宋_GB2312" w:eastAsia="仿宋_GB2312" w:cs="DengXian-Regular"/>
          <w:sz w:val="32"/>
          <w:szCs w:val="32"/>
        </w:rPr>
        <w:t>局</w:t>
      </w:r>
      <w:r>
        <w:rPr>
          <w:rFonts w:hint="eastAsia" w:ascii="仿宋_GB2312" w:eastAsia="仿宋_GB2312" w:cs="DengXian-Regular"/>
          <w:sz w:val="32"/>
          <w:szCs w:val="32"/>
        </w:rPr>
        <w:t>会计信息资料真实完整，</w:t>
      </w:r>
    </w:p>
    <w:p w14:paraId="45E0E22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1FA27D2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（4）资金使用</w:t>
      </w:r>
      <w:r>
        <w:rPr>
          <w:rFonts w:ascii="仿宋_GB2312" w:eastAsia="仿宋_GB2312" w:cs="DengXian-Regular"/>
          <w:sz w:val="32"/>
          <w:szCs w:val="32"/>
        </w:rPr>
        <w:t>合规</w:t>
      </w:r>
      <w:r>
        <w:rPr>
          <w:rFonts w:hint="eastAsia" w:ascii="仿宋_GB2312" w:eastAsia="仿宋_GB2312" w:cs="DengXian-Regular"/>
          <w:sz w:val="32"/>
          <w:szCs w:val="32"/>
        </w:rPr>
        <w:t>性（4分）</w:t>
      </w:r>
    </w:p>
    <w:p w14:paraId="6847FE96">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该指标主要评价部门（单位）使用预算资金是否符合相关的预算财务管理制度的规定，用以反映和考核部门（单位）预算资金的规范运行情况。</w:t>
      </w:r>
    </w:p>
    <w:p w14:paraId="2BB03CA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评价要点：</w:t>
      </w:r>
    </w:p>
    <w:p w14:paraId="16C4FB3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①是否符合国家财经法规和财务管理制度规定以及有关专项资金管理办法的规定；</w:t>
      </w:r>
    </w:p>
    <w:p w14:paraId="1DCE76B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②资金的拨付是否有完整的审批程序和手续；</w:t>
      </w:r>
    </w:p>
    <w:p w14:paraId="709E636D">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③项目的重大开支是否经过评估论证；</w:t>
      </w:r>
    </w:p>
    <w:p w14:paraId="438FD6B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④是否符合部门预算批复的用途；</w:t>
      </w:r>
    </w:p>
    <w:p w14:paraId="7B400A94">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⑤是否存在截留、挤占、挪用、虚列支出等情况。</w:t>
      </w:r>
    </w:p>
    <w:p w14:paraId="6ED1ABEE">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12FFECC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3.资产</w:t>
      </w:r>
      <w:r>
        <w:rPr>
          <w:rFonts w:ascii="仿宋_GB2312" w:eastAsia="仿宋_GB2312" w:cs="DengXian-Regular"/>
          <w:sz w:val="32"/>
          <w:szCs w:val="32"/>
        </w:rPr>
        <w:t>管理</w:t>
      </w:r>
      <w:r>
        <w:rPr>
          <w:rFonts w:hint="eastAsia" w:ascii="仿宋_GB2312" w:eastAsia="仿宋_GB2312" w:cs="DengXian-Regular"/>
          <w:sz w:val="32"/>
          <w:szCs w:val="32"/>
        </w:rPr>
        <w:t>（</w:t>
      </w:r>
      <w:r>
        <w:rPr>
          <w:rFonts w:ascii="仿宋_GB2312" w:eastAsia="仿宋_GB2312" w:cs="DengXian-Regular"/>
          <w:sz w:val="32"/>
          <w:szCs w:val="32"/>
        </w:rPr>
        <w:t>12</w:t>
      </w:r>
      <w:r>
        <w:rPr>
          <w:rFonts w:hint="eastAsia" w:ascii="仿宋_GB2312" w:eastAsia="仿宋_GB2312" w:cs="DengXian-Regular"/>
          <w:sz w:val="32"/>
          <w:szCs w:val="32"/>
        </w:rPr>
        <w:t>分）</w:t>
      </w:r>
    </w:p>
    <w:p w14:paraId="6646367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14:paraId="5958D72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该指标主要评价部门（单位）为加强资产管理、规范资产管理行为而制定的管理制度是否健全完整，用以反映和考核部门（单位）资产管理制度对完成主要职责或促进社会发展的保障情况。</w:t>
      </w:r>
    </w:p>
    <w:p w14:paraId="0442183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评价要点：</w:t>
      </w:r>
    </w:p>
    <w:p w14:paraId="0B98974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 xml:space="preserve">①是否已制定或具有资产管理制度；           </w:t>
      </w:r>
    </w:p>
    <w:p w14:paraId="472D8D2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②相关资金管理制度是否合法、合规、完整；</w:t>
      </w:r>
    </w:p>
    <w:p w14:paraId="1023BD13">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③相关资产管理制度是否得到有效执行。</w:t>
      </w:r>
    </w:p>
    <w:p w14:paraId="260C12B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3</w:t>
      </w:r>
      <w:r>
        <w:rPr>
          <w:rFonts w:hint="eastAsia" w:ascii="仿宋_GB2312" w:eastAsia="仿宋_GB2312" w:cs="DengXian-Regular"/>
          <w:sz w:val="32"/>
          <w:szCs w:val="32"/>
        </w:rPr>
        <w:t>分。</w:t>
      </w:r>
    </w:p>
    <w:p w14:paraId="331130A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（2）资产管理安全性（4分）</w:t>
      </w:r>
    </w:p>
    <w:p w14:paraId="248173BA">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该指标主要评价部门（单位）的资产是否保存完整、使用合规、配置合理、处置规范、收入及时足额上缴，用以反映和考核部门（单位）资产安全运行情况。</w:t>
      </w:r>
    </w:p>
    <w:p w14:paraId="6574C904">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评价要点：</w:t>
      </w:r>
    </w:p>
    <w:p w14:paraId="15BA0D2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①资产保存是否完整；</w:t>
      </w:r>
    </w:p>
    <w:p w14:paraId="40C0C644">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②资产配置是否合理；</w:t>
      </w:r>
    </w:p>
    <w:p w14:paraId="7843771D">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③资产处置是否规范；</w:t>
      </w:r>
    </w:p>
    <w:p w14:paraId="23EB001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④资产账务管理是否合规，是否</w:t>
      </w:r>
      <w:r>
        <w:rPr>
          <w:rFonts w:hint="eastAsia" w:ascii="仿宋_GB2312" w:eastAsia="仿宋_GB2312" w:cs="DengXian-Regular"/>
          <w:sz w:val="32"/>
          <w:szCs w:val="32"/>
          <w:lang w:val="en-US" w:eastAsia="zh-CN"/>
        </w:rPr>
        <w:t>账</w:t>
      </w:r>
      <w:r>
        <w:rPr>
          <w:rFonts w:hint="eastAsia" w:ascii="仿宋_GB2312" w:eastAsia="仿宋_GB2312" w:cs="DengXian-Regular"/>
          <w:sz w:val="32"/>
          <w:szCs w:val="32"/>
        </w:rPr>
        <w:t>实相符；</w:t>
      </w:r>
    </w:p>
    <w:p w14:paraId="2C409BCE">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⑤资产是否有偿使用及处置收入及时足额上缴。</w:t>
      </w:r>
    </w:p>
    <w:p w14:paraId="2A9CB6C8">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bookmarkEnd w:id="68"/>
      <w:bookmarkEnd w:id="69"/>
    </w:p>
    <w:p w14:paraId="6E8016E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（3）固定资产利用率（4分）</w:t>
      </w:r>
    </w:p>
    <w:p w14:paraId="0DBDAE5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部门（单位）实际在用固定资产总额与所有固定资产总额的比率，用以反映和考核部门（单位）固定资产使用效率程度。</w:t>
      </w:r>
    </w:p>
    <w:p w14:paraId="5B4B8EE4">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17304A91">
      <w:pPr>
        <w:pStyle w:val="4"/>
        <w:spacing w:before="0" w:after="0" w:line="540" w:lineRule="exact"/>
        <w:ind w:firstLine="643" w:firstLineChars="200"/>
        <w:jc w:val="both"/>
        <w:rPr>
          <w:rFonts w:ascii="楷体" w:hAnsi="楷体" w:eastAsia="楷体"/>
          <w:sz w:val="32"/>
        </w:rPr>
      </w:pPr>
      <w:bookmarkStart w:id="70" w:name="_Toc12330"/>
      <w:r>
        <w:rPr>
          <w:rFonts w:hint="eastAsia" w:ascii="楷体" w:hAnsi="楷体" w:eastAsia="楷体"/>
          <w:sz w:val="32"/>
        </w:rPr>
        <w:t>（三）产出（</w:t>
      </w:r>
      <w:r>
        <w:rPr>
          <w:rFonts w:ascii="楷体" w:hAnsi="楷体" w:eastAsia="楷体"/>
          <w:sz w:val="32"/>
        </w:rPr>
        <w:t>16</w:t>
      </w:r>
      <w:r>
        <w:rPr>
          <w:rFonts w:hint="eastAsia" w:ascii="楷体" w:hAnsi="楷体" w:eastAsia="楷体"/>
          <w:sz w:val="32"/>
        </w:rPr>
        <w:t>分）</w:t>
      </w:r>
      <w:bookmarkEnd w:id="70"/>
    </w:p>
    <w:p w14:paraId="30054376">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该一级指标包含责任履行一个二级指标，主要反映结转结余率，项目资金使用率，社区矫正人数，社区服刑人员再次犯罪率，法律援助案件办结率。</w:t>
      </w:r>
    </w:p>
    <w:p w14:paraId="3D44D01D">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14:paraId="2FA22FCC">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14:paraId="0738FC8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14:paraId="31F3B50F">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14:paraId="462DD19C">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14:paraId="6EB89545">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14:paraId="711F3494">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323FCB09">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14:paraId="4633416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14:paraId="41BFBE9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16</w:t>
            </w:r>
            <w:r>
              <w:rPr>
                <w:rFonts w:hint="eastAsia" w:cs="宋体" w:asciiTheme="minorEastAsia" w:hAnsiTheme="minorEastAsia" w:eastAsiaTheme="minorEastAsia"/>
                <w:sz w:val="21"/>
                <w:szCs w:val="21"/>
              </w:rPr>
              <w:t>分）</w:t>
            </w:r>
          </w:p>
        </w:tc>
        <w:tc>
          <w:tcPr>
            <w:tcW w:w="1004" w:type="dxa"/>
            <w:vMerge w:val="restart"/>
            <w:tcBorders>
              <w:top w:val="single" w:color="000000" w:sz="4" w:space="0"/>
              <w:left w:val="single" w:color="000000" w:sz="4" w:space="0"/>
              <w:right w:val="single" w:color="000000" w:sz="4" w:space="0"/>
            </w:tcBorders>
            <w:vAlign w:val="center"/>
          </w:tcPr>
          <w:p w14:paraId="46FD102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职责履行（</w:t>
            </w:r>
            <w:r>
              <w:rPr>
                <w:rFonts w:cs="宋体" w:asciiTheme="minorEastAsia" w:hAnsiTheme="minorEastAsia" w:eastAsiaTheme="minorEastAsia"/>
                <w:sz w:val="21"/>
                <w:szCs w:val="21"/>
              </w:rPr>
              <w:t>16</w:t>
            </w:r>
            <w:r>
              <w:rPr>
                <w:rFonts w:hint="eastAsia" w:cs="宋体" w:asciiTheme="minorEastAsia" w:hAnsiTheme="minorEastAsia" w:eastAsiaTheme="minorEastAsia"/>
                <w:sz w:val="21"/>
                <w:szCs w:val="21"/>
              </w:rPr>
              <w:t>分）</w:t>
            </w:r>
          </w:p>
        </w:tc>
        <w:tc>
          <w:tcPr>
            <w:tcW w:w="2536" w:type="dxa"/>
            <w:tcBorders>
              <w:top w:val="single" w:color="000000" w:sz="4" w:space="0"/>
              <w:left w:val="single" w:color="000000" w:sz="4" w:space="0"/>
              <w:bottom w:val="single" w:color="000000" w:sz="4" w:space="0"/>
              <w:right w:val="single" w:color="000000" w:sz="4" w:space="0"/>
            </w:tcBorders>
            <w:vAlign w:val="center"/>
          </w:tcPr>
          <w:p w14:paraId="75902DC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实际完成率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3DB2554E">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c>
          <w:tcPr>
            <w:tcW w:w="853" w:type="dxa"/>
            <w:tcBorders>
              <w:top w:val="single" w:color="000000" w:sz="4" w:space="0"/>
              <w:left w:val="single" w:color="000000" w:sz="4" w:space="0"/>
              <w:bottom w:val="single" w:color="000000" w:sz="4" w:space="0"/>
              <w:right w:val="single" w:color="000000" w:sz="4" w:space="0"/>
            </w:tcBorders>
            <w:vAlign w:val="center"/>
          </w:tcPr>
          <w:p w14:paraId="07987BC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FE3E52E">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4F6B6CE5">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6948327A">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3FC2373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完成及时率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0F02C000">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c>
          <w:tcPr>
            <w:tcW w:w="853" w:type="dxa"/>
            <w:tcBorders>
              <w:top w:val="single" w:color="000000" w:sz="4" w:space="0"/>
              <w:left w:val="single" w:color="000000" w:sz="4" w:space="0"/>
              <w:bottom w:val="single" w:color="000000" w:sz="4" w:space="0"/>
              <w:right w:val="single" w:color="000000" w:sz="4" w:space="0"/>
            </w:tcBorders>
            <w:vAlign w:val="center"/>
          </w:tcPr>
          <w:p w14:paraId="01DAF76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77371A79">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7C91785B">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52AC186E">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7977033B">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质量达标率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4D86FF7">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c>
          <w:tcPr>
            <w:tcW w:w="853" w:type="dxa"/>
            <w:tcBorders>
              <w:top w:val="single" w:color="000000" w:sz="4" w:space="0"/>
              <w:left w:val="single" w:color="000000" w:sz="4" w:space="0"/>
              <w:bottom w:val="single" w:color="000000" w:sz="4" w:space="0"/>
              <w:right w:val="single" w:color="000000" w:sz="4" w:space="0"/>
            </w:tcBorders>
            <w:vAlign w:val="center"/>
          </w:tcPr>
          <w:p w14:paraId="0CB940D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9581511">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14:paraId="36AA4D71">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14:paraId="1E9754FD">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14:paraId="11BD03C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重点工作办结率</w:t>
            </w:r>
          </w:p>
        </w:tc>
        <w:tc>
          <w:tcPr>
            <w:tcW w:w="1125" w:type="dxa"/>
            <w:tcBorders>
              <w:top w:val="single" w:color="000000" w:sz="4" w:space="0"/>
              <w:left w:val="single" w:color="000000" w:sz="4" w:space="0"/>
              <w:bottom w:val="single" w:color="000000" w:sz="4" w:space="0"/>
              <w:right w:val="single" w:color="000000" w:sz="4" w:space="0"/>
            </w:tcBorders>
            <w:vAlign w:val="center"/>
          </w:tcPr>
          <w:p w14:paraId="4189B79B">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c>
          <w:tcPr>
            <w:tcW w:w="853" w:type="dxa"/>
            <w:tcBorders>
              <w:top w:val="single" w:color="000000" w:sz="4" w:space="0"/>
              <w:left w:val="single" w:color="000000" w:sz="4" w:space="0"/>
              <w:bottom w:val="single" w:color="000000" w:sz="4" w:space="0"/>
              <w:right w:val="single" w:color="000000" w:sz="4" w:space="0"/>
            </w:tcBorders>
            <w:vAlign w:val="center"/>
          </w:tcPr>
          <w:p w14:paraId="024BDFB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41430A49">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14:paraId="63C438FF">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14:paraId="3600312E">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D16B467">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16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E94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w:t>
            </w:r>
          </w:p>
        </w:tc>
      </w:tr>
    </w:tbl>
    <w:p w14:paraId="2B8EFD4B">
      <w:pPr>
        <w:spacing w:after="0" w:line="540" w:lineRule="exact"/>
        <w:ind w:firstLine="640" w:firstLineChars="200"/>
        <w:jc w:val="both"/>
        <w:textAlignment w:val="baseline"/>
        <w:rPr>
          <w:rFonts w:ascii="仿宋_GB2312" w:eastAsia="仿宋_GB2312" w:cs="DengXian-Regular"/>
          <w:sz w:val="32"/>
          <w:szCs w:val="32"/>
        </w:rPr>
      </w:pPr>
      <w:bookmarkStart w:id="71" w:name="_Toc464638518"/>
      <w:bookmarkStart w:id="72" w:name="_Toc465149515"/>
      <w:r>
        <w:rPr>
          <w:rFonts w:hint="eastAsia" w:ascii="仿宋_GB2312" w:eastAsia="仿宋_GB2312" w:cs="DengXian-Regular"/>
          <w:sz w:val="32"/>
          <w:szCs w:val="32"/>
        </w:rPr>
        <w:t>1.实际完成率（</w:t>
      </w:r>
      <w:r>
        <w:rPr>
          <w:rFonts w:ascii="仿宋_GB2312" w:eastAsia="仿宋_GB2312" w:cs="DengXian-Regular"/>
          <w:sz w:val="32"/>
          <w:szCs w:val="32"/>
        </w:rPr>
        <w:t>4</w:t>
      </w:r>
      <w:r>
        <w:rPr>
          <w:rFonts w:hint="eastAsia" w:ascii="仿宋_GB2312" w:eastAsia="仿宋_GB2312" w:cs="DengXian-Regular"/>
          <w:sz w:val="32"/>
          <w:szCs w:val="32"/>
        </w:rPr>
        <w:t>分）</w:t>
      </w:r>
    </w:p>
    <w:p w14:paraId="6A2B9EA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该指标主要评价部门（单位）履行职责而实际完成工作数与计划工作数的比率，用以反映和考核部门（单位）履职工作任务目标的实现程度。</w:t>
      </w:r>
    </w:p>
    <w:p w14:paraId="44F1CAB4">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实际完成率=（实际完成工作数/计划工作数）×100%。</w:t>
      </w:r>
    </w:p>
    <w:p w14:paraId="0FBC8633">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实际完成工作数：一定时期（年度或规划期）内部门（单位）实际完成工作任务的数量。</w:t>
      </w:r>
    </w:p>
    <w:p w14:paraId="32CC3650">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3700DCDD">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w:t>
      </w:r>
      <w:r>
        <w:rPr>
          <w:rFonts w:ascii="仿宋_GB2312" w:eastAsia="仿宋_GB2312" w:cs="DengXian-Regular"/>
          <w:sz w:val="32"/>
          <w:szCs w:val="32"/>
        </w:rPr>
        <w:t>.</w:t>
      </w:r>
      <w:r>
        <w:rPr>
          <w:rFonts w:hint="eastAsia" w:ascii="仿宋_GB2312" w:eastAsia="仿宋_GB2312" w:cs="DengXian-Regular"/>
          <w:sz w:val="32"/>
          <w:szCs w:val="32"/>
        </w:rPr>
        <w:t>完成及时率（</w:t>
      </w:r>
      <w:r>
        <w:rPr>
          <w:rFonts w:ascii="仿宋_GB2312" w:eastAsia="仿宋_GB2312" w:cs="DengXian-Regular"/>
          <w:sz w:val="32"/>
          <w:szCs w:val="32"/>
        </w:rPr>
        <w:t>4</w:t>
      </w:r>
      <w:r>
        <w:rPr>
          <w:rFonts w:hint="eastAsia" w:ascii="仿宋_GB2312" w:eastAsia="仿宋_GB2312" w:cs="DengXian-Regular"/>
          <w:sz w:val="32"/>
          <w:szCs w:val="32"/>
        </w:rPr>
        <w:t>分）</w:t>
      </w:r>
    </w:p>
    <w:p w14:paraId="2313C1B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该指标主要评价部门（单位）在规定时限内及时完成的实际工作数与计划工作数的比率,用以反映和考核部门履职时效目标的实现程度。</w:t>
      </w:r>
    </w:p>
    <w:p w14:paraId="5FCB0D4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完成及时率=（及时完成实际工作数/计划工作数）×100%。</w:t>
      </w:r>
    </w:p>
    <w:p w14:paraId="79E5294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及时完成实际工作数：部门（单位）按照整体绩效目标确定的时限实际完成的工作任务数量。</w:t>
      </w:r>
    </w:p>
    <w:p w14:paraId="5CF6DB5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6DECA07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hint="eastAsia"/>
        </w:rPr>
        <w:t xml:space="preserve"> </w:t>
      </w:r>
      <w:r>
        <w:rPr>
          <w:rFonts w:hint="eastAsia" w:ascii="仿宋_GB2312" w:eastAsia="仿宋_GB2312" w:cs="DengXian-Regular"/>
          <w:sz w:val="32"/>
          <w:szCs w:val="32"/>
        </w:rPr>
        <w:t>质量达标率（4分）</w:t>
      </w:r>
    </w:p>
    <w:p w14:paraId="266BC0D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w:t>
      </w:r>
      <w:r>
        <w:rPr>
          <w:rFonts w:ascii="仿宋_GB2312" w:eastAsia="仿宋_GB2312" w:cs="DengXian-Regular"/>
          <w:sz w:val="32"/>
          <w:szCs w:val="32"/>
        </w:rPr>
        <w:t>指标主要评</w:t>
      </w:r>
      <w:r>
        <w:rPr>
          <w:rFonts w:hint="eastAsia" w:ascii="仿宋_GB2312" w:eastAsia="仿宋_GB2312" w:cs="DengXian-Regular"/>
          <w:sz w:val="32"/>
          <w:szCs w:val="32"/>
        </w:rPr>
        <w:t>价</w:t>
      </w:r>
      <w:r>
        <w:rPr>
          <w:rFonts w:ascii="仿宋_GB2312" w:eastAsia="仿宋_GB2312" w:cs="DengXian-Regular"/>
          <w:sz w:val="32"/>
          <w:szCs w:val="32"/>
        </w:rPr>
        <w:t>部门</w:t>
      </w:r>
      <w:r>
        <w:rPr>
          <w:rFonts w:hint="eastAsia" w:ascii="仿宋_GB2312" w:eastAsia="仿宋_GB2312" w:cs="DengXian-Regular"/>
          <w:sz w:val="32"/>
          <w:szCs w:val="32"/>
        </w:rPr>
        <w:t>达到质量标准（绩效标准值）的实际工作数与计划工作数的比率,用以反映和考核部门履职质量目标的实现程度。</w:t>
      </w:r>
    </w:p>
    <w:p w14:paraId="1546887D">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质量达标率=（质量达标实际工作数/计划工作数）×100%。</w:t>
      </w:r>
    </w:p>
    <w:p w14:paraId="5B229D7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质量达标实际工作数：一定时期（年度或规划期）内部门（单位）实际完成工作数中达到部门绩效目标要求（绩效标准值）的工作任务数量。</w:t>
      </w:r>
    </w:p>
    <w:p w14:paraId="5E695E31">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4</w:t>
      </w:r>
      <w:r>
        <w:rPr>
          <w:rFonts w:hint="eastAsia" w:ascii="仿宋_GB2312" w:eastAsia="仿宋_GB2312" w:cs="DengXian-Regular"/>
          <w:sz w:val="32"/>
          <w:szCs w:val="32"/>
        </w:rPr>
        <w:t>分。</w:t>
      </w:r>
    </w:p>
    <w:p w14:paraId="7D7EDE8E">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hint="eastAsia"/>
        </w:rPr>
        <w:t xml:space="preserve"> </w:t>
      </w:r>
      <w:r>
        <w:rPr>
          <w:rFonts w:hint="eastAsia" w:ascii="仿宋_GB2312" w:eastAsia="仿宋_GB2312" w:cs="DengXian-Regular"/>
          <w:sz w:val="32"/>
          <w:szCs w:val="32"/>
        </w:rPr>
        <w:t>重点工作办结率（4分）</w:t>
      </w:r>
    </w:p>
    <w:p w14:paraId="69E84AA6">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w:t>
      </w:r>
      <w:r>
        <w:rPr>
          <w:rFonts w:ascii="仿宋_GB2312" w:eastAsia="仿宋_GB2312" w:cs="DengXian-Regular"/>
          <w:sz w:val="32"/>
          <w:szCs w:val="32"/>
        </w:rPr>
        <w:t>主要评价部门</w:t>
      </w:r>
      <w:r>
        <w:rPr>
          <w:rFonts w:hint="eastAsia" w:ascii="仿宋_GB2312" w:eastAsia="仿宋_GB2312" w:cs="DengXian-Regular"/>
          <w:sz w:val="32"/>
          <w:szCs w:val="32"/>
        </w:rPr>
        <w:t>（单位）年度重点工作实际完成数与交办或下达数的比率，用以反映部门（单位）对重点工作的办理落实程度。重点工作办结率=（重点工作实际完成数/交办或下达数）×100%。</w:t>
      </w:r>
    </w:p>
    <w:p w14:paraId="2698EC63">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重点工作是指党委、政府、人大、相关部门交办或下达的工作任务。</w:t>
      </w:r>
    </w:p>
    <w:p w14:paraId="5B81291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w:t>
      </w:r>
      <w:r>
        <w:rPr>
          <w:rFonts w:ascii="仿宋_GB2312" w:eastAsia="仿宋_GB2312" w:cs="DengXian-Regular"/>
          <w:sz w:val="32"/>
          <w:szCs w:val="32"/>
        </w:rPr>
        <w:t>标实际</w:t>
      </w:r>
      <w:r>
        <w:rPr>
          <w:rFonts w:hint="eastAsia" w:ascii="仿宋_GB2312" w:eastAsia="仿宋_GB2312" w:cs="DengXian-Regular"/>
          <w:sz w:val="32"/>
          <w:szCs w:val="32"/>
        </w:rPr>
        <w:t>行</w:t>
      </w:r>
      <w:r>
        <w:rPr>
          <w:rFonts w:ascii="仿宋_GB2312" w:eastAsia="仿宋_GB2312" w:cs="DengXian-Regular"/>
          <w:sz w:val="32"/>
          <w:szCs w:val="32"/>
        </w:rPr>
        <w:t>分</w:t>
      </w:r>
      <w:r>
        <w:rPr>
          <w:rFonts w:hint="eastAsia" w:ascii="仿宋_GB2312" w:eastAsia="仿宋_GB2312" w:cs="DengXian-Regular"/>
          <w:sz w:val="32"/>
          <w:szCs w:val="32"/>
        </w:rPr>
        <w:t>4分</w:t>
      </w:r>
      <w:r>
        <w:rPr>
          <w:rFonts w:ascii="仿宋_GB2312" w:eastAsia="仿宋_GB2312" w:cs="DengXian-Regular"/>
          <w:sz w:val="32"/>
          <w:szCs w:val="32"/>
        </w:rPr>
        <w:t>。</w:t>
      </w:r>
    </w:p>
    <w:p w14:paraId="0018E917">
      <w:pPr>
        <w:pStyle w:val="4"/>
        <w:spacing w:before="0" w:after="0" w:line="540" w:lineRule="exact"/>
        <w:ind w:firstLine="643" w:firstLineChars="200"/>
        <w:jc w:val="both"/>
        <w:rPr>
          <w:rFonts w:ascii="楷体" w:hAnsi="楷体" w:eastAsia="楷体"/>
          <w:sz w:val="32"/>
        </w:rPr>
      </w:pPr>
      <w:bookmarkStart w:id="73" w:name="_Toc28363"/>
      <w:r>
        <w:rPr>
          <w:rFonts w:hint="eastAsia" w:ascii="楷体" w:hAnsi="楷体" w:eastAsia="楷体"/>
          <w:sz w:val="32"/>
        </w:rPr>
        <w:t>（四）效果</w:t>
      </w:r>
      <w:bookmarkEnd w:id="71"/>
      <w:bookmarkEnd w:id="72"/>
      <w:r>
        <w:rPr>
          <w:rFonts w:hint="eastAsia" w:ascii="楷体" w:hAnsi="楷体" w:eastAsia="楷体"/>
          <w:sz w:val="32"/>
        </w:rPr>
        <w:t>（1</w:t>
      </w:r>
      <w:r>
        <w:rPr>
          <w:rFonts w:ascii="楷体" w:hAnsi="楷体" w:eastAsia="楷体"/>
          <w:sz w:val="32"/>
        </w:rPr>
        <w:t>2</w:t>
      </w:r>
      <w:r>
        <w:rPr>
          <w:rFonts w:hint="eastAsia" w:ascii="楷体" w:hAnsi="楷体" w:eastAsia="楷体"/>
          <w:sz w:val="32"/>
        </w:rPr>
        <w:t>分）</w:t>
      </w:r>
      <w:bookmarkEnd w:id="73"/>
    </w:p>
    <w:p w14:paraId="60800856">
      <w:pPr>
        <w:spacing w:after="0" w:line="540" w:lineRule="exact"/>
        <w:ind w:firstLine="640" w:firstLineChars="200"/>
        <w:jc w:val="both"/>
        <w:textAlignment w:val="baseline"/>
        <w:rPr>
          <w:rFonts w:ascii="仿宋_GB2312" w:eastAsia="仿宋_GB2312" w:cs="DengXian-Regular"/>
          <w:sz w:val="32"/>
          <w:szCs w:val="32"/>
        </w:rPr>
      </w:pPr>
      <w:bookmarkStart w:id="74"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14:paraId="6DBCC409">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475"/>
        <w:gridCol w:w="855"/>
        <w:gridCol w:w="1045"/>
      </w:tblGrid>
      <w:tr w14:paraId="5BD9CDE2">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14:paraId="3F15C700">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14:paraId="564BFDD9">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475" w:type="dxa"/>
            <w:tcBorders>
              <w:top w:val="single" w:color="000000" w:sz="4" w:space="0"/>
              <w:left w:val="single" w:color="000000" w:sz="4" w:space="0"/>
              <w:bottom w:val="single" w:color="000000" w:sz="4" w:space="0"/>
              <w:right w:val="single" w:color="000000" w:sz="4" w:space="0"/>
            </w:tcBorders>
            <w:vAlign w:val="center"/>
          </w:tcPr>
          <w:p w14:paraId="6F65BBA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855" w:type="dxa"/>
            <w:tcBorders>
              <w:top w:val="single" w:color="000000" w:sz="4" w:space="0"/>
              <w:left w:val="single" w:color="000000" w:sz="4" w:space="0"/>
              <w:bottom w:val="single" w:color="000000" w:sz="4" w:space="0"/>
              <w:right w:val="single" w:color="000000" w:sz="4" w:space="0"/>
            </w:tcBorders>
            <w:vAlign w:val="center"/>
          </w:tcPr>
          <w:p w14:paraId="7FB9EC01">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14:paraId="181CF27E">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14:paraId="07F8AA23">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14:paraId="706C05C5">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效果</w:t>
            </w:r>
          </w:p>
          <w:p w14:paraId="32609C3A">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48A4E499">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14:paraId="6E2321A6">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分）</w:t>
            </w:r>
          </w:p>
        </w:tc>
        <w:tc>
          <w:tcPr>
            <w:tcW w:w="2475" w:type="dxa"/>
            <w:tcBorders>
              <w:top w:val="single" w:color="000000" w:sz="4" w:space="0"/>
              <w:left w:val="single" w:color="000000" w:sz="4" w:space="0"/>
              <w:bottom w:val="single" w:color="000000" w:sz="4" w:space="0"/>
              <w:right w:val="single" w:color="000000" w:sz="4" w:space="0"/>
            </w:tcBorders>
            <w:vAlign w:val="center"/>
          </w:tcPr>
          <w:p w14:paraId="20AE71F9">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经济效益</w:t>
            </w:r>
          </w:p>
        </w:tc>
        <w:tc>
          <w:tcPr>
            <w:tcW w:w="855" w:type="dxa"/>
            <w:tcBorders>
              <w:top w:val="single" w:color="000000" w:sz="4" w:space="0"/>
              <w:left w:val="single" w:color="000000" w:sz="4" w:space="0"/>
              <w:bottom w:val="single" w:color="000000" w:sz="4" w:space="0"/>
              <w:right w:val="single" w:color="000000" w:sz="4" w:space="0"/>
            </w:tcBorders>
            <w:vAlign w:val="center"/>
          </w:tcPr>
          <w:p w14:paraId="235E5F36">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2</w:t>
            </w:r>
          </w:p>
        </w:tc>
        <w:tc>
          <w:tcPr>
            <w:tcW w:w="1045" w:type="dxa"/>
            <w:tcBorders>
              <w:top w:val="single" w:color="000000" w:sz="4" w:space="0"/>
              <w:left w:val="single" w:color="000000" w:sz="4" w:space="0"/>
              <w:bottom w:val="single" w:color="000000" w:sz="4" w:space="0"/>
              <w:right w:val="single" w:color="000000" w:sz="4" w:space="0"/>
            </w:tcBorders>
            <w:vAlign w:val="center"/>
          </w:tcPr>
          <w:p w14:paraId="00FB711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3D1E8040">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487BBDA6">
            <w:pPr>
              <w:spacing w:after="0"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A84FD5A">
            <w:pPr>
              <w:spacing w:after="0" w:line="420" w:lineRule="exact"/>
              <w:jc w:val="center"/>
              <w:rPr>
                <w:rFonts w:cs="宋体" w:asciiTheme="minorEastAsia" w:hAnsiTheme="minorEastAsia" w:eastAsiaTheme="minorEastAsia"/>
                <w:sz w:val="21"/>
                <w:szCs w:val="21"/>
              </w:rPr>
            </w:pPr>
          </w:p>
        </w:tc>
        <w:tc>
          <w:tcPr>
            <w:tcW w:w="2475" w:type="dxa"/>
            <w:tcBorders>
              <w:top w:val="single" w:color="000000" w:sz="4" w:space="0"/>
              <w:left w:val="single" w:color="000000" w:sz="4" w:space="0"/>
              <w:bottom w:val="single" w:color="000000" w:sz="4" w:space="0"/>
              <w:right w:val="single" w:color="000000" w:sz="4" w:space="0"/>
            </w:tcBorders>
            <w:vAlign w:val="center"/>
          </w:tcPr>
          <w:p w14:paraId="423F3AE1">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社会效益</w:t>
            </w:r>
          </w:p>
        </w:tc>
        <w:tc>
          <w:tcPr>
            <w:tcW w:w="855" w:type="dxa"/>
            <w:tcBorders>
              <w:top w:val="single" w:color="000000" w:sz="4" w:space="0"/>
              <w:left w:val="single" w:color="000000" w:sz="4" w:space="0"/>
              <w:bottom w:val="single" w:color="000000" w:sz="4" w:space="0"/>
              <w:right w:val="single" w:color="000000" w:sz="4" w:space="0"/>
            </w:tcBorders>
            <w:vAlign w:val="center"/>
          </w:tcPr>
          <w:p w14:paraId="7881810C">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c>
          <w:tcPr>
            <w:tcW w:w="1045" w:type="dxa"/>
            <w:tcBorders>
              <w:top w:val="single" w:color="000000" w:sz="4" w:space="0"/>
              <w:left w:val="single" w:color="000000" w:sz="4" w:space="0"/>
              <w:bottom w:val="single" w:color="000000" w:sz="4" w:space="0"/>
              <w:right w:val="single" w:color="000000" w:sz="4" w:space="0"/>
            </w:tcBorders>
            <w:vAlign w:val="center"/>
          </w:tcPr>
          <w:p w14:paraId="56CDEF55">
            <w:pPr>
              <w:spacing w:line="420" w:lineRule="exact"/>
              <w:jc w:val="center"/>
              <w:rPr>
                <w:rFonts w:cs="宋体" w:asciiTheme="minorEastAsia" w:hAnsiTheme="minorEastAsia" w:eastAsiaTheme="minorEastAsia"/>
                <w:sz w:val="21"/>
                <w:szCs w:val="21"/>
              </w:rPr>
            </w:pPr>
            <w:r>
              <w:rPr>
                <w:rFonts w:cs="宋体" w:asciiTheme="minorEastAsia" w:hAnsiTheme="minorEastAsia" w:eastAsiaTheme="minorEastAsia"/>
                <w:sz w:val="21"/>
                <w:szCs w:val="21"/>
              </w:rPr>
              <w:t>4</w:t>
            </w:r>
          </w:p>
        </w:tc>
      </w:tr>
      <w:tr w14:paraId="7E2E732F">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4C42138A">
            <w:pPr>
              <w:spacing w:after="0"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58FE9DDD">
            <w:pPr>
              <w:spacing w:after="0" w:line="420" w:lineRule="exact"/>
              <w:jc w:val="center"/>
              <w:rPr>
                <w:rFonts w:cs="宋体" w:asciiTheme="minorEastAsia" w:hAnsiTheme="minorEastAsia" w:eastAsiaTheme="minorEastAsia"/>
                <w:sz w:val="21"/>
                <w:szCs w:val="21"/>
              </w:rPr>
            </w:pPr>
          </w:p>
        </w:tc>
        <w:tc>
          <w:tcPr>
            <w:tcW w:w="2475" w:type="dxa"/>
            <w:tcBorders>
              <w:top w:val="single" w:color="000000" w:sz="4" w:space="0"/>
              <w:left w:val="single" w:color="000000" w:sz="4" w:space="0"/>
              <w:bottom w:val="single" w:color="000000" w:sz="4" w:space="0"/>
              <w:right w:val="single" w:color="000000" w:sz="4" w:space="0"/>
            </w:tcBorders>
            <w:vAlign w:val="center"/>
          </w:tcPr>
          <w:p w14:paraId="329D4FF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生态效益</w:t>
            </w:r>
          </w:p>
        </w:tc>
        <w:tc>
          <w:tcPr>
            <w:tcW w:w="855" w:type="dxa"/>
            <w:tcBorders>
              <w:top w:val="single" w:color="000000" w:sz="4" w:space="0"/>
              <w:left w:val="single" w:color="000000" w:sz="4" w:space="0"/>
              <w:bottom w:val="single" w:color="000000" w:sz="4" w:space="0"/>
              <w:right w:val="single" w:color="000000" w:sz="4" w:space="0"/>
            </w:tcBorders>
            <w:vAlign w:val="center"/>
          </w:tcPr>
          <w:p w14:paraId="0E36DBA3">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045" w:type="dxa"/>
            <w:tcBorders>
              <w:top w:val="single" w:color="000000" w:sz="4" w:space="0"/>
              <w:left w:val="single" w:color="000000" w:sz="4" w:space="0"/>
              <w:bottom w:val="single" w:color="000000" w:sz="4" w:space="0"/>
              <w:right w:val="single" w:color="000000" w:sz="4" w:space="0"/>
            </w:tcBorders>
            <w:vAlign w:val="center"/>
          </w:tcPr>
          <w:p w14:paraId="3F885BE8">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r>
      <w:tr w14:paraId="40AEF763">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2D2ED833">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2FF7AD3A">
            <w:pPr>
              <w:spacing w:line="420" w:lineRule="exact"/>
              <w:jc w:val="center"/>
              <w:rPr>
                <w:rFonts w:cs="宋体" w:asciiTheme="minorEastAsia" w:hAnsiTheme="minorEastAsia" w:eastAsiaTheme="minorEastAsia"/>
                <w:sz w:val="21"/>
                <w:szCs w:val="21"/>
              </w:rPr>
            </w:pPr>
          </w:p>
        </w:tc>
        <w:tc>
          <w:tcPr>
            <w:tcW w:w="2475" w:type="dxa"/>
            <w:tcBorders>
              <w:top w:val="single" w:color="000000" w:sz="4" w:space="0"/>
              <w:left w:val="single" w:color="000000" w:sz="4" w:space="0"/>
              <w:bottom w:val="single" w:color="000000" w:sz="4" w:space="0"/>
              <w:right w:val="single" w:color="000000" w:sz="4" w:space="0"/>
            </w:tcBorders>
            <w:vAlign w:val="center"/>
          </w:tcPr>
          <w:p w14:paraId="1D647985">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18"/>
                <w:szCs w:val="18"/>
              </w:rPr>
              <w:t>社会公众或服务对象满意</w:t>
            </w:r>
            <w:r>
              <w:rPr>
                <w:rFonts w:hint="eastAsia" w:cs="宋体" w:asciiTheme="minorEastAsia" w:hAnsiTheme="minorEastAsia" w:eastAsiaTheme="minorEastAsia"/>
                <w:sz w:val="21"/>
                <w:szCs w:val="21"/>
              </w:rPr>
              <w:t>度</w:t>
            </w:r>
          </w:p>
        </w:tc>
        <w:tc>
          <w:tcPr>
            <w:tcW w:w="855" w:type="dxa"/>
            <w:tcBorders>
              <w:top w:val="single" w:color="000000" w:sz="4" w:space="0"/>
              <w:left w:val="single" w:color="000000" w:sz="4" w:space="0"/>
              <w:bottom w:val="single" w:color="000000" w:sz="4" w:space="0"/>
              <w:right w:val="single" w:color="000000" w:sz="4" w:space="0"/>
            </w:tcBorders>
            <w:vAlign w:val="center"/>
          </w:tcPr>
          <w:p w14:paraId="3737018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045" w:type="dxa"/>
            <w:tcBorders>
              <w:top w:val="single" w:color="000000" w:sz="4" w:space="0"/>
              <w:left w:val="single" w:color="000000" w:sz="4" w:space="0"/>
              <w:bottom w:val="single" w:color="000000" w:sz="4" w:space="0"/>
              <w:right w:val="single" w:color="000000" w:sz="4" w:space="0"/>
            </w:tcBorders>
            <w:vAlign w:val="center"/>
          </w:tcPr>
          <w:p w14:paraId="28E54007">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r>
      <w:tr w14:paraId="5EE94CF6">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14:paraId="75336492">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475" w:type="dxa"/>
            <w:tcBorders>
              <w:top w:val="single" w:color="000000" w:sz="4" w:space="0"/>
              <w:left w:val="single" w:color="000000" w:sz="4" w:space="0"/>
              <w:bottom w:val="single" w:color="000000" w:sz="4" w:space="0"/>
              <w:right w:val="single" w:color="000000" w:sz="4" w:space="0"/>
            </w:tcBorders>
            <w:vAlign w:val="center"/>
          </w:tcPr>
          <w:p w14:paraId="4543D457">
            <w:pPr>
              <w:spacing w:line="420" w:lineRule="exact"/>
              <w:jc w:val="center"/>
              <w:rPr>
                <w:rFonts w:cs="宋体" w:asciiTheme="minorEastAsia" w:hAnsiTheme="minorEastAsia" w:eastAsiaTheme="minorEastAsia"/>
                <w:sz w:val="21"/>
                <w:szCs w:val="21"/>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A197DEC">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2</w:t>
            </w:r>
          </w:p>
        </w:tc>
        <w:tc>
          <w:tcPr>
            <w:tcW w:w="1045" w:type="dxa"/>
            <w:tcBorders>
              <w:top w:val="single" w:color="000000" w:sz="4" w:space="0"/>
              <w:left w:val="single" w:color="000000" w:sz="4" w:space="0"/>
              <w:bottom w:val="single" w:color="000000" w:sz="4" w:space="0"/>
              <w:right w:val="single" w:color="000000" w:sz="4" w:space="0"/>
            </w:tcBorders>
            <w:vAlign w:val="center"/>
          </w:tcPr>
          <w:p w14:paraId="5A537D90">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w:t>
            </w:r>
            <w:r>
              <w:rPr>
                <w:rFonts w:cs="宋体" w:asciiTheme="minorEastAsia" w:hAnsiTheme="minorEastAsia" w:eastAsiaTheme="minorEastAsia"/>
                <w:sz w:val="21"/>
                <w:szCs w:val="21"/>
              </w:rPr>
              <w:t>2</w:t>
            </w:r>
          </w:p>
        </w:tc>
      </w:tr>
      <w:bookmarkEnd w:id="74"/>
    </w:tbl>
    <w:p w14:paraId="786B78B3">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w:t>
      </w:r>
      <w:r>
        <w:rPr>
          <w:rFonts w:hint="eastAsia" w:cs="宋体" w:asciiTheme="minorEastAsia" w:hAnsiTheme="minorEastAsia" w:eastAsiaTheme="minorEastAsia"/>
          <w:sz w:val="21"/>
          <w:szCs w:val="21"/>
        </w:rPr>
        <w:t xml:space="preserve"> </w:t>
      </w:r>
      <w:r>
        <w:rPr>
          <w:rFonts w:hint="eastAsia" w:ascii="仿宋_GB2312" w:eastAsia="仿宋_GB2312" w:cs="DengXian-Regular"/>
          <w:sz w:val="32"/>
          <w:szCs w:val="32"/>
        </w:rPr>
        <w:t>经济效益（</w:t>
      </w:r>
      <w:r>
        <w:rPr>
          <w:rFonts w:ascii="仿宋_GB2312" w:eastAsia="仿宋_GB2312" w:cs="DengXian-Regular"/>
          <w:sz w:val="32"/>
          <w:szCs w:val="32"/>
        </w:rPr>
        <w:t>2</w:t>
      </w:r>
      <w:r>
        <w:rPr>
          <w:rFonts w:hint="eastAsia" w:ascii="仿宋_GB2312" w:eastAsia="仿宋_GB2312" w:cs="DengXian-Regular"/>
          <w:sz w:val="32"/>
          <w:szCs w:val="32"/>
        </w:rPr>
        <w:t>分）</w:t>
      </w:r>
    </w:p>
    <w:p w14:paraId="15CB950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该指标主要评价部门（单位）履行职责对经济发展所带来的直接或间接影响。</w:t>
      </w:r>
    </w:p>
    <w:p w14:paraId="4695EB8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经查看区教体</w:t>
      </w:r>
      <w:r>
        <w:rPr>
          <w:rFonts w:ascii="仿宋_GB2312" w:eastAsia="仿宋_GB2312" w:cs="DengXian-Regular"/>
          <w:sz w:val="32"/>
          <w:szCs w:val="32"/>
        </w:rPr>
        <w:t>局</w:t>
      </w:r>
      <w:r>
        <w:rPr>
          <w:rFonts w:hint="eastAsia" w:ascii="仿宋_GB2312" w:eastAsia="仿宋_GB2312" w:cs="DengXian-Regular"/>
          <w:sz w:val="32"/>
          <w:szCs w:val="32"/>
        </w:rPr>
        <w:t>提供的相关资料，区教体</w:t>
      </w:r>
      <w:r>
        <w:rPr>
          <w:rFonts w:ascii="仿宋_GB2312" w:eastAsia="仿宋_GB2312" w:cs="DengXian-Regular"/>
          <w:sz w:val="32"/>
          <w:szCs w:val="32"/>
        </w:rPr>
        <w:t>局</w:t>
      </w:r>
      <w:r>
        <w:rPr>
          <w:rFonts w:hint="eastAsia" w:ascii="仿宋_GB2312" w:eastAsia="仿宋_GB2312" w:cs="DengXian-Regular"/>
          <w:sz w:val="32"/>
          <w:szCs w:val="32"/>
        </w:rPr>
        <w:t>履行职责对社会发展所带来的社会效益较显著，有效的提高了社会公众的文化意识。</w:t>
      </w:r>
    </w:p>
    <w:p w14:paraId="1EF542A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ascii="仿宋_GB2312" w:eastAsia="仿宋_GB2312" w:cs="DengXian-Regular"/>
          <w:sz w:val="32"/>
          <w:szCs w:val="32"/>
        </w:rPr>
        <w:t>2</w:t>
      </w:r>
      <w:r>
        <w:rPr>
          <w:rFonts w:hint="eastAsia" w:ascii="仿宋_GB2312" w:eastAsia="仿宋_GB2312" w:cs="DengXian-Regular"/>
          <w:sz w:val="32"/>
          <w:szCs w:val="32"/>
        </w:rPr>
        <w:t>分。</w:t>
      </w:r>
    </w:p>
    <w:p w14:paraId="674259C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2.社会效益（</w:t>
      </w:r>
      <w:r>
        <w:rPr>
          <w:rFonts w:ascii="仿宋_GB2312" w:eastAsia="仿宋_GB2312" w:cs="DengXian-Regular"/>
          <w:sz w:val="32"/>
          <w:szCs w:val="32"/>
        </w:rPr>
        <w:t>2</w:t>
      </w:r>
      <w:r>
        <w:rPr>
          <w:rFonts w:hint="eastAsia" w:ascii="仿宋_GB2312" w:eastAsia="仿宋_GB2312" w:cs="DengXian-Regular"/>
          <w:sz w:val="32"/>
          <w:szCs w:val="32"/>
        </w:rPr>
        <w:t>分）</w:t>
      </w:r>
    </w:p>
    <w:p w14:paraId="34B15AA5">
      <w:pPr>
        <w:spacing w:after="0" w:line="54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该指标主要评价部门（单位）履行职责对社会发展所带来的直接或间接影响。</w:t>
      </w:r>
    </w:p>
    <w:p w14:paraId="47FF234B">
      <w:pPr>
        <w:spacing w:after="0" w:line="54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该项</w:t>
      </w:r>
      <w:r>
        <w:rPr>
          <w:rFonts w:ascii="仿宋_GB2312" w:eastAsia="仿宋_GB2312" w:cs="Times New Roman" w:hAnsiTheme="minorEastAsia"/>
          <w:sz w:val="32"/>
          <w:szCs w:val="32"/>
          <w:u w:color="000000"/>
        </w:rPr>
        <w:t>指标实际得分</w:t>
      </w:r>
      <w:r>
        <w:rPr>
          <w:rFonts w:hint="eastAsia" w:ascii="仿宋_GB2312" w:eastAsia="仿宋_GB2312" w:cs="Times New Roman" w:hAnsiTheme="minorEastAsia"/>
          <w:sz w:val="32"/>
          <w:szCs w:val="32"/>
          <w:u w:color="000000"/>
        </w:rPr>
        <w:t>2分</w:t>
      </w:r>
      <w:r>
        <w:rPr>
          <w:rFonts w:ascii="仿宋_GB2312" w:eastAsia="仿宋_GB2312" w:cs="Times New Roman" w:hAnsiTheme="minorEastAsia"/>
          <w:sz w:val="32"/>
          <w:szCs w:val="32"/>
          <w:u w:color="000000"/>
        </w:rPr>
        <w:t>。</w:t>
      </w:r>
    </w:p>
    <w:p w14:paraId="3D6925E4">
      <w:pPr>
        <w:spacing w:after="0" w:line="54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w:t>
      </w:r>
      <w:r>
        <w:rPr>
          <w:rFonts w:ascii="仿宋_GB2312" w:eastAsia="仿宋_GB2312" w:cs="Times New Roman" w:hAnsiTheme="minorEastAsia"/>
          <w:sz w:val="32"/>
          <w:szCs w:val="32"/>
          <w:u w:color="000000"/>
        </w:rPr>
        <w:t>5</w:t>
      </w:r>
      <w:r>
        <w:rPr>
          <w:rFonts w:hint="eastAsia" w:ascii="仿宋_GB2312" w:eastAsia="仿宋_GB2312" w:cs="Times New Roman" w:hAnsiTheme="minorEastAsia"/>
          <w:sz w:val="32"/>
          <w:szCs w:val="32"/>
          <w:u w:color="000000"/>
        </w:rPr>
        <w:t>0个调查对象进行了问卷调查，具体调查情况如下：</w:t>
      </w:r>
    </w:p>
    <w:p w14:paraId="06372201">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14:paraId="61E20FBF">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14:paraId="03384F6E">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14:paraId="36D0D374">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14:paraId="435C9EAB">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14:paraId="4EB4EA94">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14:paraId="3381800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14:paraId="6B10D3D9">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14:paraId="2C62EED4">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9C5C113">
            <w:pPr>
              <w:spacing w:after="0" w:line="360" w:lineRule="auto"/>
              <w:jc w:val="both"/>
              <w:textAlignment w:val="baseline"/>
              <w:rPr>
                <w:rFonts w:ascii="仿宋" w:hAnsi="仿宋" w:eastAsia="仿宋" w:cs="Times New Roman"/>
                <w:sz w:val="21"/>
                <w:szCs w:val="21"/>
                <w:u w:color="000000"/>
              </w:rPr>
            </w:pPr>
            <w:r>
              <w:rPr>
                <w:rFonts w:hint="eastAsia" w:ascii="仿宋" w:hAnsi="仿宋" w:eastAsia="仿宋" w:cstheme="minorEastAsia"/>
                <w:spacing w:val="2"/>
                <w:sz w:val="21"/>
                <w:szCs w:val="21"/>
              </w:rPr>
              <w:t>对我区教育和体育基础设施或设备建设情况是否满意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38E8BDAC">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48</w:t>
            </w:r>
          </w:p>
        </w:tc>
        <w:tc>
          <w:tcPr>
            <w:tcW w:w="1134" w:type="dxa"/>
            <w:tcBorders>
              <w:top w:val="single" w:color="000000" w:sz="4" w:space="0"/>
              <w:left w:val="single" w:color="000000" w:sz="4" w:space="0"/>
              <w:bottom w:val="single" w:color="000000" w:sz="4" w:space="0"/>
              <w:right w:val="single" w:color="000000" w:sz="4" w:space="0"/>
            </w:tcBorders>
            <w:vAlign w:val="center"/>
          </w:tcPr>
          <w:p w14:paraId="0450250C">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w:t>
            </w:r>
          </w:p>
        </w:tc>
        <w:tc>
          <w:tcPr>
            <w:tcW w:w="1218" w:type="dxa"/>
            <w:tcBorders>
              <w:top w:val="single" w:color="000000" w:sz="4" w:space="0"/>
              <w:left w:val="single" w:color="000000" w:sz="4" w:space="0"/>
              <w:bottom w:val="single" w:color="000000" w:sz="4" w:space="0"/>
              <w:right w:val="single" w:color="000000" w:sz="4" w:space="0"/>
            </w:tcBorders>
            <w:vAlign w:val="center"/>
          </w:tcPr>
          <w:p w14:paraId="03524AF7">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5CA7401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C6E02A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98</w:t>
            </w:r>
          </w:p>
        </w:tc>
      </w:tr>
      <w:tr w14:paraId="5D9AA01C">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424F5DDF">
            <w:pPr>
              <w:spacing w:after="0" w:line="360" w:lineRule="auto"/>
              <w:jc w:val="both"/>
              <w:textAlignment w:val="baseline"/>
              <w:rPr>
                <w:rFonts w:cs="Times New Roman" w:asciiTheme="minorEastAsia" w:hAnsiTheme="minorEastAsia" w:eastAsiaTheme="minorEastAsia"/>
                <w:sz w:val="21"/>
                <w:szCs w:val="21"/>
                <w:u w:color="000000"/>
              </w:rPr>
            </w:pPr>
            <w:r>
              <w:rPr>
                <w:rFonts w:hint="eastAsia" w:ascii="仿宋" w:hAnsi="仿宋" w:eastAsia="仿宋" w:cstheme="minorEastAsia"/>
                <w:spacing w:val="2"/>
                <w:sz w:val="21"/>
                <w:szCs w:val="21"/>
              </w:rPr>
              <w:t>对我区教育和体育系统队伍人员招聘录用、管理培训、考核奖惩及人员素质情况是否满意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17E8219A">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49</w:t>
            </w:r>
          </w:p>
        </w:tc>
        <w:tc>
          <w:tcPr>
            <w:tcW w:w="1134" w:type="dxa"/>
            <w:tcBorders>
              <w:top w:val="single" w:color="000000" w:sz="4" w:space="0"/>
              <w:left w:val="single" w:color="000000" w:sz="4" w:space="0"/>
              <w:bottom w:val="single" w:color="000000" w:sz="4" w:space="0"/>
              <w:right w:val="single" w:color="000000" w:sz="4" w:space="0"/>
            </w:tcBorders>
            <w:vAlign w:val="center"/>
          </w:tcPr>
          <w:p w14:paraId="1CC344B9">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w:t>
            </w:r>
          </w:p>
        </w:tc>
        <w:tc>
          <w:tcPr>
            <w:tcW w:w="1218" w:type="dxa"/>
            <w:tcBorders>
              <w:top w:val="single" w:color="000000" w:sz="4" w:space="0"/>
              <w:left w:val="single" w:color="000000" w:sz="4" w:space="0"/>
              <w:bottom w:val="single" w:color="000000" w:sz="4" w:space="0"/>
              <w:right w:val="single" w:color="000000" w:sz="4" w:space="0"/>
            </w:tcBorders>
            <w:vAlign w:val="center"/>
          </w:tcPr>
          <w:p w14:paraId="508C1AA8">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37E4F777">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4D6E84A0">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99</w:t>
            </w:r>
          </w:p>
        </w:tc>
      </w:tr>
      <w:tr w14:paraId="133BF949">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3B17CFEE">
            <w:pPr>
              <w:spacing w:after="0" w:line="360" w:lineRule="auto"/>
              <w:jc w:val="both"/>
              <w:textAlignment w:val="baseline"/>
              <w:rPr>
                <w:rFonts w:cs="Times New Roman" w:asciiTheme="minorEastAsia" w:hAnsiTheme="minorEastAsia" w:eastAsiaTheme="minorEastAsia"/>
                <w:sz w:val="21"/>
                <w:szCs w:val="21"/>
                <w:u w:color="000000"/>
              </w:rPr>
            </w:pPr>
            <w:r>
              <w:rPr>
                <w:rFonts w:hint="eastAsia" w:ascii="仿宋" w:hAnsi="仿宋" w:eastAsia="仿宋" w:cstheme="minorEastAsia"/>
                <w:spacing w:val="2"/>
                <w:sz w:val="21"/>
                <w:szCs w:val="21"/>
              </w:rPr>
              <w:t>对我区学前教育、普通教育、高中教育、职业教育、成人教育、特殊教育的总体状况和办学水平及效果是否满意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0E3B72E6">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46</w:t>
            </w:r>
          </w:p>
        </w:tc>
        <w:tc>
          <w:tcPr>
            <w:tcW w:w="1134" w:type="dxa"/>
            <w:tcBorders>
              <w:top w:val="single" w:color="000000" w:sz="4" w:space="0"/>
              <w:left w:val="single" w:color="000000" w:sz="4" w:space="0"/>
              <w:bottom w:val="single" w:color="000000" w:sz="4" w:space="0"/>
              <w:right w:val="single" w:color="000000" w:sz="4" w:space="0"/>
            </w:tcBorders>
            <w:vAlign w:val="center"/>
          </w:tcPr>
          <w:p w14:paraId="57D26A90">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w:t>
            </w:r>
          </w:p>
        </w:tc>
        <w:tc>
          <w:tcPr>
            <w:tcW w:w="1218" w:type="dxa"/>
            <w:tcBorders>
              <w:top w:val="single" w:color="000000" w:sz="4" w:space="0"/>
              <w:left w:val="single" w:color="000000" w:sz="4" w:space="0"/>
              <w:bottom w:val="single" w:color="000000" w:sz="4" w:space="0"/>
              <w:right w:val="single" w:color="000000" w:sz="4" w:space="0"/>
            </w:tcBorders>
            <w:vAlign w:val="center"/>
          </w:tcPr>
          <w:p w14:paraId="1DA8FEC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x</w:t>
            </w:r>
          </w:p>
        </w:tc>
        <w:tc>
          <w:tcPr>
            <w:tcW w:w="767" w:type="dxa"/>
            <w:tcBorders>
              <w:top w:val="single" w:color="000000" w:sz="4" w:space="0"/>
              <w:left w:val="single" w:color="000000" w:sz="4" w:space="0"/>
              <w:bottom w:val="single" w:color="000000" w:sz="4" w:space="0"/>
              <w:right w:val="single" w:color="000000" w:sz="4" w:space="0"/>
            </w:tcBorders>
            <w:vAlign w:val="center"/>
          </w:tcPr>
          <w:p w14:paraId="5A9607A2">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63A05155">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92</w:t>
            </w:r>
          </w:p>
        </w:tc>
      </w:tr>
      <w:tr w14:paraId="3880B756">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14:paraId="2DFCF272">
            <w:pPr>
              <w:spacing w:after="0" w:line="360" w:lineRule="auto"/>
              <w:jc w:val="both"/>
              <w:textAlignment w:val="baseline"/>
              <w:rPr>
                <w:rFonts w:ascii="仿宋" w:hAnsi="仿宋" w:eastAsia="仿宋" w:cstheme="minorEastAsia"/>
                <w:spacing w:val="2"/>
                <w:sz w:val="21"/>
                <w:szCs w:val="21"/>
              </w:rPr>
            </w:pPr>
            <w:r>
              <w:rPr>
                <w:rFonts w:hint="eastAsia" w:ascii="仿宋" w:hAnsi="仿宋" w:eastAsia="仿宋" w:cstheme="minorEastAsia"/>
                <w:spacing w:val="2"/>
                <w:sz w:val="21"/>
                <w:szCs w:val="21"/>
              </w:rPr>
              <w:t>对我区体育竞赛、竞技运动项目的设置和组织情况是否满意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14:paraId="7927983B">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1134" w:type="dxa"/>
            <w:tcBorders>
              <w:top w:val="single" w:color="000000" w:sz="4" w:space="0"/>
              <w:left w:val="single" w:color="000000" w:sz="4" w:space="0"/>
              <w:bottom w:val="single" w:color="000000" w:sz="4" w:space="0"/>
              <w:right w:val="single" w:color="000000" w:sz="4" w:space="0"/>
            </w:tcBorders>
            <w:vAlign w:val="center"/>
          </w:tcPr>
          <w:p w14:paraId="29C040B6">
            <w:pPr>
              <w:spacing w:after="0" w:line="360" w:lineRule="auto"/>
              <w:jc w:val="center"/>
              <w:textAlignment w:val="baseline"/>
              <w:rPr>
                <w:rFonts w:cs="Times New Roman" w:asciiTheme="minorEastAsia" w:hAnsiTheme="minorEastAsia" w:eastAsiaTheme="minorEastAsia"/>
                <w:sz w:val="21"/>
                <w:szCs w:val="21"/>
                <w:u w:color="000000"/>
              </w:rPr>
            </w:pPr>
          </w:p>
        </w:tc>
        <w:tc>
          <w:tcPr>
            <w:tcW w:w="1218" w:type="dxa"/>
            <w:tcBorders>
              <w:top w:val="single" w:color="000000" w:sz="4" w:space="0"/>
              <w:left w:val="single" w:color="000000" w:sz="4" w:space="0"/>
              <w:bottom w:val="single" w:color="000000" w:sz="4" w:space="0"/>
              <w:right w:val="single" w:color="000000" w:sz="4" w:space="0"/>
            </w:tcBorders>
            <w:vAlign w:val="center"/>
          </w:tcPr>
          <w:p w14:paraId="582FC184">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14:paraId="2CEA65D1">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14:paraId="09D5495C">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100</w:t>
            </w:r>
          </w:p>
        </w:tc>
      </w:tr>
    </w:tbl>
    <w:p w14:paraId="6BB8BE8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w:t>
      </w:r>
      <w:r>
        <w:rPr>
          <w:rFonts w:ascii="仿宋_GB2312" w:eastAsia="仿宋_GB2312" w:cs="Times New Roman" w:hAnsiTheme="minorEastAsia"/>
          <w:sz w:val="32"/>
          <w:szCs w:val="32"/>
          <w:u w:color="000000"/>
        </w:rPr>
        <w:t>4</w:t>
      </w:r>
      <w:r>
        <w:rPr>
          <w:rFonts w:hint="eastAsia" w:ascii="仿宋_GB2312" w:eastAsia="仿宋_GB2312" w:cs="Times New Roman" w:hAnsiTheme="minorEastAsia"/>
          <w:sz w:val="32"/>
          <w:szCs w:val="32"/>
          <w:u w:color="000000"/>
        </w:rPr>
        <w:t>个单项，每个单项满分为</w:t>
      </w:r>
      <w:r>
        <w:rPr>
          <w:rFonts w:ascii="仿宋_GB2312" w:eastAsia="仿宋_GB2312" w:cs="Times New Roman" w:hAnsiTheme="minorEastAsia"/>
          <w:sz w:val="32"/>
          <w:szCs w:val="32"/>
          <w:u w:color="000000"/>
        </w:rPr>
        <w:t>100</w:t>
      </w:r>
      <w:r>
        <w:rPr>
          <w:rFonts w:hint="eastAsia" w:ascii="仿宋_GB2312" w:eastAsia="仿宋_GB2312" w:cs="Times New Roman" w:hAnsiTheme="minorEastAsia"/>
          <w:sz w:val="32"/>
          <w:szCs w:val="32"/>
          <w:u w:color="000000"/>
        </w:rPr>
        <w:t>分。其中：每一单项满分为</w:t>
      </w:r>
      <w:r>
        <w:rPr>
          <w:rFonts w:ascii="仿宋_GB2312" w:eastAsia="仿宋_GB2312" w:cs="Times New Roman" w:hAnsiTheme="minorEastAsia"/>
          <w:sz w:val="32"/>
          <w:szCs w:val="32"/>
          <w:u w:color="000000"/>
        </w:rPr>
        <w:t>100</w:t>
      </w:r>
      <w:r>
        <w:rPr>
          <w:rFonts w:hint="eastAsia" w:ascii="仿宋_GB2312" w:eastAsia="仿宋_GB2312" w:cs="Times New Roman" w:hAnsiTheme="minorEastAsia"/>
          <w:sz w:val="32"/>
          <w:szCs w:val="32"/>
          <w:u w:color="000000"/>
        </w:rPr>
        <w:t>分：满意为</w:t>
      </w:r>
      <w:r>
        <w:rPr>
          <w:rFonts w:ascii="仿宋_GB2312" w:eastAsia="仿宋_GB2312" w:cs="Times New Roman" w:hAnsiTheme="minorEastAsia"/>
          <w:sz w:val="32"/>
          <w:szCs w:val="32"/>
          <w:u w:color="000000"/>
        </w:rPr>
        <w:t>2</w:t>
      </w:r>
      <w:r>
        <w:rPr>
          <w:rFonts w:hint="eastAsia" w:ascii="仿宋_GB2312" w:eastAsia="仿宋_GB2312" w:cs="Times New Roman" w:hAnsiTheme="minorEastAsia"/>
          <w:sz w:val="32"/>
          <w:szCs w:val="32"/>
          <w:u w:color="000000"/>
        </w:rPr>
        <w:t>分，一般为</w:t>
      </w:r>
      <w:r>
        <w:rPr>
          <w:rFonts w:ascii="仿宋_GB2312" w:eastAsia="仿宋_GB2312" w:cs="Times New Roman" w:hAnsiTheme="minorEastAsia"/>
          <w:sz w:val="32"/>
          <w:szCs w:val="32"/>
          <w:u w:color="000000"/>
        </w:rPr>
        <w:t>1</w:t>
      </w:r>
      <w:r>
        <w:rPr>
          <w:rFonts w:hint="eastAsia" w:ascii="仿宋_GB2312" w:eastAsia="仿宋_GB2312" w:cs="Times New Roman" w:hAnsiTheme="minorEastAsia"/>
          <w:sz w:val="32"/>
          <w:szCs w:val="32"/>
          <w:u w:color="000000"/>
        </w:rPr>
        <w:t>分，不满意为0分。</w:t>
      </w:r>
    </w:p>
    <w:p w14:paraId="43111674">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14:paraId="5C8B5C9C">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w:t>
      </w:r>
      <w:r>
        <w:rPr>
          <w:rFonts w:ascii="仿宋_GB2312" w:eastAsia="仿宋_GB2312" w:cs="Times New Roman" w:hAnsiTheme="minorEastAsia"/>
          <w:sz w:val="32"/>
          <w:szCs w:val="32"/>
          <w:u w:color="000000"/>
        </w:rPr>
        <w:t>4</w:t>
      </w:r>
      <w:r>
        <w:rPr>
          <w:rFonts w:hint="eastAsia" w:ascii="仿宋_GB2312" w:eastAsia="仿宋_GB2312" w:cs="Times New Roman" w:hAnsiTheme="minorEastAsia"/>
          <w:sz w:val="32"/>
          <w:szCs w:val="32"/>
          <w:u w:color="000000"/>
        </w:rPr>
        <w:t>各单项满意度得分</w:t>
      </w:r>
    </w:p>
    <w:p w14:paraId="3ABE1158">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ascii="仿宋_GB2312" w:eastAsia="仿宋_GB2312" w:cs="Times New Roman" w:hAnsiTheme="minorEastAsia"/>
          <w:sz w:val="32"/>
          <w:szCs w:val="32"/>
          <w:u w:color="000000"/>
        </w:rPr>
        <w:t>97.7</w:t>
      </w:r>
      <w:r>
        <w:rPr>
          <w:rFonts w:hint="eastAsia" w:ascii="仿宋_GB2312" w:eastAsia="仿宋_GB2312" w:cs="Times New Roman" w:hAnsiTheme="minorEastAsia"/>
          <w:sz w:val="32"/>
          <w:szCs w:val="32"/>
          <w:u w:color="000000"/>
        </w:rPr>
        <w:t>分，大于90分，评价等级为“优”。</w:t>
      </w:r>
    </w:p>
    <w:p w14:paraId="65008FD2">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ascii="仿宋_GB2312" w:eastAsia="仿宋_GB2312" w:cs="Times New Roman" w:hAnsiTheme="minorEastAsia"/>
          <w:sz w:val="32"/>
          <w:szCs w:val="32"/>
          <w:u w:color="000000"/>
        </w:rPr>
        <w:t>4</w:t>
      </w:r>
      <w:r>
        <w:rPr>
          <w:rFonts w:hint="eastAsia" w:ascii="仿宋_GB2312" w:eastAsia="仿宋_GB2312" w:cs="Times New Roman" w:hAnsiTheme="minorEastAsia"/>
          <w:sz w:val="32"/>
          <w:szCs w:val="32"/>
          <w:u w:color="000000"/>
        </w:rPr>
        <w:t>分。</w:t>
      </w:r>
    </w:p>
    <w:p w14:paraId="76C37F0D">
      <w:pPr>
        <w:pStyle w:val="3"/>
        <w:keepNext w:val="0"/>
        <w:keepLines w:val="0"/>
        <w:suppressLineNumbers/>
        <w:spacing w:before="0" w:after="0" w:line="360" w:lineRule="auto"/>
        <w:ind w:firstLine="643" w:firstLineChars="200"/>
        <w:rPr>
          <w:rFonts w:ascii="黑体"/>
        </w:rPr>
      </w:pPr>
      <w:r>
        <w:rPr>
          <w:rFonts w:hint="eastAsia" w:ascii="黑体"/>
        </w:rPr>
        <w:t>五、绩效评价发现的问题</w:t>
      </w:r>
      <w:bookmarkEnd w:id="58"/>
      <w:bookmarkEnd w:id="59"/>
      <w:bookmarkEnd w:id="60"/>
      <w:bookmarkEnd w:id="61"/>
      <w:bookmarkStart w:id="75" w:name="_Toc492652789"/>
    </w:p>
    <w:bookmarkEnd w:id="75"/>
    <w:p w14:paraId="27559E6B">
      <w:pPr>
        <w:spacing w:after="0" w:line="540" w:lineRule="exact"/>
        <w:ind w:firstLine="640" w:firstLineChars="200"/>
        <w:jc w:val="both"/>
        <w:textAlignment w:val="baseline"/>
        <w:rPr>
          <w:rFonts w:ascii="仿宋_GB2312" w:eastAsia="仿宋_GB2312" w:cs="Times New Roman" w:hAnsiTheme="minorEastAsia"/>
          <w:sz w:val="32"/>
          <w:szCs w:val="32"/>
          <w:u w:color="000000"/>
        </w:rPr>
      </w:pPr>
      <w:bookmarkStart w:id="76" w:name="_Toc465149521"/>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区教体</w:t>
      </w:r>
      <w:r>
        <w:rPr>
          <w:rFonts w:ascii="仿宋_GB2312" w:eastAsia="仿宋_GB2312" w:cs="DengXian-Regular"/>
          <w:sz w:val="32"/>
          <w:szCs w:val="32"/>
        </w:rPr>
        <w:t>局</w:t>
      </w:r>
      <w:r>
        <w:rPr>
          <w:rFonts w:hint="eastAsia" w:ascii="仿宋_GB2312" w:eastAsia="仿宋_GB2312" w:cs="Times New Roman" w:hAnsiTheme="minorEastAsia"/>
          <w:sz w:val="32"/>
          <w:szCs w:val="32"/>
          <w:u w:color="000000"/>
        </w:rPr>
        <w:t>2020年部门整体支出基本按相关要求执行预算、决算，完成了绩效目标，资金使用效益良好。通过评价，也发现一些不足之处，具体情况如下：</w:t>
      </w:r>
      <w:bookmarkStart w:id="77" w:name="_Toc20723"/>
    </w:p>
    <w:p w14:paraId="49AB2E26">
      <w:pPr>
        <w:spacing w:after="0" w:line="54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1.支付进度方面。</w:t>
      </w:r>
    </w:p>
    <w:p w14:paraId="2649B841">
      <w:pPr>
        <w:spacing w:after="0" w:line="54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2.项目资金使用率方面。</w:t>
      </w:r>
    </w:p>
    <w:p w14:paraId="2F6E8A27">
      <w:pPr>
        <w:spacing w:after="0" w:line="54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3.资产</w:t>
      </w:r>
      <w:r>
        <w:rPr>
          <w:rFonts w:ascii="仿宋_GB2312" w:eastAsia="仿宋_GB2312" w:cs="Times New Roman" w:hAnsiTheme="minorEastAsia"/>
          <w:sz w:val="32"/>
          <w:szCs w:val="32"/>
          <w:u w:color="000000"/>
        </w:rPr>
        <w:t>管理</w:t>
      </w:r>
      <w:r>
        <w:rPr>
          <w:rFonts w:hint="eastAsia" w:ascii="仿宋_GB2312" w:eastAsia="仿宋_GB2312" w:cs="Times New Roman" w:hAnsiTheme="minorEastAsia"/>
          <w:sz w:val="32"/>
          <w:szCs w:val="32"/>
          <w:u w:color="000000"/>
        </w:rPr>
        <w:t>方面</w:t>
      </w:r>
    </w:p>
    <w:p w14:paraId="5DDBD07B">
      <w:pPr>
        <w:spacing w:after="0" w:line="54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4.政府采购方面</w:t>
      </w:r>
    </w:p>
    <w:bookmarkEnd w:id="77"/>
    <w:p w14:paraId="2D012FE4">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针对此次绩效评价过程中发现的问题，我部门</w:t>
      </w:r>
      <w:r>
        <w:rPr>
          <w:rFonts w:ascii="仿宋_GB2312" w:eastAsia="仿宋_GB2312" w:cs="DengXian-Regular"/>
          <w:sz w:val="32"/>
          <w:szCs w:val="32"/>
        </w:rPr>
        <w:t>计划采取以下措施</w:t>
      </w:r>
      <w:r>
        <w:rPr>
          <w:rFonts w:hint="eastAsia" w:ascii="仿宋_GB2312" w:eastAsia="仿宋_GB2312" w:cs="DengXian-Regular"/>
          <w:sz w:val="32"/>
          <w:szCs w:val="32"/>
        </w:rPr>
        <w:t>：</w:t>
      </w:r>
    </w:p>
    <w:p w14:paraId="5720FC5F">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1.提高预算编制质量</w:t>
      </w:r>
    </w:p>
    <w:p w14:paraId="37542FA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14:paraId="2AF5B4D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2.提高项目资金使用率</w:t>
      </w:r>
    </w:p>
    <w:p w14:paraId="654479B1">
      <w:pPr>
        <w:spacing w:after="0" w:line="540" w:lineRule="exact"/>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加强对项目资金的梳理，督促项目进度和资金支付进度，对于按规定可以结转至下年的中央及省级项目资金，在下年的项目安排时优先考虑。</w:t>
      </w:r>
    </w:p>
    <w:p w14:paraId="09257DE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w:t>
      </w:r>
      <w:r>
        <w:rPr>
          <w:rFonts w:hint="eastAsia" w:ascii="仿宋_GB2312" w:eastAsia="仿宋_GB2312" w:cs="DengXian-Regular"/>
          <w:sz w:val="32"/>
          <w:szCs w:val="32"/>
        </w:rPr>
        <w:t>加强</w:t>
      </w:r>
      <w:r>
        <w:rPr>
          <w:rFonts w:ascii="仿宋_GB2312" w:eastAsia="仿宋_GB2312" w:cs="DengXian-Regular"/>
          <w:sz w:val="32"/>
          <w:szCs w:val="32"/>
        </w:rPr>
        <w:t>固定资产管理</w:t>
      </w:r>
    </w:p>
    <w:p w14:paraId="0B8CB635">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加强</w:t>
      </w:r>
      <w:r>
        <w:rPr>
          <w:rFonts w:ascii="仿宋_GB2312" w:eastAsia="仿宋_GB2312" w:cs="DengXian-Regular"/>
          <w:sz w:val="32"/>
          <w:szCs w:val="32"/>
        </w:rPr>
        <w:t>各</w:t>
      </w:r>
      <w:r>
        <w:rPr>
          <w:rFonts w:hint="eastAsia" w:ascii="仿宋_GB2312" w:eastAsia="仿宋_GB2312" w:cs="DengXian-Regular"/>
          <w:sz w:val="32"/>
          <w:szCs w:val="32"/>
        </w:rPr>
        <w:t>单位固</w:t>
      </w:r>
      <w:r>
        <w:rPr>
          <w:rFonts w:ascii="仿宋_GB2312" w:eastAsia="仿宋_GB2312" w:cs="DengXian-Regular"/>
          <w:sz w:val="32"/>
          <w:szCs w:val="32"/>
        </w:rPr>
        <w:t>定资产管理，</w:t>
      </w:r>
      <w:r>
        <w:rPr>
          <w:rFonts w:hint="eastAsia" w:ascii="仿宋_GB2312" w:eastAsia="仿宋_GB2312" w:cs="DengXian-Regular"/>
          <w:sz w:val="32"/>
          <w:szCs w:val="32"/>
        </w:rPr>
        <w:t>严防国</w:t>
      </w:r>
      <w:r>
        <w:rPr>
          <w:rFonts w:ascii="仿宋_GB2312" w:eastAsia="仿宋_GB2312" w:cs="DengXian-Regular"/>
          <w:sz w:val="32"/>
          <w:szCs w:val="32"/>
        </w:rPr>
        <w:t>有资产流失。</w:t>
      </w:r>
    </w:p>
    <w:p w14:paraId="69621108">
      <w:pPr>
        <w:pStyle w:val="3"/>
        <w:keepNext w:val="0"/>
        <w:keepLines w:val="0"/>
        <w:suppressLineNumbers/>
        <w:spacing w:before="0" w:after="0" w:line="540" w:lineRule="exact"/>
        <w:ind w:firstLine="643" w:firstLineChars="200"/>
        <w:rPr>
          <w:rFonts w:ascii="黑体"/>
        </w:rPr>
      </w:pPr>
      <w:r>
        <w:rPr>
          <w:rFonts w:hint="eastAsia" w:ascii="黑体"/>
        </w:rPr>
        <w:t>六、绩效评价组织机构</w:t>
      </w:r>
    </w:p>
    <w:p w14:paraId="762265E2">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组  长：杨二永</w:t>
      </w:r>
    </w:p>
    <w:p w14:paraId="34C70DC8">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副组长：郭志</w:t>
      </w:r>
      <w:r>
        <w:rPr>
          <w:rFonts w:ascii="仿宋_GB2312" w:eastAsia="仿宋_GB2312" w:cs="DengXian-Regular"/>
          <w:sz w:val="32"/>
          <w:szCs w:val="32"/>
        </w:rPr>
        <w:t>东</w:t>
      </w:r>
    </w:p>
    <w:p w14:paraId="23BBD34B">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组  员：王丽行 陈波 范国英 安国医 刘艳　</w:t>
      </w:r>
      <w:r>
        <w:rPr>
          <w:rFonts w:ascii="仿宋_GB2312" w:eastAsia="仿宋_GB2312" w:cs="DengXian-Regular"/>
          <w:sz w:val="32"/>
          <w:szCs w:val="32"/>
        </w:rPr>
        <w:t>苏辰刚</w:t>
      </w:r>
    </w:p>
    <w:p w14:paraId="4DA9FB5C">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附件：1.保定市徐水区教育和</w:t>
      </w:r>
      <w:r>
        <w:rPr>
          <w:rFonts w:ascii="仿宋_GB2312" w:eastAsia="仿宋_GB2312" w:cs="DengXian-Regular"/>
          <w:sz w:val="32"/>
          <w:szCs w:val="32"/>
        </w:rPr>
        <w:t>体育</w:t>
      </w:r>
      <w:r>
        <w:rPr>
          <w:rFonts w:hint="eastAsia" w:ascii="仿宋_GB2312" w:eastAsia="仿宋_GB2312" w:cs="DengXian-Regular"/>
          <w:sz w:val="32"/>
          <w:szCs w:val="32"/>
        </w:rPr>
        <w:t>部门基本情况及主要职责</w:t>
      </w:r>
    </w:p>
    <w:p w14:paraId="6FDE9269">
      <w:pPr>
        <w:spacing w:after="0" w:line="540" w:lineRule="exact"/>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w:t>
      </w:r>
      <w:r>
        <w:rPr>
          <w:rFonts w:ascii="仿宋_GB2312" w:eastAsia="仿宋_GB2312" w:cs="DengXian-Regular"/>
          <w:sz w:val="32"/>
          <w:szCs w:val="32"/>
        </w:rPr>
        <w:t>2021</w:t>
      </w:r>
      <w:r>
        <w:rPr>
          <w:rFonts w:hint="eastAsia" w:ascii="仿宋_GB2312" w:eastAsia="仿宋_GB2312" w:cs="DengXian-Regular"/>
          <w:sz w:val="32"/>
          <w:szCs w:val="32"/>
        </w:rPr>
        <w:t>年度保定市徐水区教育和</w:t>
      </w:r>
      <w:r>
        <w:rPr>
          <w:rFonts w:ascii="仿宋_GB2312" w:eastAsia="仿宋_GB2312" w:cs="DengXian-Regular"/>
          <w:sz w:val="32"/>
          <w:szCs w:val="32"/>
        </w:rPr>
        <w:t>体育局</w:t>
      </w:r>
      <w:r>
        <w:rPr>
          <w:rFonts w:hint="eastAsia" w:ascii="仿宋_GB2312" w:eastAsia="仿宋_GB2312" w:cs="DengXian-Regular"/>
          <w:sz w:val="32"/>
          <w:szCs w:val="32"/>
        </w:rPr>
        <w:t>收支预算及决算明细表</w:t>
      </w:r>
    </w:p>
    <w:p w14:paraId="3789C2A4">
      <w:pPr>
        <w:spacing w:after="0" w:line="540" w:lineRule="exact"/>
        <w:ind w:firstLine="640" w:firstLineChars="200"/>
        <w:jc w:val="both"/>
        <w:textAlignment w:val="baseline"/>
        <w:rPr>
          <w:rFonts w:ascii="仿宋_GB2312" w:eastAsia="仿宋_GB2312" w:cs="DengXian-Regular"/>
          <w:sz w:val="32"/>
          <w:szCs w:val="32"/>
        </w:rPr>
      </w:pPr>
      <w:bookmarkStart w:id="78" w:name="_Toc465149534"/>
      <w:r>
        <w:rPr>
          <w:rFonts w:hint="eastAsia" w:ascii="仿宋_GB2312" w:eastAsia="仿宋_GB2312" w:cs="DengXian-Regular"/>
          <w:sz w:val="32"/>
          <w:szCs w:val="32"/>
        </w:rPr>
        <w:t>3.</w:t>
      </w:r>
      <w:bookmarkEnd w:id="78"/>
      <w:r>
        <w:rPr>
          <w:rFonts w:hint="eastAsia" w:ascii="仿宋_GB2312" w:eastAsia="仿宋_GB2312" w:cs="DengXian-Regular"/>
          <w:sz w:val="32"/>
          <w:szCs w:val="32"/>
        </w:rPr>
        <w:t>部门整体支出绩效评价指标体系</w:t>
      </w:r>
    </w:p>
    <w:p w14:paraId="4F45D2C2">
      <w:pPr>
        <w:spacing w:after="0" w:line="540" w:lineRule="exact"/>
        <w:ind w:firstLine="640" w:firstLineChars="200"/>
        <w:jc w:val="both"/>
        <w:textAlignment w:val="baseline"/>
        <w:rPr>
          <w:rFonts w:ascii="仿宋_GB2312" w:eastAsia="仿宋_GB2312" w:cs="DengXian-Regular"/>
          <w:sz w:val="32"/>
          <w:szCs w:val="32"/>
        </w:rPr>
      </w:pPr>
      <w:bookmarkStart w:id="79" w:name="_Toc465149544"/>
      <w:r>
        <w:rPr>
          <w:rFonts w:hint="eastAsia" w:ascii="仿宋_GB2312" w:eastAsia="仿宋_GB2312" w:cs="DengXian-Regular"/>
          <w:sz w:val="32"/>
          <w:szCs w:val="32"/>
        </w:rPr>
        <w:t>4.</w:t>
      </w:r>
      <w:bookmarkEnd w:id="79"/>
      <w:r>
        <w:rPr>
          <w:rFonts w:ascii="仿宋_GB2312" w:eastAsia="仿宋_GB2312" w:cs="DengXian-Regular"/>
          <w:sz w:val="32"/>
          <w:szCs w:val="32"/>
        </w:rPr>
        <w:t>2021</w:t>
      </w:r>
      <w:r>
        <w:rPr>
          <w:rFonts w:hint="eastAsia" w:ascii="仿宋_GB2312" w:eastAsia="仿宋_GB2312" w:cs="DengXian-Regular"/>
          <w:sz w:val="32"/>
          <w:szCs w:val="32"/>
        </w:rPr>
        <w:t>年徐水区教育和</w:t>
      </w:r>
      <w:r>
        <w:rPr>
          <w:rFonts w:ascii="仿宋_GB2312" w:eastAsia="仿宋_GB2312" w:cs="DengXian-Regular"/>
          <w:sz w:val="32"/>
          <w:szCs w:val="32"/>
        </w:rPr>
        <w:t>体育局</w:t>
      </w:r>
      <w:r>
        <w:rPr>
          <w:rFonts w:hint="eastAsia" w:ascii="仿宋_GB2312" w:eastAsia="仿宋_GB2312" w:cs="DengXian-Regular"/>
          <w:sz w:val="32"/>
          <w:szCs w:val="32"/>
        </w:rPr>
        <w:t>工作活动绩效目标、绩效指标一览表</w:t>
      </w:r>
      <w:bookmarkEnd w:id="76"/>
    </w:p>
    <w:p w14:paraId="4A5A833B">
      <w:pPr>
        <w:spacing w:line="540" w:lineRule="exact"/>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DengXian-Regular">
    <w:altName w:val="华文仿宋"/>
    <w:panose1 w:val="00000000000000000000"/>
    <w:charset w:val="86"/>
    <w:family w:val="auto"/>
    <w:pitch w:val="default"/>
    <w:sig w:usb0="00000000" w:usb1="00000000" w:usb2="00000010" w:usb3="00000000" w:csb0="00040001" w:csb1="00000000"/>
  </w:font>
  <w:font w:name="华文仿宋">
    <w:panose1 w:val="02010600040101010101"/>
    <w:charset w:val="86"/>
    <w:family w:val="auto"/>
    <w:pitch w:val="default"/>
    <w:sig w:usb0="00000287" w:usb1="080F0000" w:usb2="00000000" w:usb3="00000000" w:csb0="0004009F" w:csb1="DFD70000"/>
  </w:font>
  <w:font w:name="楷体">
    <w:altName w:val="方正楷体_GBK"/>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F3A1">
    <w:pPr>
      <w:pStyle w:val="14"/>
      <w:jc w:val="center"/>
    </w:pPr>
  </w:p>
  <w:p w14:paraId="759776B9">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8DCA3">
    <w:pPr>
      <w:pStyle w:val="14"/>
      <w:jc w:val="center"/>
    </w:pPr>
    <w:r>
      <w:fldChar w:fldCharType="begin"/>
    </w:r>
    <w:r>
      <w:instrText xml:space="preserve"> PAGE   \* MERGEFORMAT </w:instrText>
    </w:r>
    <w:r>
      <w:fldChar w:fldCharType="separate"/>
    </w:r>
    <w:r>
      <w:rPr>
        <w:lang w:val="zh-CN"/>
      </w:rPr>
      <w:t>15</w:t>
    </w:r>
    <w:r>
      <w:rPr>
        <w:lang w:val="zh-CN"/>
      </w:rPr>
      <w:fldChar w:fldCharType="end"/>
    </w:r>
  </w:p>
  <w:p w14:paraId="672DB1A6">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0B6D"/>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6BBD"/>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4286"/>
    <w:rsid w:val="000A4886"/>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1A9D"/>
    <w:rsid w:val="000E3830"/>
    <w:rsid w:val="000F070B"/>
    <w:rsid w:val="000F3158"/>
    <w:rsid w:val="000F364D"/>
    <w:rsid w:val="000F4432"/>
    <w:rsid w:val="000F465E"/>
    <w:rsid w:val="000F4DEB"/>
    <w:rsid w:val="000F5E8C"/>
    <w:rsid w:val="000F6BE3"/>
    <w:rsid w:val="001000B2"/>
    <w:rsid w:val="00104C6C"/>
    <w:rsid w:val="0010560E"/>
    <w:rsid w:val="0010612A"/>
    <w:rsid w:val="00106FF7"/>
    <w:rsid w:val="00107111"/>
    <w:rsid w:val="001073D6"/>
    <w:rsid w:val="00107819"/>
    <w:rsid w:val="0011574B"/>
    <w:rsid w:val="00116132"/>
    <w:rsid w:val="00117B9C"/>
    <w:rsid w:val="00117E7D"/>
    <w:rsid w:val="00120E5F"/>
    <w:rsid w:val="00120EA6"/>
    <w:rsid w:val="00122196"/>
    <w:rsid w:val="00123B2A"/>
    <w:rsid w:val="0012439D"/>
    <w:rsid w:val="0012587C"/>
    <w:rsid w:val="0012798A"/>
    <w:rsid w:val="00131291"/>
    <w:rsid w:val="0013591D"/>
    <w:rsid w:val="00141DE8"/>
    <w:rsid w:val="00144105"/>
    <w:rsid w:val="00145B4E"/>
    <w:rsid w:val="00151847"/>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35A5"/>
    <w:rsid w:val="001A42A1"/>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0645B"/>
    <w:rsid w:val="00207952"/>
    <w:rsid w:val="0021307B"/>
    <w:rsid w:val="002142B8"/>
    <w:rsid w:val="002161F4"/>
    <w:rsid w:val="00216E75"/>
    <w:rsid w:val="00221907"/>
    <w:rsid w:val="002219E8"/>
    <w:rsid w:val="00222FA8"/>
    <w:rsid w:val="002234D2"/>
    <w:rsid w:val="00224A11"/>
    <w:rsid w:val="0022532A"/>
    <w:rsid w:val="002259DA"/>
    <w:rsid w:val="00227AFB"/>
    <w:rsid w:val="002330F0"/>
    <w:rsid w:val="00235741"/>
    <w:rsid w:val="00236B18"/>
    <w:rsid w:val="002401EA"/>
    <w:rsid w:val="00241B9D"/>
    <w:rsid w:val="002439D4"/>
    <w:rsid w:val="00244E4E"/>
    <w:rsid w:val="00245CB2"/>
    <w:rsid w:val="00246A44"/>
    <w:rsid w:val="00247664"/>
    <w:rsid w:val="00250BAC"/>
    <w:rsid w:val="00260245"/>
    <w:rsid w:val="0026252A"/>
    <w:rsid w:val="00262BB1"/>
    <w:rsid w:val="00263D3A"/>
    <w:rsid w:val="00263DC3"/>
    <w:rsid w:val="002643BE"/>
    <w:rsid w:val="00265325"/>
    <w:rsid w:val="00266E84"/>
    <w:rsid w:val="002715FC"/>
    <w:rsid w:val="00271AC5"/>
    <w:rsid w:val="002736FD"/>
    <w:rsid w:val="00274CFA"/>
    <w:rsid w:val="00275677"/>
    <w:rsid w:val="00275A3F"/>
    <w:rsid w:val="0028068C"/>
    <w:rsid w:val="00280F6C"/>
    <w:rsid w:val="00282195"/>
    <w:rsid w:val="00282A89"/>
    <w:rsid w:val="00283F8F"/>
    <w:rsid w:val="002869F9"/>
    <w:rsid w:val="00292F98"/>
    <w:rsid w:val="002939A0"/>
    <w:rsid w:val="002959A3"/>
    <w:rsid w:val="0029626E"/>
    <w:rsid w:val="00296E59"/>
    <w:rsid w:val="002977E4"/>
    <w:rsid w:val="00297CEF"/>
    <w:rsid w:val="002A0364"/>
    <w:rsid w:val="002A1661"/>
    <w:rsid w:val="002A1A25"/>
    <w:rsid w:val="002A563C"/>
    <w:rsid w:val="002B05EF"/>
    <w:rsid w:val="002B2E34"/>
    <w:rsid w:val="002B76FA"/>
    <w:rsid w:val="002C029E"/>
    <w:rsid w:val="002C2C71"/>
    <w:rsid w:val="002C5A22"/>
    <w:rsid w:val="002C5A65"/>
    <w:rsid w:val="002C71F3"/>
    <w:rsid w:val="002D0257"/>
    <w:rsid w:val="002D2112"/>
    <w:rsid w:val="002D53D7"/>
    <w:rsid w:val="002D5508"/>
    <w:rsid w:val="002D5FC1"/>
    <w:rsid w:val="002D7AB3"/>
    <w:rsid w:val="002E1D3C"/>
    <w:rsid w:val="002E1F73"/>
    <w:rsid w:val="002E269D"/>
    <w:rsid w:val="002E3460"/>
    <w:rsid w:val="002E70AE"/>
    <w:rsid w:val="002F0C41"/>
    <w:rsid w:val="002F29A4"/>
    <w:rsid w:val="002F5B6A"/>
    <w:rsid w:val="002F5BF5"/>
    <w:rsid w:val="002F5ECA"/>
    <w:rsid w:val="0030373B"/>
    <w:rsid w:val="00306572"/>
    <w:rsid w:val="003079C7"/>
    <w:rsid w:val="003169F3"/>
    <w:rsid w:val="0032078D"/>
    <w:rsid w:val="00321CE0"/>
    <w:rsid w:val="0032231F"/>
    <w:rsid w:val="00323B43"/>
    <w:rsid w:val="00325BCC"/>
    <w:rsid w:val="003309A3"/>
    <w:rsid w:val="003345BC"/>
    <w:rsid w:val="00343662"/>
    <w:rsid w:val="00350ABF"/>
    <w:rsid w:val="0035365E"/>
    <w:rsid w:val="00355403"/>
    <w:rsid w:val="003569A8"/>
    <w:rsid w:val="00361FFF"/>
    <w:rsid w:val="00362340"/>
    <w:rsid w:val="003653A5"/>
    <w:rsid w:val="003658C3"/>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3232"/>
    <w:rsid w:val="00426133"/>
    <w:rsid w:val="004300B1"/>
    <w:rsid w:val="00430AF8"/>
    <w:rsid w:val="00430C3A"/>
    <w:rsid w:val="0043148F"/>
    <w:rsid w:val="0043354D"/>
    <w:rsid w:val="00434EB0"/>
    <w:rsid w:val="004358AB"/>
    <w:rsid w:val="00435DA7"/>
    <w:rsid w:val="004370A2"/>
    <w:rsid w:val="00442A0F"/>
    <w:rsid w:val="00445C28"/>
    <w:rsid w:val="004468B5"/>
    <w:rsid w:val="0045028B"/>
    <w:rsid w:val="00451E9F"/>
    <w:rsid w:val="004551F1"/>
    <w:rsid w:val="00456648"/>
    <w:rsid w:val="00457E00"/>
    <w:rsid w:val="00461E7C"/>
    <w:rsid w:val="00462FEC"/>
    <w:rsid w:val="004639E0"/>
    <w:rsid w:val="00463A6D"/>
    <w:rsid w:val="00465A21"/>
    <w:rsid w:val="0047047F"/>
    <w:rsid w:val="00472C49"/>
    <w:rsid w:val="00474DE3"/>
    <w:rsid w:val="00477959"/>
    <w:rsid w:val="004830D9"/>
    <w:rsid w:val="00486217"/>
    <w:rsid w:val="00486316"/>
    <w:rsid w:val="00486A56"/>
    <w:rsid w:val="00494D73"/>
    <w:rsid w:val="0049541C"/>
    <w:rsid w:val="00495D64"/>
    <w:rsid w:val="004A19C4"/>
    <w:rsid w:val="004A6EA4"/>
    <w:rsid w:val="004B146A"/>
    <w:rsid w:val="004B1E69"/>
    <w:rsid w:val="004B4146"/>
    <w:rsid w:val="004B5892"/>
    <w:rsid w:val="004B59DD"/>
    <w:rsid w:val="004B5E88"/>
    <w:rsid w:val="004B5EDE"/>
    <w:rsid w:val="004C0341"/>
    <w:rsid w:val="004C1645"/>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20E8"/>
    <w:rsid w:val="004E3774"/>
    <w:rsid w:val="004E446B"/>
    <w:rsid w:val="004E5448"/>
    <w:rsid w:val="004E5DFC"/>
    <w:rsid w:val="004E642E"/>
    <w:rsid w:val="004E6532"/>
    <w:rsid w:val="004E7ADC"/>
    <w:rsid w:val="004F4270"/>
    <w:rsid w:val="004F4875"/>
    <w:rsid w:val="005017B1"/>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11A9"/>
    <w:rsid w:val="005421AC"/>
    <w:rsid w:val="00544973"/>
    <w:rsid w:val="00544C1A"/>
    <w:rsid w:val="00546D1B"/>
    <w:rsid w:val="0055027D"/>
    <w:rsid w:val="00554FA1"/>
    <w:rsid w:val="00555989"/>
    <w:rsid w:val="00556934"/>
    <w:rsid w:val="005601FB"/>
    <w:rsid w:val="005607DF"/>
    <w:rsid w:val="00564377"/>
    <w:rsid w:val="00564538"/>
    <w:rsid w:val="00566A89"/>
    <w:rsid w:val="00567E07"/>
    <w:rsid w:val="005771F7"/>
    <w:rsid w:val="00577B7B"/>
    <w:rsid w:val="00583F7F"/>
    <w:rsid w:val="0058600B"/>
    <w:rsid w:val="00587913"/>
    <w:rsid w:val="00593428"/>
    <w:rsid w:val="0059368B"/>
    <w:rsid w:val="00593B65"/>
    <w:rsid w:val="00596DFD"/>
    <w:rsid w:val="005A15D6"/>
    <w:rsid w:val="005A1FD8"/>
    <w:rsid w:val="005A317D"/>
    <w:rsid w:val="005A33B6"/>
    <w:rsid w:val="005A79F9"/>
    <w:rsid w:val="005C3594"/>
    <w:rsid w:val="005C46B7"/>
    <w:rsid w:val="005C7C8B"/>
    <w:rsid w:val="005D5617"/>
    <w:rsid w:val="005D6591"/>
    <w:rsid w:val="005D6869"/>
    <w:rsid w:val="005D7446"/>
    <w:rsid w:val="005E0F55"/>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A4C"/>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5F83"/>
    <w:rsid w:val="0065671B"/>
    <w:rsid w:val="00656A5A"/>
    <w:rsid w:val="00663A42"/>
    <w:rsid w:val="0066418E"/>
    <w:rsid w:val="0066454A"/>
    <w:rsid w:val="0066469F"/>
    <w:rsid w:val="00670C1D"/>
    <w:rsid w:val="0067780F"/>
    <w:rsid w:val="00682A44"/>
    <w:rsid w:val="0068356A"/>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D28E7"/>
    <w:rsid w:val="006E0A3D"/>
    <w:rsid w:val="006E27F1"/>
    <w:rsid w:val="006E5BC8"/>
    <w:rsid w:val="006E7CBA"/>
    <w:rsid w:val="006F222F"/>
    <w:rsid w:val="006F7B69"/>
    <w:rsid w:val="0070241F"/>
    <w:rsid w:val="007024A9"/>
    <w:rsid w:val="00703C96"/>
    <w:rsid w:val="00711540"/>
    <w:rsid w:val="007130D7"/>
    <w:rsid w:val="00713E98"/>
    <w:rsid w:val="00715591"/>
    <w:rsid w:val="00715AE8"/>
    <w:rsid w:val="0072516F"/>
    <w:rsid w:val="00725D44"/>
    <w:rsid w:val="0073034D"/>
    <w:rsid w:val="00731ADC"/>
    <w:rsid w:val="007330F2"/>
    <w:rsid w:val="00733DB0"/>
    <w:rsid w:val="00735043"/>
    <w:rsid w:val="0073755F"/>
    <w:rsid w:val="00737F11"/>
    <w:rsid w:val="00740444"/>
    <w:rsid w:val="00744577"/>
    <w:rsid w:val="007452CF"/>
    <w:rsid w:val="00746055"/>
    <w:rsid w:val="00746DA9"/>
    <w:rsid w:val="00747086"/>
    <w:rsid w:val="00751137"/>
    <w:rsid w:val="007515E2"/>
    <w:rsid w:val="007518B7"/>
    <w:rsid w:val="00754A1D"/>
    <w:rsid w:val="00756D66"/>
    <w:rsid w:val="00761D80"/>
    <w:rsid w:val="0076364A"/>
    <w:rsid w:val="00766FC5"/>
    <w:rsid w:val="00770E5B"/>
    <w:rsid w:val="00772930"/>
    <w:rsid w:val="007736BE"/>
    <w:rsid w:val="00776BD3"/>
    <w:rsid w:val="00776E20"/>
    <w:rsid w:val="007814AF"/>
    <w:rsid w:val="007825F0"/>
    <w:rsid w:val="00787F88"/>
    <w:rsid w:val="0079721A"/>
    <w:rsid w:val="007A095C"/>
    <w:rsid w:val="007A0AF8"/>
    <w:rsid w:val="007A283A"/>
    <w:rsid w:val="007A5B80"/>
    <w:rsid w:val="007A65C8"/>
    <w:rsid w:val="007A6B16"/>
    <w:rsid w:val="007A7AC4"/>
    <w:rsid w:val="007B639C"/>
    <w:rsid w:val="007B7036"/>
    <w:rsid w:val="007C0870"/>
    <w:rsid w:val="007C2D10"/>
    <w:rsid w:val="007C457D"/>
    <w:rsid w:val="007C7116"/>
    <w:rsid w:val="007D02A9"/>
    <w:rsid w:val="007D0846"/>
    <w:rsid w:val="007D166D"/>
    <w:rsid w:val="007D17C7"/>
    <w:rsid w:val="007D2766"/>
    <w:rsid w:val="007D2D7C"/>
    <w:rsid w:val="007D2FF7"/>
    <w:rsid w:val="007D74D8"/>
    <w:rsid w:val="007E13A4"/>
    <w:rsid w:val="007E20CA"/>
    <w:rsid w:val="007E3988"/>
    <w:rsid w:val="007E4698"/>
    <w:rsid w:val="007E6959"/>
    <w:rsid w:val="007E6991"/>
    <w:rsid w:val="007E7A36"/>
    <w:rsid w:val="007F222D"/>
    <w:rsid w:val="007F3FB7"/>
    <w:rsid w:val="007F518D"/>
    <w:rsid w:val="007F68FE"/>
    <w:rsid w:val="007F6F10"/>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0271"/>
    <w:rsid w:val="00861067"/>
    <w:rsid w:val="00862AE2"/>
    <w:rsid w:val="00862B51"/>
    <w:rsid w:val="00862C25"/>
    <w:rsid w:val="00863CA2"/>
    <w:rsid w:val="00864A80"/>
    <w:rsid w:val="008655ED"/>
    <w:rsid w:val="00866942"/>
    <w:rsid w:val="00871B0D"/>
    <w:rsid w:val="00871B14"/>
    <w:rsid w:val="008735A1"/>
    <w:rsid w:val="00875825"/>
    <w:rsid w:val="00875962"/>
    <w:rsid w:val="00880325"/>
    <w:rsid w:val="00882ABD"/>
    <w:rsid w:val="008844A4"/>
    <w:rsid w:val="008857CC"/>
    <w:rsid w:val="0089314F"/>
    <w:rsid w:val="0089328E"/>
    <w:rsid w:val="00894756"/>
    <w:rsid w:val="0089513A"/>
    <w:rsid w:val="00896069"/>
    <w:rsid w:val="00896786"/>
    <w:rsid w:val="008976AB"/>
    <w:rsid w:val="008A2C15"/>
    <w:rsid w:val="008A3DBA"/>
    <w:rsid w:val="008A483E"/>
    <w:rsid w:val="008A5601"/>
    <w:rsid w:val="008A7B1E"/>
    <w:rsid w:val="008B7726"/>
    <w:rsid w:val="008C08EC"/>
    <w:rsid w:val="008C2997"/>
    <w:rsid w:val="008C443B"/>
    <w:rsid w:val="008C538A"/>
    <w:rsid w:val="008C6BA5"/>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4399"/>
    <w:rsid w:val="00946F52"/>
    <w:rsid w:val="00950CE4"/>
    <w:rsid w:val="00950F44"/>
    <w:rsid w:val="00952A7D"/>
    <w:rsid w:val="00952BF8"/>
    <w:rsid w:val="00953747"/>
    <w:rsid w:val="0095565A"/>
    <w:rsid w:val="00955918"/>
    <w:rsid w:val="00960439"/>
    <w:rsid w:val="00961D67"/>
    <w:rsid w:val="00962D93"/>
    <w:rsid w:val="009636EF"/>
    <w:rsid w:val="0096408D"/>
    <w:rsid w:val="009651A8"/>
    <w:rsid w:val="009657E9"/>
    <w:rsid w:val="009657F4"/>
    <w:rsid w:val="0096666B"/>
    <w:rsid w:val="0097114E"/>
    <w:rsid w:val="009719C3"/>
    <w:rsid w:val="0097578E"/>
    <w:rsid w:val="009762EF"/>
    <w:rsid w:val="00976E55"/>
    <w:rsid w:val="009814B0"/>
    <w:rsid w:val="00984D41"/>
    <w:rsid w:val="009852BB"/>
    <w:rsid w:val="009853C4"/>
    <w:rsid w:val="0098547C"/>
    <w:rsid w:val="009860B4"/>
    <w:rsid w:val="00986724"/>
    <w:rsid w:val="00987067"/>
    <w:rsid w:val="0098718E"/>
    <w:rsid w:val="00993809"/>
    <w:rsid w:val="00994269"/>
    <w:rsid w:val="0099439A"/>
    <w:rsid w:val="00994737"/>
    <w:rsid w:val="009A0F00"/>
    <w:rsid w:val="009A37AE"/>
    <w:rsid w:val="009A4059"/>
    <w:rsid w:val="009A47EF"/>
    <w:rsid w:val="009A6B84"/>
    <w:rsid w:val="009B1979"/>
    <w:rsid w:val="009B1E1B"/>
    <w:rsid w:val="009B2CC0"/>
    <w:rsid w:val="009B4C38"/>
    <w:rsid w:val="009C0DAB"/>
    <w:rsid w:val="009C1E20"/>
    <w:rsid w:val="009C2A2B"/>
    <w:rsid w:val="009C7A46"/>
    <w:rsid w:val="009D0378"/>
    <w:rsid w:val="009D0F18"/>
    <w:rsid w:val="009D1EFB"/>
    <w:rsid w:val="009D4A71"/>
    <w:rsid w:val="009D5964"/>
    <w:rsid w:val="009D67A7"/>
    <w:rsid w:val="009D6A0C"/>
    <w:rsid w:val="009E0725"/>
    <w:rsid w:val="009E1492"/>
    <w:rsid w:val="009E4B3F"/>
    <w:rsid w:val="009E5877"/>
    <w:rsid w:val="009F5C52"/>
    <w:rsid w:val="009F69B0"/>
    <w:rsid w:val="00A0310D"/>
    <w:rsid w:val="00A073F4"/>
    <w:rsid w:val="00A07BBE"/>
    <w:rsid w:val="00A16439"/>
    <w:rsid w:val="00A21057"/>
    <w:rsid w:val="00A217CE"/>
    <w:rsid w:val="00A21E86"/>
    <w:rsid w:val="00A22DFB"/>
    <w:rsid w:val="00A305E3"/>
    <w:rsid w:val="00A344F8"/>
    <w:rsid w:val="00A353F1"/>
    <w:rsid w:val="00A357B0"/>
    <w:rsid w:val="00A35B22"/>
    <w:rsid w:val="00A41319"/>
    <w:rsid w:val="00A42B99"/>
    <w:rsid w:val="00A44491"/>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86ED1"/>
    <w:rsid w:val="00A96E79"/>
    <w:rsid w:val="00AA2033"/>
    <w:rsid w:val="00AA36D8"/>
    <w:rsid w:val="00AA4A07"/>
    <w:rsid w:val="00AA6230"/>
    <w:rsid w:val="00AB334C"/>
    <w:rsid w:val="00AB632D"/>
    <w:rsid w:val="00AB65E5"/>
    <w:rsid w:val="00AC5444"/>
    <w:rsid w:val="00AC70E1"/>
    <w:rsid w:val="00AD1AFD"/>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039B"/>
    <w:rsid w:val="00B2159A"/>
    <w:rsid w:val="00B21D32"/>
    <w:rsid w:val="00B313B2"/>
    <w:rsid w:val="00B337AE"/>
    <w:rsid w:val="00B34A43"/>
    <w:rsid w:val="00B36912"/>
    <w:rsid w:val="00B404A0"/>
    <w:rsid w:val="00B409CF"/>
    <w:rsid w:val="00B4256A"/>
    <w:rsid w:val="00B432AB"/>
    <w:rsid w:val="00B54D75"/>
    <w:rsid w:val="00B60C2A"/>
    <w:rsid w:val="00B65FC0"/>
    <w:rsid w:val="00B707DD"/>
    <w:rsid w:val="00B719F4"/>
    <w:rsid w:val="00B73995"/>
    <w:rsid w:val="00B74DBC"/>
    <w:rsid w:val="00B75E08"/>
    <w:rsid w:val="00B76684"/>
    <w:rsid w:val="00B7698F"/>
    <w:rsid w:val="00B76E0F"/>
    <w:rsid w:val="00B81669"/>
    <w:rsid w:val="00B85F5F"/>
    <w:rsid w:val="00B86395"/>
    <w:rsid w:val="00B86E2B"/>
    <w:rsid w:val="00B87652"/>
    <w:rsid w:val="00B91DEC"/>
    <w:rsid w:val="00B92A56"/>
    <w:rsid w:val="00B931F8"/>
    <w:rsid w:val="00B95DB0"/>
    <w:rsid w:val="00B9722F"/>
    <w:rsid w:val="00B97741"/>
    <w:rsid w:val="00BA0721"/>
    <w:rsid w:val="00BA075E"/>
    <w:rsid w:val="00BA0DE3"/>
    <w:rsid w:val="00BA1883"/>
    <w:rsid w:val="00BA227D"/>
    <w:rsid w:val="00BA3EFA"/>
    <w:rsid w:val="00BA4C84"/>
    <w:rsid w:val="00BB5336"/>
    <w:rsid w:val="00BC09FC"/>
    <w:rsid w:val="00BC0DD5"/>
    <w:rsid w:val="00BC60E6"/>
    <w:rsid w:val="00BC7180"/>
    <w:rsid w:val="00BE4F9C"/>
    <w:rsid w:val="00BE66AA"/>
    <w:rsid w:val="00BE73B9"/>
    <w:rsid w:val="00BF444F"/>
    <w:rsid w:val="00BF77F5"/>
    <w:rsid w:val="00C0158A"/>
    <w:rsid w:val="00C01D8A"/>
    <w:rsid w:val="00C023EF"/>
    <w:rsid w:val="00C03C79"/>
    <w:rsid w:val="00C146DB"/>
    <w:rsid w:val="00C15415"/>
    <w:rsid w:val="00C16FE4"/>
    <w:rsid w:val="00C172EB"/>
    <w:rsid w:val="00C22F98"/>
    <w:rsid w:val="00C2363B"/>
    <w:rsid w:val="00C26560"/>
    <w:rsid w:val="00C3062F"/>
    <w:rsid w:val="00C32E7A"/>
    <w:rsid w:val="00C408D9"/>
    <w:rsid w:val="00C42DB9"/>
    <w:rsid w:val="00C447FD"/>
    <w:rsid w:val="00C44B90"/>
    <w:rsid w:val="00C47039"/>
    <w:rsid w:val="00C51434"/>
    <w:rsid w:val="00C51743"/>
    <w:rsid w:val="00C51A61"/>
    <w:rsid w:val="00C57393"/>
    <w:rsid w:val="00C609D9"/>
    <w:rsid w:val="00C64C71"/>
    <w:rsid w:val="00C6528B"/>
    <w:rsid w:val="00C661B3"/>
    <w:rsid w:val="00C70300"/>
    <w:rsid w:val="00C7037D"/>
    <w:rsid w:val="00C70637"/>
    <w:rsid w:val="00C71DC8"/>
    <w:rsid w:val="00C73E69"/>
    <w:rsid w:val="00C74592"/>
    <w:rsid w:val="00C75F75"/>
    <w:rsid w:val="00C767BA"/>
    <w:rsid w:val="00C802A7"/>
    <w:rsid w:val="00C8048C"/>
    <w:rsid w:val="00C80C68"/>
    <w:rsid w:val="00C86E9A"/>
    <w:rsid w:val="00C90CE5"/>
    <w:rsid w:val="00C93A3D"/>
    <w:rsid w:val="00C94F0A"/>
    <w:rsid w:val="00CA3203"/>
    <w:rsid w:val="00CA6058"/>
    <w:rsid w:val="00CA6BD1"/>
    <w:rsid w:val="00CA6D09"/>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D6FD3"/>
    <w:rsid w:val="00CE33C1"/>
    <w:rsid w:val="00CE3834"/>
    <w:rsid w:val="00CF148C"/>
    <w:rsid w:val="00CF3D94"/>
    <w:rsid w:val="00CF48A3"/>
    <w:rsid w:val="00CF5081"/>
    <w:rsid w:val="00D016F5"/>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032B"/>
    <w:rsid w:val="00D51B27"/>
    <w:rsid w:val="00D51C9A"/>
    <w:rsid w:val="00D5318C"/>
    <w:rsid w:val="00D53371"/>
    <w:rsid w:val="00D53BD5"/>
    <w:rsid w:val="00D55621"/>
    <w:rsid w:val="00D6000E"/>
    <w:rsid w:val="00D64F56"/>
    <w:rsid w:val="00D65E78"/>
    <w:rsid w:val="00D677DD"/>
    <w:rsid w:val="00D713D6"/>
    <w:rsid w:val="00D72DAF"/>
    <w:rsid w:val="00D75BB9"/>
    <w:rsid w:val="00D76276"/>
    <w:rsid w:val="00D77919"/>
    <w:rsid w:val="00D8083C"/>
    <w:rsid w:val="00D81E38"/>
    <w:rsid w:val="00D85F8D"/>
    <w:rsid w:val="00D87F81"/>
    <w:rsid w:val="00D90E39"/>
    <w:rsid w:val="00D93F61"/>
    <w:rsid w:val="00D97E89"/>
    <w:rsid w:val="00DA45EE"/>
    <w:rsid w:val="00DA58A3"/>
    <w:rsid w:val="00DB2F5B"/>
    <w:rsid w:val="00DB3DC2"/>
    <w:rsid w:val="00DB46CB"/>
    <w:rsid w:val="00DB695F"/>
    <w:rsid w:val="00DB6DCC"/>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DE7E22"/>
    <w:rsid w:val="00E00A5F"/>
    <w:rsid w:val="00E05D64"/>
    <w:rsid w:val="00E07ABB"/>
    <w:rsid w:val="00E07D8F"/>
    <w:rsid w:val="00E104AB"/>
    <w:rsid w:val="00E13762"/>
    <w:rsid w:val="00E14AAF"/>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184F"/>
    <w:rsid w:val="00E72AE3"/>
    <w:rsid w:val="00E7727F"/>
    <w:rsid w:val="00E83519"/>
    <w:rsid w:val="00E91889"/>
    <w:rsid w:val="00E91F0F"/>
    <w:rsid w:val="00E944E2"/>
    <w:rsid w:val="00E95C54"/>
    <w:rsid w:val="00E96103"/>
    <w:rsid w:val="00EA027D"/>
    <w:rsid w:val="00EA1939"/>
    <w:rsid w:val="00EA2E12"/>
    <w:rsid w:val="00EB22CF"/>
    <w:rsid w:val="00EB3414"/>
    <w:rsid w:val="00EB39DD"/>
    <w:rsid w:val="00EB40E4"/>
    <w:rsid w:val="00EB67BA"/>
    <w:rsid w:val="00EB68BF"/>
    <w:rsid w:val="00EC16F8"/>
    <w:rsid w:val="00EC306F"/>
    <w:rsid w:val="00EC408E"/>
    <w:rsid w:val="00EC41F2"/>
    <w:rsid w:val="00EC4E40"/>
    <w:rsid w:val="00EC4EB3"/>
    <w:rsid w:val="00EC5617"/>
    <w:rsid w:val="00EC7C9E"/>
    <w:rsid w:val="00ED230D"/>
    <w:rsid w:val="00ED2440"/>
    <w:rsid w:val="00ED2D5C"/>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07F89"/>
    <w:rsid w:val="00F107F9"/>
    <w:rsid w:val="00F111E0"/>
    <w:rsid w:val="00F117D4"/>
    <w:rsid w:val="00F1641A"/>
    <w:rsid w:val="00F16475"/>
    <w:rsid w:val="00F22D55"/>
    <w:rsid w:val="00F24A9A"/>
    <w:rsid w:val="00F2592D"/>
    <w:rsid w:val="00F25C5F"/>
    <w:rsid w:val="00F3182D"/>
    <w:rsid w:val="00F31FF3"/>
    <w:rsid w:val="00F34EF2"/>
    <w:rsid w:val="00F3580F"/>
    <w:rsid w:val="00F37275"/>
    <w:rsid w:val="00F406BB"/>
    <w:rsid w:val="00F44AD0"/>
    <w:rsid w:val="00F50379"/>
    <w:rsid w:val="00F520EF"/>
    <w:rsid w:val="00F55102"/>
    <w:rsid w:val="00F56042"/>
    <w:rsid w:val="00F57115"/>
    <w:rsid w:val="00F6298B"/>
    <w:rsid w:val="00F63B02"/>
    <w:rsid w:val="00F65350"/>
    <w:rsid w:val="00F65C21"/>
    <w:rsid w:val="00F700A6"/>
    <w:rsid w:val="00F7239D"/>
    <w:rsid w:val="00F760D1"/>
    <w:rsid w:val="00F8151A"/>
    <w:rsid w:val="00F83788"/>
    <w:rsid w:val="00F84D69"/>
    <w:rsid w:val="00F85054"/>
    <w:rsid w:val="00F87AEF"/>
    <w:rsid w:val="00F87C14"/>
    <w:rsid w:val="00F9079C"/>
    <w:rsid w:val="00F94F61"/>
    <w:rsid w:val="00FA17B4"/>
    <w:rsid w:val="00FA3581"/>
    <w:rsid w:val="00FB10B8"/>
    <w:rsid w:val="00FB24BA"/>
    <w:rsid w:val="00FB28C8"/>
    <w:rsid w:val="00FB381D"/>
    <w:rsid w:val="00FB581E"/>
    <w:rsid w:val="00FB6172"/>
    <w:rsid w:val="00FB6492"/>
    <w:rsid w:val="00FC007D"/>
    <w:rsid w:val="00FC131A"/>
    <w:rsid w:val="00FC224A"/>
    <w:rsid w:val="00FC3D23"/>
    <w:rsid w:val="00FC43D6"/>
    <w:rsid w:val="00FD2208"/>
    <w:rsid w:val="00FD2EC4"/>
    <w:rsid w:val="00FD3CE7"/>
    <w:rsid w:val="00FD5CCA"/>
    <w:rsid w:val="00FD63D3"/>
    <w:rsid w:val="00FD717D"/>
    <w:rsid w:val="00FE00D5"/>
    <w:rsid w:val="00FE44CF"/>
    <w:rsid w:val="00FE4854"/>
    <w:rsid w:val="00FF1239"/>
    <w:rsid w:val="00FF1AC1"/>
    <w:rsid w:val="00FF27B3"/>
    <w:rsid w:val="00FF5DE3"/>
    <w:rsid w:val="00FF62F7"/>
    <w:rsid w:val="00FF6EAF"/>
    <w:rsid w:val="00FF7408"/>
    <w:rsid w:val="01F65399"/>
    <w:rsid w:val="026A1A9F"/>
    <w:rsid w:val="03226A0E"/>
    <w:rsid w:val="03A10CAA"/>
    <w:rsid w:val="04260169"/>
    <w:rsid w:val="04CC4830"/>
    <w:rsid w:val="050945F2"/>
    <w:rsid w:val="050E4034"/>
    <w:rsid w:val="056F4DC0"/>
    <w:rsid w:val="05F86FA8"/>
    <w:rsid w:val="06174B4A"/>
    <w:rsid w:val="06342461"/>
    <w:rsid w:val="065C2670"/>
    <w:rsid w:val="06677EA2"/>
    <w:rsid w:val="06F06056"/>
    <w:rsid w:val="07021FF9"/>
    <w:rsid w:val="071C7BC7"/>
    <w:rsid w:val="075A67A2"/>
    <w:rsid w:val="080812F8"/>
    <w:rsid w:val="0840050B"/>
    <w:rsid w:val="086D38AF"/>
    <w:rsid w:val="08C44882"/>
    <w:rsid w:val="08C94E4D"/>
    <w:rsid w:val="0915227D"/>
    <w:rsid w:val="09164C3B"/>
    <w:rsid w:val="099842FD"/>
    <w:rsid w:val="0A3A2559"/>
    <w:rsid w:val="0A805158"/>
    <w:rsid w:val="0AF87126"/>
    <w:rsid w:val="0B4B1CD9"/>
    <w:rsid w:val="0B9B2EBC"/>
    <w:rsid w:val="0BA309DB"/>
    <w:rsid w:val="0BC90D6D"/>
    <w:rsid w:val="0BCB508B"/>
    <w:rsid w:val="0C070B14"/>
    <w:rsid w:val="0C1A22A8"/>
    <w:rsid w:val="0C26236E"/>
    <w:rsid w:val="0C9306BE"/>
    <w:rsid w:val="0CB05CD1"/>
    <w:rsid w:val="0D1B39E9"/>
    <w:rsid w:val="0DB07F22"/>
    <w:rsid w:val="0DCB2021"/>
    <w:rsid w:val="0E3A01CC"/>
    <w:rsid w:val="0E9172D3"/>
    <w:rsid w:val="0EF1422C"/>
    <w:rsid w:val="0F3B23D4"/>
    <w:rsid w:val="0F3B3DD7"/>
    <w:rsid w:val="107B6AE8"/>
    <w:rsid w:val="11195DC6"/>
    <w:rsid w:val="115A70AD"/>
    <w:rsid w:val="116421D6"/>
    <w:rsid w:val="11EA1B00"/>
    <w:rsid w:val="121F5AC5"/>
    <w:rsid w:val="123A69E4"/>
    <w:rsid w:val="125037BB"/>
    <w:rsid w:val="12521250"/>
    <w:rsid w:val="12524B60"/>
    <w:rsid w:val="125B2E30"/>
    <w:rsid w:val="12E866AF"/>
    <w:rsid w:val="130C55D8"/>
    <w:rsid w:val="13244A23"/>
    <w:rsid w:val="13EE6B6B"/>
    <w:rsid w:val="1472386E"/>
    <w:rsid w:val="148F0FC6"/>
    <w:rsid w:val="151600A7"/>
    <w:rsid w:val="159F345A"/>
    <w:rsid w:val="15E43EF8"/>
    <w:rsid w:val="16A81136"/>
    <w:rsid w:val="16AC4207"/>
    <w:rsid w:val="178A56FB"/>
    <w:rsid w:val="17A8647B"/>
    <w:rsid w:val="18253B4C"/>
    <w:rsid w:val="190F1674"/>
    <w:rsid w:val="19132D2F"/>
    <w:rsid w:val="19210747"/>
    <w:rsid w:val="196E7CB2"/>
    <w:rsid w:val="198759D2"/>
    <w:rsid w:val="19D72BB5"/>
    <w:rsid w:val="1AD212BF"/>
    <w:rsid w:val="1AF900F3"/>
    <w:rsid w:val="1AFC6A2C"/>
    <w:rsid w:val="1BE0351A"/>
    <w:rsid w:val="1C120302"/>
    <w:rsid w:val="1C442FCB"/>
    <w:rsid w:val="1C532B00"/>
    <w:rsid w:val="1CCC12C5"/>
    <w:rsid w:val="1D1B1BAD"/>
    <w:rsid w:val="1D401A6B"/>
    <w:rsid w:val="1DCC5DA5"/>
    <w:rsid w:val="1E106B2C"/>
    <w:rsid w:val="1E8A015B"/>
    <w:rsid w:val="1EA00E4A"/>
    <w:rsid w:val="1F4F1109"/>
    <w:rsid w:val="1F6A0646"/>
    <w:rsid w:val="206A0332"/>
    <w:rsid w:val="2091595B"/>
    <w:rsid w:val="20F51AC3"/>
    <w:rsid w:val="21AE6D2F"/>
    <w:rsid w:val="21C21552"/>
    <w:rsid w:val="21C3713A"/>
    <w:rsid w:val="24DA6297"/>
    <w:rsid w:val="252F3CBE"/>
    <w:rsid w:val="25B54415"/>
    <w:rsid w:val="26694CDB"/>
    <w:rsid w:val="282C171E"/>
    <w:rsid w:val="2849297F"/>
    <w:rsid w:val="2936596A"/>
    <w:rsid w:val="2997006D"/>
    <w:rsid w:val="29AC5EF0"/>
    <w:rsid w:val="2B040631"/>
    <w:rsid w:val="2B0B5AF1"/>
    <w:rsid w:val="2B793244"/>
    <w:rsid w:val="2C094BA0"/>
    <w:rsid w:val="2C60205D"/>
    <w:rsid w:val="2C8F5C68"/>
    <w:rsid w:val="2CAD317E"/>
    <w:rsid w:val="2CC97424"/>
    <w:rsid w:val="2D2725F0"/>
    <w:rsid w:val="2D345768"/>
    <w:rsid w:val="2D73679B"/>
    <w:rsid w:val="2DC6679F"/>
    <w:rsid w:val="2E994608"/>
    <w:rsid w:val="2E9C375A"/>
    <w:rsid w:val="2EA60EE0"/>
    <w:rsid w:val="2ED8262F"/>
    <w:rsid w:val="2F242CBD"/>
    <w:rsid w:val="2FB34058"/>
    <w:rsid w:val="300C74C4"/>
    <w:rsid w:val="304B3830"/>
    <w:rsid w:val="307D5A91"/>
    <w:rsid w:val="317B20C5"/>
    <w:rsid w:val="31A574A2"/>
    <w:rsid w:val="3207424B"/>
    <w:rsid w:val="3286537B"/>
    <w:rsid w:val="32A33E31"/>
    <w:rsid w:val="32D048D8"/>
    <w:rsid w:val="32D3622F"/>
    <w:rsid w:val="32D63CF2"/>
    <w:rsid w:val="32F26097"/>
    <w:rsid w:val="3341799D"/>
    <w:rsid w:val="337A399F"/>
    <w:rsid w:val="337F2EFA"/>
    <w:rsid w:val="339029A7"/>
    <w:rsid w:val="33CC5FD9"/>
    <w:rsid w:val="34697607"/>
    <w:rsid w:val="34DC6FBF"/>
    <w:rsid w:val="352019FA"/>
    <w:rsid w:val="354FED22"/>
    <w:rsid w:val="35731520"/>
    <w:rsid w:val="35F436C6"/>
    <w:rsid w:val="36037C49"/>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B3315C9"/>
    <w:rsid w:val="3B3666AA"/>
    <w:rsid w:val="3B5D03F9"/>
    <w:rsid w:val="3B9C69ED"/>
    <w:rsid w:val="3C075E40"/>
    <w:rsid w:val="3C0F314C"/>
    <w:rsid w:val="3C8400FD"/>
    <w:rsid w:val="3C8D5215"/>
    <w:rsid w:val="3CB96E1E"/>
    <w:rsid w:val="3E2A5A13"/>
    <w:rsid w:val="3E6A5C1B"/>
    <w:rsid w:val="3E951BD3"/>
    <w:rsid w:val="3EB91E59"/>
    <w:rsid w:val="3F283A52"/>
    <w:rsid w:val="3FA23A80"/>
    <w:rsid w:val="3FB75DF9"/>
    <w:rsid w:val="418368ED"/>
    <w:rsid w:val="425C64FC"/>
    <w:rsid w:val="4278675D"/>
    <w:rsid w:val="427B20EB"/>
    <w:rsid w:val="431F105C"/>
    <w:rsid w:val="43F003B4"/>
    <w:rsid w:val="446458DA"/>
    <w:rsid w:val="446645C4"/>
    <w:rsid w:val="44E00C2F"/>
    <w:rsid w:val="44F12828"/>
    <w:rsid w:val="453F4EE8"/>
    <w:rsid w:val="457E0C0E"/>
    <w:rsid w:val="45A27895"/>
    <w:rsid w:val="4654463C"/>
    <w:rsid w:val="469D1E1F"/>
    <w:rsid w:val="4703453A"/>
    <w:rsid w:val="47401AE3"/>
    <w:rsid w:val="47556E33"/>
    <w:rsid w:val="47847F9B"/>
    <w:rsid w:val="47B6276E"/>
    <w:rsid w:val="47D7714D"/>
    <w:rsid w:val="48CA305E"/>
    <w:rsid w:val="491D1161"/>
    <w:rsid w:val="4945471C"/>
    <w:rsid w:val="49C23604"/>
    <w:rsid w:val="4A6500D9"/>
    <w:rsid w:val="4B4D56DB"/>
    <w:rsid w:val="4BCB58DC"/>
    <w:rsid w:val="4BE87F26"/>
    <w:rsid w:val="4C081E20"/>
    <w:rsid w:val="4C3974A1"/>
    <w:rsid w:val="4C4D743A"/>
    <w:rsid w:val="4C561056"/>
    <w:rsid w:val="4CDC25C4"/>
    <w:rsid w:val="4D2A1AAB"/>
    <w:rsid w:val="4DBE15DE"/>
    <w:rsid w:val="4DFF45BC"/>
    <w:rsid w:val="4E61428A"/>
    <w:rsid w:val="4E7B705D"/>
    <w:rsid w:val="4ECB455C"/>
    <w:rsid w:val="4EF16D21"/>
    <w:rsid w:val="4F4E6BEF"/>
    <w:rsid w:val="4F6745C5"/>
    <w:rsid w:val="4F751E54"/>
    <w:rsid w:val="4FA9510C"/>
    <w:rsid w:val="50891C17"/>
    <w:rsid w:val="520E7D39"/>
    <w:rsid w:val="527310FD"/>
    <w:rsid w:val="52C145B3"/>
    <w:rsid w:val="532C19FA"/>
    <w:rsid w:val="536C046F"/>
    <w:rsid w:val="53777260"/>
    <w:rsid w:val="53BD324D"/>
    <w:rsid w:val="53DA3FDB"/>
    <w:rsid w:val="54B52F23"/>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C32979"/>
    <w:rsid w:val="5EFC5263"/>
    <w:rsid w:val="5F2B51D9"/>
    <w:rsid w:val="5F37440C"/>
    <w:rsid w:val="609E7926"/>
    <w:rsid w:val="60CC769A"/>
    <w:rsid w:val="60F3280A"/>
    <w:rsid w:val="615A0826"/>
    <w:rsid w:val="616E5025"/>
    <w:rsid w:val="62117B48"/>
    <w:rsid w:val="6233066F"/>
    <w:rsid w:val="625714F8"/>
    <w:rsid w:val="62AF2B34"/>
    <w:rsid w:val="62D7081D"/>
    <w:rsid w:val="63687194"/>
    <w:rsid w:val="638E50BC"/>
    <w:rsid w:val="64D27A6F"/>
    <w:rsid w:val="65765688"/>
    <w:rsid w:val="65A40D91"/>
    <w:rsid w:val="66F55A6B"/>
    <w:rsid w:val="67327F2E"/>
    <w:rsid w:val="674609A7"/>
    <w:rsid w:val="67465B30"/>
    <w:rsid w:val="68082611"/>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870368"/>
    <w:rsid w:val="6DEF74D5"/>
    <w:rsid w:val="6E9856D0"/>
    <w:rsid w:val="6EB840FC"/>
    <w:rsid w:val="6EE920DC"/>
    <w:rsid w:val="6F377C99"/>
    <w:rsid w:val="6F7E7DE2"/>
    <w:rsid w:val="6FAA433E"/>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4B42DA"/>
    <w:rsid w:val="77CC2AC5"/>
    <w:rsid w:val="78AC0F28"/>
    <w:rsid w:val="78AD7E4B"/>
    <w:rsid w:val="7922758B"/>
    <w:rsid w:val="79766799"/>
    <w:rsid w:val="79B255D2"/>
    <w:rsid w:val="79B45BBB"/>
    <w:rsid w:val="79D0307E"/>
    <w:rsid w:val="79DE121D"/>
    <w:rsid w:val="79E249A2"/>
    <w:rsid w:val="7A577D70"/>
    <w:rsid w:val="7A5C7B4D"/>
    <w:rsid w:val="7B1F1C18"/>
    <w:rsid w:val="7B387938"/>
    <w:rsid w:val="7C341C52"/>
    <w:rsid w:val="7D033238"/>
    <w:rsid w:val="7D2F6ABF"/>
    <w:rsid w:val="7D50024E"/>
    <w:rsid w:val="7D637EF4"/>
    <w:rsid w:val="7E341B98"/>
    <w:rsid w:val="7E51328E"/>
    <w:rsid w:val="7F14576E"/>
    <w:rsid w:val="7FB7357D"/>
    <w:rsid w:val="FFFFDE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Char"/>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Char"/>
    <w:basedOn w:val="24"/>
    <w:link w:val="3"/>
    <w:qFormat/>
    <w:uiPriority w:val="99"/>
    <w:rPr>
      <w:rFonts w:ascii="Arial" w:hAnsi="Arial" w:eastAsia="黑体" w:cs="Times New Roman"/>
      <w:b/>
      <w:bCs/>
      <w:kern w:val="2"/>
      <w:sz w:val="32"/>
      <w:szCs w:val="32"/>
    </w:rPr>
  </w:style>
  <w:style w:type="character" w:customStyle="1" w:styleId="33">
    <w:name w:val="标题 3 Char"/>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Char"/>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Char"/>
    <w:basedOn w:val="24"/>
    <w:link w:val="6"/>
    <w:qFormat/>
    <w:uiPriority w:val="0"/>
    <w:rPr>
      <w:rFonts w:ascii="Times New Roman" w:hAnsi="Times New Roman" w:eastAsia="宋体" w:cs="Times New Roman"/>
      <w:b/>
      <w:bCs/>
      <w:kern w:val="2"/>
      <w:sz w:val="28"/>
      <w:szCs w:val="28"/>
    </w:rPr>
  </w:style>
  <w:style w:type="character" w:customStyle="1" w:styleId="36">
    <w:name w:val="标题 6 Char"/>
    <w:basedOn w:val="24"/>
    <w:link w:val="7"/>
    <w:qFormat/>
    <w:uiPriority w:val="0"/>
    <w:rPr>
      <w:rFonts w:asciiTheme="majorHAnsi" w:hAnsiTheme="majorHAnsi" w:eastAsiaTheme="majorEastAsia" w:cstheme="majorBidi"/>
      <w:b/>
      <w:bCs/>
      <w:kern w:val="2"/>
      <w:sz w:val="24"/>
      <w:szCs w:val="24"/>
    </w:rPr>
  </w:style>
  <w:style w:type="character" w:customStyle="1" w:styleId="37">
    <w:name w:val="页眉 Char"/>
    <w:basedOn w:val="24"/>
    <w:link w:val="15"/>
    <w:qFormat/>
    <w:uiPriority w:val="99"/>
    <w:rPr>
      <w:rFonts w:ascii="Tahoma" w:hAnsi="Tahoma"/>
      <w:sz w:val="18"/>
      <w:szCs w:val="18"/>
    </w:rPr>
  </w:style>
  <w:style w:type="character" w:customStyle="1" w:styleId="38">
    <w:name w:val="页脚 Char"/>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Char"/>
    <w:basedOn w:val="24"/>
    <w:link w:val="9"/>
    <w:qFormat/>
    <w:uiPriority w:val="99"/>
    <w:rPr>
      <w:rFonts w:ascii="Tahoma" w:hAnsi="Tahoma"/>
    </w:rPr>
  </w:style>
  <w:style w:type="character" w:customStyle="1" w:styleId="42">
    <w:name w:val="批注主题 Char"/>
    <w:basedOn w:val="41"/>
    <w:link w:val="22"/>
    <w:qFormat/>
    <w:uiPriority w:val="99"/>
    <w:rPr>
      <w:rFonts w:ascii="Times New Roman" w:hAnsi="Times New Roman" w:eastAsia="宋体" w:cs="Times New Roman"/>
      <w:b/>
      <w:bCs/>
      <w:kern w:val="2"/>
      <w:sz w:val="21"/>
      <w:szCs w:val="24"/>
    </w:rPr>
  </w:style>
  <w:style w:type="character" w:customStyle="1" w:styleId="43">
    <w:name w:val="文档结构图 Char"/>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Char"/>
    <w:basedOn w:val="24"/>
    <w:link w:val="10"/>
    <w:qFormat/>
    <w:uiPriority w:val="99"/>
    <w:rPr>
      <w:rFonts w:ascii="Times New Roman" w:hAnsi="Times New Roman" w:eastAsia="宋体" w:cs="Times New Roman"/>
      <w:kern w:val="2"/>
      <w:sz w:val="21"/>
      <w:szCs w:val="24"/>
    </w:rPr>
  </w:style>
  <w:style w:type="character" w:customStyle="1" w:styleId="45">
    <w:name w:val="纯文本 Char"/>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Char"/>
    <w:basedOn w:val="24"/>
    <w:link w:val="13"/>
    <w:qFormat/>
    <w:uiPriority w:val="99"/>
    <w:rPr>
      <w:rFonts w:ascii="Times New Roman" w:hAnsi="Times New Roman" w:eastAsia="宋体" w:cs="Times New Roman"/>
      <w:kern w:val="2"/>
      <w:sz w:val="18"/>
      <w:szCs w:val="18"/>
    </w:rPr>
  </w:style>
  <w:style w:type="character" w:customStyle="1" w:styleId="47">
    <w:name w:val="脚注文本 Char"/>
    <w:basedOn w:val="24"/>
    <w:link w:val="17"/>
    <w:qFormat/>
    <w:uiPriority w:val="99"/>
    <w:rPr>
      <w:rFonts w:ascii="Times New Roman" w:hAnsi="Times New Roman" w:eastAsia="宋体" w:cs="Times New Roman"/>
      <w:kern w:val="2"/>
      <w:sz w:val="18"/>
      <w:szCs w:val="18"/>
    </w:rPr>
  </w:style>
  <w:style w:type="character" w:customStyle="1" w:styleId="48">
    <w:name w:val="HTML 预设格式 Char"/>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Char"/>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5" Type="http://schemas.microsoft.com/office/2011/relationships/chartColorStyle" Target="colors2.xml"/><Relationship Id="rId4" Type="http://schemas.microsoft.com/office/2011/relationships/chartStyle" Target="style2.xml"/><Relationship Id="rId3" Type="http://schemas.openxmlformats.org/officeDocument/2006/relationships/chartUserShapes" Target="../drawings/drawing3.xml"/><Relationship Id="rId2" Type="http://schemas.openxmlformats.org/officeDocument/2006/relationships/themeOverride" Target="../theme/themeOverride2.xml"/><Relationship Id="rId1" Type="http://schemas.openxmlformats.org/officeDocument/2006/relationships/oleObject" Target="file:///E:\&#24037;&#20316;\&#37096;&#38376;&#25972;&#20307;&#25903;&#20986;&#32489;&#25928;&#35780;&#20215;2019&#24180;&#24230;\&#32467;&#26500;&#22270;&#25968;&#25454;.xlsx" TargetMode="External"/></Relationships>
</file>

<file path=word/charts/_rels/chart3.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oleObject" Target="file:///E:\&#24037;&#20316;\&#37096;&#38376;&#25972;&#20307;&#25903;&#20986;&#32489;&#25928;&#35780;&#20215;2019&#24180;&#24230;\&#32467;&#26500;&#2227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pitchFamily="3" charset="-122"/>
                <a:ea typeface="仿宋" panose="02010609060101010101" pitchFamily="3" charset="-122"/>
                <a:cs typeface="仿宋" panose="02010609060101010101" pitchFamily="3" charset="-122"/>
              </a:rPr>
              <a:t>2021</a:t>
            </a:r>
            <a:r>
              <a:rPr lang="zh-CN" altLang="en-US" sz="1400" b="0">
                <a:latin typeface="仿宋" panose="02010609060101010101" pitchFamily="3" charset="-122"/>
                <a:ea typeface="仿宋" panose="02010609060101010101" pitchFamily="3" charset="-122"/>
                <a:cs typeface="仿宋" panose="02010609060101010101" pitchFamily="3" charset="-122"/>
              </a:rPr>
              <a:t>年决算收入结构图</a:t>
            </a:r>
            <a:endParaRPr lang="zh-CN" altLang="en-US" sz="1400" b="0">
              <a:latin typeface="仿宋" panose="02010609060101010101" pitchFamily="3" charset="-122"/>
              <a:ea typeface="仿宋" panose="02010609060101010101" pitchFamily="3" charset="-122"/>
              <a:cs typeface="仿宋" panose="02010609060101010101" pitchFamily="3" charset="-122"/>
            </a:endParaRPr>
          </a:p>
        </c:rich>
      </c:tx>
      <c:layout>
        <c:manualLayout>
          <c:xMode val="edge"/>
          <c:yMode val="edge"/>
          <c:x val="0.295138888888892"/>
          <c:y val="0.00694444444444448"/>
        </c:manualLayout>
      </c:layout>
      <c:overlay val="0"/>
    </c:title>
    <c:autoTitleDeleted val="0"/>
    <c:plotArea>
      <c:layout>
        <c:manualLayout>
          <c:layoutTarget val="inner"/>
          <c:xMode val="edge"/>
          <c:yMode val="edge"/>
          <c:x val="0.135854768153981"/>
          <c:y val="0.231481481481485"/>
          <c:w val="0.397777777777782"/>
          <c:h val="0.662962962962959"/>
        </c:manualLayout>
      </c:layout>
      <c:pieChart>
        <c:varyColors val="1"/>
        <c:ser>
          <c:idx val="0"/>
          <c:order val="0"/>
          <c:tx>
            <c:strRef>
              <c:f>'[底稿---自己的.xlsx]Sheet1'!$C$3</c:f>
              <c:strCache>
                <c:ptCount val="1"/>
                <c:pt idx="0">
                  <c:v>决算</c:v>
                </c:pt>
              </c:strCache>
            </c:strRef>
          </c:tx>
          <c:explosion val="0"/>
          <c:dPt>
            <c:idx val="0"/>
            <c:bubble3D val="0"/>
          </c:dPt>
          <c:dPt>
            <c:idx val="1"/>
            <c:bubble3D val="0"/>
          </c:dPt>
          <c:dPt>
            <c:idx val="2"/>
            <c:bubble3D val="0"/>
          </c:dPt>
          <c:dPt>
            <c:idx val="3"/>
            <c:bubble3D val="0"/>
          </c:dPt>
          <c:dLbls>
            <c:dLbl>
              <c:idx val="0"/>
              <c:layout>
                <c:manualLayout>
                  <c:x val="-0.139737751531059"/>
                  <c:y val="-0.17813939924176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84.12%</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065094050743657"/>
                  <c:y val="0.026053878681831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6.55%</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96932414698163"/>
                  <c:y val="-0.0501060804899389"/>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2.24%</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11039807524059"/>
                  <c:y val="-0.026103091280256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3.14%</a:t>
                    </a:r>
                    <a:endParaRPr lang="en-US" altLang="zh-CN"/>
                  </a:p>
                </c:rich>
              </c:tx>
              <c:dLblPos val="bestFit"/>
              <c:showLegendKey val="0"/>
              <c:showVal val="1"/>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'[底稿---自己的.xlsx]Sheet1'!$A$4:$A$7</c:f>
              <c:strCache>
                <c:ptCount val="4"/>
                <c:pt idx="0">
                  <c:v>公共安全支出</c:v>
                </c:pt>
                <c:pt idx="1">
                  <c:v>社会保障和就业支出</c:v>
                </c:pt>
                <c:pt idx="2">
                  <c:v>医疗卫生与计划生育支出</c:v>
                </c:pt>
                <c:pt idx="3">
                  <c:v>住房保障支出</c:v>
                </c:pt>
              </c:strCache>
            </c:strRef>
          </c:cat>
          <c:val>
            <c:numRef>
              <c:f>'[底稿---自己的.xlsx]Sheet1'!$C$4:$C$7</c:f>
              <c:numCache>
                <c:formatCode>0.00_ </c:formatCode>
                <c:ptCount val="4"/>
                <c:pt idx="0">
                  <c:v>1124.81</c:v>
                </c:pt>
                <c:pt idx="1">
                  <c:v>105.54</c:v>
                </c:pt>
                <c:pt idx="2">
                  <c:v>23.94</c:v>
                </c:pt>
                <c:pt idx="3">
                  <c:v>45.89</c:v>
                </c:pt>
              </c:numCache>
            </c:numRef>
          </c:val>
        </c:ser>
        <c:dLbls>
          <c:showLegendKey val="0"/>
          <c:showVal val="1"/>
          <c:showCatName val="0"/>
          <c:showSerName val="0"/>
          <c:showPercent val="1"/>
          <c:showBubbleSize val="0"/>
          <c:showLeaderLines val="1"/>
        </c:dLbls>
        <c:firstSliceAng val="0"/>
      </c:pieChart>
    </c:plotArea>
    <c:plotVisOnly val="1"/>
    <c:dispBlanksAs val="zero"/>
    <c:showDLblsOverMax val="0"/>
    <c:extLst>
      <c:ext uri="{0b15fc19-7d7d-44ad-8c2d-2c3a37ce22c3}">
        <chartProps xmlns="https://web.wps.cn/et/2018/main" chartId="{d548aa5b-151e-4db7-94d1-f7c5d9d1ee33}"/>
      </c:ext>
    </c:extLst>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年度年度预算收入与决算收入对比图</a:t>
            </a:r>
            <a:endParaRPr lang="zh-CN"/>
          </a:p>
        </c:rich>
      </c:tx>
      <c:layout/>
      <c:overlay val="0"/>
      <c:spPr>
        <a:noFill/>
        <a:ln>
          <a:noFill/>
        </a:ln>
        <a:effectLst/>
      </c:spPr>
    </c:title>
    <c:autoTitleDeleted val="0"/>
    <c:plotArea>
      <c:layout>
        <c:manualLayout>
          <c:layoutTarget val="inner"/>
          <c:xMode val="edge"/>
          <c:yMode val="edge"/>
          <c:x val="0.0648703888539754"/>
          <c:y val="0.176867574094115"/>
          <c:w val="0.769550114219803"/>
          <c:h val="0.497045582250289"/>
        </c:manualLayout>
      </c:layout>
      <c:barChart>
        <c:barDir val="col"/>
        <c:grouping val="clustered"/>
        <c:varyColors val="0"/>
        <c:ser>
          <c:idx val="0"/>
          <c:order val="0"/>
          <c:tx>
            <c:strRef>
              <c:f>预算与决算收入对比!$B$1:$B$2</c:f>
              <c:strCache>
                <c:ptCount val="1"/>
                <c:pt idx="0">
                  <c:v>预算</c:v>
                </c:pt>
              </c:strCache>
            </c:strRef>
          </c:tx>
          <c:spPr>
            <a:solidFill>
              <a:schemeClr val="accent1"/>
            </a:solidFill>
            <a:ln>
              <a:noFill/>
            </a:ln>
            <a:effectLst/>
          </c:spPr>
          <c:invertIfNegative val="0"/>
          <c:dLbls>
            <c:delete val="1"/>
          </c:dLbls>
          <c:cat>
            <c:strRef>
              <c:f>预算与决算收入对比!$A$3:$A$6</c:f>
              <c:strCache>
                <c:ptCount val="4"/>
                <c:pt idx="0">
                  <c:v>教育支出</c:v>
                </c:pt>
                <c:pt idx="1">
                  <c:v>社会保障和就业支出</c:v>
                </c:pt>
                <c:pt idx="2">
                  <c:v>医疗卫生与计划生育支出</c:v>
                </c:pt>
                <c:pt idx="3">
                  <c:v>住房保障支出</c:v>
                </c:pt>
              </c:strCache>
            </c:strRef>
          </c:cat>
          <c:val>
            <c:numRef>
              <c:f>预算与决算收入对比!$B$3:$B$6</c:f>
              <c:numCache>
                <c:formatCode>General</c:formatCode>
                <c:ptCount val="4"/>
                <c:pt idx="0">
                  <c:v>93748.25</c:v>
                </c:pt>
                <c:pt idx="1">
                  <c:v>10221.87</c:v>
                </c:pt>
                <c:pt idx="2">
                  <c:v>3165.06</c:v>
                </c:pt>
                <c:pt idx="3">
                  <c:v>4862.89</c:v>
                </c:pt>
              </c:numCache>
            </c:numRef>
          </c:val>
        </c:ser>
        <c:ser>
          <c:idx val="1"/>
          <c:order val="1"/>
          <c:tx>
            <c:strRef>
              <c:f>预算与决算收入对比!$C$1:$C$2</c:f>
              <c:strCache>
                <c:ptCount val="1"/>
                <c:pt idx="0">
                  <c:v>决算</c:v>
                </c:pt>
              </c:strCache>
            </c:strRef>
          </c:tx>
          <c:spPr>
            <a:solidFill>
              <a:schemeClr val="accent2"/>
            </a:solidFill>
            <a:ln>
              <a:noFill/>
            </a:ln>
            <a:effectLst/>
          </c:spPr>
          <c:invertIfNegative val="0"/>
          <c:dLbls>
            <c:delete val="1"/>
          </c:dLbls>
          <c:cat>
            <c:strRef>
              <c:f>预算与决算收入对比!$A$3:$A$6</c:f>
              <c:strCache>
                <c:ptCount val="4"/>
                <c:pt idx="0">
                  <c:v>教育支出</c:v>
                </c:pt>
                <c:pt idx="1">
                  <c:v>社会保障和就业支出</c:v>
                </c:pt>
                <c:pt idx="2">
                  <c:v>医疗卫生与计划生育支出</c:v>
                </c:pt>
                <c:pt idx="3">
                  <c:v>住房保障支出</c:v>
                </c:pt>
              </c:strCache>
            </c:strRef>
          </c:cat>
          <c:val>
            <c:numRef>
              <c:f>预算与决算收入对比!$C$3:$C$6</c:f>
              <c:numCache>
                <c:formatCode>General</c:formatCode>
                <c:ptCount val="4"/>
                <c:pt idx="0">
                  <c:v>108629.25</c:v>
                </c:pt>
                <c:pt idx="1">
                  <c:v>11703.4</c:v>
                </c:pt>
                <c:pt idx="2">
                  <c:v>2443.68</c:v>
                </c:pt>
                <c:pt idx="3">
                  <c:v>4857.74</c:v>
                </c:pt>
              </c:numCache>
            </c:numRef>
          </c:val>
        </c:ser>
        <c:dLbls>
          <c:showLegendKey val="0"/>
          <c:showVal val="0"/>
          <c:showCatName val="0"/>
          <c:showSerName val="0"/>
          <c:showPercent val="0"/>
          <c:showBubbleSize val="0"/>
        </c:dLbls>
        <c:gapWidth val="219"/>
        <c:overlap val="-27"/>
        <c:axId val="383880864"/>
        <c:axId val="383881256"/>
      </c:barChart>
      <c:catAx>
        <c:axId val="383880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mn-lt"/>
                <a:ea typeface="+mn-ea"/>
                <a:cs typeface="+mn-cs"/>
              </a:defRPr>
            </a:pPr>
          </a:p>
        </c:txPr>
        <c:crossAx val="383881256"/>
        <c:crosses val="autoZero"/>
        <c:auto val="1"/>
        <c:lblAlgn val="ctr"/>
        <c:lblOffset val="100"/>
        <c:noMultiLvlLbl val="0"/>
      </c:catAx>
      <c:valAx>
        <c:axId val="383881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880864"/>
        <c:crosses val="autoZero"/>
        <c:crossBetween val="between"/>
      </c:valAx>
      <c:spPr>
        <a:noFill/>
        <a:ln>
          <a:noFill/>
        </a:ln>
        <a:effectLst/>
      </c:spPr>
    </c:plotArea>
    <c:legend>
      <c:legendPos val="r"/>
      <c:layout>
        <c:manualLayout>
          <c:xMode val="edge"/>
          <c:yMode val="edge"/>
          <c:x val="0.866101528816797"/>
          <c:y val="0.406753052352364"/>
          <c:w val="0.122064153494517"/>
          <c:h val="0.181293464883445"/>
        </c:manualLayout>
      </c:layout>
      <c:overlay val="0"/>
      <c:spPr>
        <a:noFill/>
        <a:ln>
          <a:noFill/>
        </a:ln>
        <a:effectLst/>
      </c:spPr>
      <c:txPr>
        <a:bodyPr rot="0" spcFirstLastPara="1"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443093d-c370-4f9a-89b4-81d00e80658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2021</a:t>
            </a:r>
            <a:r>
              <a:rPr lang="zh-CN" altLang="en-US"/>
              <a:t>年度年度预算支出与决算支出对比图</a:t>
            </a:r>
            <a:endParaRPr lang="zh-CN"/>
          </a:p>
        </c:rich>
      </c:tx>
      <c:layout/>
      <c:overlay val="0"/>
      <c:spPr>
        <a:noFill/>
        <a:ln>
          <a:noFill/>
        </a:ln>
        <a:effectLst/>
      </c:spPr>
    </c:title>
    <c:autoTitleDeleted val="0"/>
    <c:plotArea>
      <c:layout>
        <c:manualLayout>
          <c:layoutTarget val="inner"/>
          <c:xMode val="edge"/>
          <c:yMode val="edge"/>
          <c:x val="0.0648703888539754"/>
          <c:y val="0.176867574094115"/>
          <c:w val="0.769550114219803"/>
          <c:h val="0.497045582250289"/>
        </c:manualLayout>
      </c:layout>
      <c:barChart>
        <c:barDir val="col"/>
        <c:grouping val="clustered"/>
        <c:varyColors val="0"/>
        <c:ser>
          <c:idx val="0"/>
          <c:order val="0"/>
          <c:tx>
            <c:strRef>
              <c:f>预算与决算收入对比!$B$1:$B$2</c:f>
              <c:strCache>
                <c:ptCount val="1"/>
                <c:pt idx="0">
                  <c:v>预算</c:v>
                </c:pt>
              </c:strCache>
            </c:strRef>
          </c:tx>
          <c:spPr>
            <a:solidFill>
              <a:schemeClr val="accent1"/>
            </a:solidFill>
            <a:ln>
              <a:noFill/>
            </a:ln>
            <a:effectLst/>
          </c:spPr>
          <c:invertIfNegative val="0"/>
          <c:dLbls>
            <c:delete val="1"/>
          </c:dLbls>
          <c:cat>
            <c:strRef>
              <c:f>预算与决算收入对比!$A$3:$A$6</c:f>
              <c:strCache>
                <c:ptCount val="4"/>
                <c:pt idx="0">
                  <c:v>教育支出</c:v>
                </c:pt>
                <c:pt idx="1">
                  <c:v>社会保障和就业支出</c:v>
                </c:pt>
                <c:pt idx="2">
                  <c:v>医疗卫生与计划生育支出</c:v>
                </c:pt>
                <c:pt idx="3">
                  <c:v>住房保障支出</c:v>
                </c:pt>
              </c:strCache>
            </c:strRef>
          </c:cat>
          <c:val>
            <c:numRef>
              <c:f>预算与决算收入对比!$B$3:$B$6</c:f>
              <c:numCache>
                <c:formatCode>General</c:formatCode>
                <c:ptCount val="4"/>
                <c:pt idx="0">
                  <c:v>93748.25</c:v>
                </c:pt>
                <c:pt idx="1">
                  <c:v>10221.87</c:v>
                </c:pt>
                <c:pt idx="2">
                  <c:v>3165.06</c:v>
                </c:pt>
                <c:pt idx="3">
                  <c:v>4862.89</c:v>
                </c:pt>
              </c:numCache>
            </c:numRef>
          </c:val>
        </c:ser>
        <c:ser>
          <c:idx val="1"/>
          <c:order val="1"/>
          <c:tx>
            <c:strRef>
              <c:f>预算与决算收入对比!$C$1:$C$2</c:f>
              <c:strCache>
                <c:ptCount val="1"/>
                <c:pt idx="0">
                  <c:v>决算</c:v>
                </c:pt>
              </c:strCache>
            </c:strRef>
          </c:tx>
          <c:spPr>
            <a:solidFill>
              <a:schemeClr val="accent2"/>
            </a:solidFill>
            <a:ln>
              <a:noFill/>
            </a:ln>
            <a:effectLst/>
          </c:spPr>
          <c:invertIfNegative val="0"/>
          <c:dLbls>
            <c:delete val="1"/>
          </c:dLbls>
          <c:cat>
            <c:strRef>
              <c:f>预算与决算收入对比!$A$3:$A$6</c:f>
              <c:strCache>
                <c:ptCount val="4"/>
                <c:pt idx="0">
                  <c:v>教育支出</c:v>
                </c:pt>
                <c:pt idx="1">
                  <c:v>社会保障和就业支出</c:v>
                </c:pt>
                <c:pt idx="2">
                  <c:v>医疗卫生与计划生育支出</c:v>
                </c:pt>
                <c:pt idx="3">
                  <c:v>住房保障支出</c:v>
                </c:pt>
              </c:strCache>
            </c:strRef>
          </c:cat>
          <c:val>
            <c:numRef>
              <c:f>预算与决算收入对比!$C$3:$C$6</c:f>
              <c:numCache>
                <c:formatCode>General</c:formatCode>
                <c:ptCount val="4"/>
                <c:pt idx="0">
                  <c:v>108629.25</c:v>
                </c:pt>
                <c:pt idx="1">
                  <c:v>11703.4</c:v>
                </c:pt>
                <c:pt idx="2">
                  <c:v>2443.68</c:v>
                </c:pt>
                <c:pt idx="3">
                  <c:v>4857.74</c:v>
                </c:pt>
              </c:numCache>
            </c:numRef>
          </c:val>
        </c:ser>
        <c:dLbls>
          <c:showLegendKey val="0"/>
          <c:showVal val="0"/>
          <c:showCatName val="0"/>
          <c:showSerName val="0"/>
          <c:showPercent val="0"/>
          <c:showBubbleSize val="0"/>
        </c:dLbls>
        <c:gapWidth val="219"/>
        <c:overlap val="-27"/>
        <c:axId val="383880080"/>
        <c:axId val="383880472"/>
      </c:barChart>
      <c:catAx>
        <c:axId val="383880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1000" b="1" i="0" u="none" strike="noStrike" kern="1200" baseline="0">
                <a:solidFill>
                  <a:sysClr val="windowText" lastClr="000000"/>
                </a:solidFill>
                <a:latin typeface="+mn-lt"/>
                <a:ea typeface="+mn-ea"/>
                <a:cs typeface="+mn-cs"/>
              </a:defRPr>
            </a:pPr>
          </a:p>
        </c:txPr>
        <c:crossAx val="383880472"/>
        <c:crosses val="autoZero"/>
        <c:auto val="1"/>
        <c:lblAlgn val="ctr"/>
        <c:lblOffset val="100"/>
        <c:noMultiLvlLbl val="0"/>
      </c:catAx>
      <c:valAx>
        <c:axId val="383880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3880080"/>
        <c:crosses val="autoZero"/>
        <c:crossBetween val="between"/>
      </c:valAx>
      <c:spPr>
        <a:noFill/>
        <a:ln>
          <a:noFill/>
        </a:ln>
        <a:effectLst/>
      </c:spPr>
    </c:plotArea>
    <c:legend>
      <c:legendPos val="r"/>
      <c:layout>
        <c:manualLayout>
          <c:xMode val="edge"/>
          <c:yMode val="edge"/>
          <c:x val="0.866101528816797"/>
          <c:y val="0.406753052352364"/>
          <c:w val="0.122064153494517"/>
          <c:h val="0.181293464883445"/>
        </c:manualLayout>
      </c:layout>
      <c:overlay val="0"/>
      <c:spPr>
        <a:noFill/>
        <a:ln>
          <a:noFill/>
        </a:ln>
        <a:effectLst/>
      </c:spPr>
      <c:txPr>
        <a:bodyPr rot="0" spcFirstLastPara="1"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7ab24d6-bd80-4670-8e28-acd122315a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3"/>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0.83571</cdr:x>
      <cdr:y>0.06585</cdr:y>
    </cdr:from>
    <cdr:to>
      <cdr:x>1</cdr:x>
      <cdr:y>0.12142</cdr:y>
    </cdr:to>
    <cdr:sp>
      <cdr:nvSpPr>
        <cdr:cNvPr id="2" name="矩形 1"/>
        <cdr:cNvSpPr/>
      </cdr:nvSpPr>
      <cdr:spPr xmlns:a="http://schemas.openxmlformats.org/drawingml/2006/main">
        <a:xfrm xmlns:a="http://schemas.openxmlformats.org/drawingml/2006/main">
          <a:off x="4382329" y="241825"/>
          <a:ext cx="861501" cy="20404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50"/>
            <a:t>单位：万元</a:t>
          </a:r>
          <a:endParaRPr lang="zh-CN" altLang="en-US" sz="1050"/>
        </a:p>
      </cdr:txBody>
    </cdr:sp>
  </cdr:relSizeAnchor>
</c:userShapes>
</file>

<file path=word/drawings/drawing2.xml><?xml version="1.0" encoding="utf-8"?>
<c:userShapes xmlns:c="http://schemas.openxmlformats.org/drawingml/2006/chart">
  <cdr:relSizeAnchor xmlns:cdr="http://schemas.openxmlformats.org/drawingml/2006/chartDrawing">
    <cdr:from>
      <cdr:x>0.7875</cdr:x>
      <cdr:y>0.125</cdr:y>
    </cdr:from>
    <cdr:to>
      <cdr:x>0.99375</cdr:x>
      <cdr:y>0.21181</cdr:y>
    </cdr:to>
    <cdr:sp>
      <cdr:nvSpPr>
        <cdr:cNvPr id="2" name="矩形 1"/>
        <cdr:cNvSpPr/>
      </cdr:nvSpPr>
      <cdr:spPr xmlns:a="http://schemas.openxmlformats.org/drawingml/2006/main">
        <a:xfrm xmlns:a="http://schemas.openxmlformats.org/drawingml/2006/main">
          <a:off x="3600451" y="342900"/>
          <a:ext cx="942974" cy="238125"/>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p>
          <a:r>
            <a:rPr lang="zh-CN" altLang="en-US" sz="1000"/>
            <a:t>单位：万元</a:t>
          </a:r>
          <a:endParaRPr lang="zh-CN" altLang="en-US" sz="1000"/>
        </a:p>
      </cdr:txBody>
    </cdr:sp>
  </cdr:relSizeAnchor>
  <cdr:relSizeAnchor xmlns:cdr="http://schemas.openxmlformats.org/drawingml/2006/chartDrawing">
    <cdr:from>
      <cdr:x>0.60668</cdr:x>
      <cdr:y>0.66173</cdr:y>
    </cdr:from>
    <cdr:to>
      <cdr:x>0.62352</cdr:x>
      <cdr:y>0.68366</cdr:y>
    </cdr:to>
    <cdr:sp>
      <cdr:nvSpPr>
        <cdr:cNvPr id="3" name="矩形 2"/>
        <cdr:cNvSpPr/>
      </cdr:nvSpPr>
      <cdr:spPr xmlns:a="http://schemas.openxmlformats.org/drawingml/2006/main">
        <a:xfrm xmlns:a="http://schemas.openxmlformats.org/drawingml/2006/main">
          <a:off x="2767976" y="1896771"/>
          <a:ext cx="76832" cy="62860"/>
        </a:xfrm>
        <a:prstGeom xmlns:a="http://schemas.openxmlformats.org/drawingml/2006/main" prst="rect">
          <a:avLst/>
        </a:prstGeom>
        <a:solidFill>
          <a:schemeClr val="accent4"/>
        </a:solidFill>
        <a:l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0.60738</cdr:x>
      <cdr:y>0.51995</cdr:y>
    </cdr:from>
    <cdr:to>
      <cdr:x>0.62422</cdr:x>
      <cdr:y>0.54188</cdr:y>
    </cdr:to>
    <cdr:sp>
      <cdr:nvSpPr>
        <cdr:cNvPr id="4" name="矩形 3"/>
        <cdr:cNvSpPr/>
      </cdr:nvSpPr>
      <cdr:spPr xmlns:a="http://schemas.openxmlformats.org/drawingml/2006/main">
        <a:xfrm xmlns:a="http://schemas.openxmlformats.org/drawingml/2006/main">
          <a:off x="2771151" y="1490371"/>
          <a:ext cx="76832" cy="62860"/>
        </a:xfrm>
        <a:prstGeom xmlns:a="http://schemas.openxmlformats.org/drawingml/2006/main" prst="rect">
          <a:avLst/>
        </a:prstGeom>
        <a:solidFill>
          <a:srgbClr val="FF0000"/>
        </a:solidFill>
        <a:l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0.6032</cdr:x>
      <cdr:y>0.40364</cdr:y>
    </cdr:from>
    <cdr:to>
      <cdr:x>0.62004</cdr:x>
      <cdr:y>0.42557</cdr:y>
    </cdr:to>
    <cdr:sp>
      <cdr:nvSpPr>
        <cdr:cNvPr id="5" name="矩形 4"/>
        <cdr:cNvSpPr/>
      </cdr:nvSpPr>
      <cdr:spPr xmlns:a="http://schemas.openxmlformats.org/drawingml/2006/main">
        <a:xfrm xmlns:a="http://schemas.openxmlformats.org/drawingml/2006/main">
          <a:off x="2752101" y="1156996"/>
          <a:ext cx="76832" cy="62860"/>
        </a:xfrm>
        <a:prstGeom xmlns:a="http://schemas.openxmlformats.org/drawingml/2006/main" prst="rect">
          <a:avLst/>
        </a:prstGeom>
        <a:solidFill>
          <a:schemeClr val="tx2">
            <a:lumMod val="60000"/>
            <a:lumOff val="40000"/>
          </a:schemeClr>
        </a:solidFill>
        <a:l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0.6032</cdr:x>
      <cdr:y>0.78246</cdr:y>
    </cdr:from>
    <cdr:to>
      <cdr:x>0.62004</cdr:x>
      <cdr:y>0.80439</cdr:y>
    </cdr:to>
    <cdr:sp>
      <cdr:nvSpPr>
        <cdr:cNvPr id="6" name="矩形 5"/>
        <cdr:cNvSpPr/>
      </cdr:nvSpPr>
      <cdr:spPr xmlns:a="http://schemas.openxmlformats.org/drawingml/2006/main">
        <a:xfrm xmlns:a="http://schemas.openxmlformats.org/drawingml/2006/main">
          <a:off x="2752101" y="2242846"/>
          <a:ext cx="76832" cy="62860"/>
        </a:xfrm>
        <a:prstGeom xmlns:a="http://schemas.openxmlformats.org/drawingml/2006/main" prst="rect">
          <a:avLst/>
        </a:prstGeom>
        <a:solidFill>
          <a:srgbClr val="92D050"/>
        </a:solidFill>
        <a:l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drawings/drawing3.xml><?xml version="1.0" encoding="utf-8"?>
<c:userShapes xmlns:c="http://schemas.openxmlformats.org/drawingml/2006/chart">
  <cdr:relSizeAnchor xmlns:cdr="http://schemas.openxmlformats.org/drawingml/2006/chartDrawing">
    <cdr:from>
      <cdr:x>0.78148</cdr:x>
      <cdr:y>0.06585</cdr:y>
    </cdr:from>
    <cdr:to>
      <cdr:x>0.97778</cdr:x>
      <cdr:y>0.13783</cdr:y>
    </cdr:to>
    <cdr:sp>
      <cdr:nvSpPr>
        <cdr:cNvPr id="2" name="矩形 1"/>
        <cdr:cNvSpPr/>
      </cdr:nvSpPr>
      <cdr:spPr xmlns:a="http://schemas.openxmlformats.org/drawingml/2006/main">
        <a:xfrm xmlns:a="http://schemas.openxmlformats.org/drawingml/2006/main">
          <a:off x="4019550" y="213881"/>
          <a:ext cx="1009650" cy="233793"/>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50"/>
            <a:t>单位：万元</a:t>
          </a:r>
          <a:endParaRPr lang="zh-CN" altLang="en-US" sz="105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Info spid="_x0000_s1030"/>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F32FB5-8742-4DED-9A49-292B3E158B7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8318</Words>
  <Characters>9039</Characters>
  <Lines>112</Lines>
  <Paragraphs>31</Paragraphs>
  <TotalTime>188</TotalTime>
  <ScaleCrop>false</ScaleCrop>
  <LinksUpToDate>false</LinksUpToDate>
  <CharactersWithSpaces>9148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2019-11-18T22:52:00Z</dcterms:created>
  <dc:creator>Administrator</dc:creator>
  <cp:lastModifiedBy>thtf</cp:lastModifiedBy>
  <cp:lastPrinted>2021-07-09T17:47:00Z</cp:lastPrinted>
  <dcterms:modified xsi:type="dcterms:W3CDTF">2026-01-16T10:11:04Z</dcterms:modified>
  <cp:revision>411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7E7588654FC244E380CF99C244D2BB12</vt:lpwstr>
  </property>
  <property fmtid="{D5CDD505-2E9C-101B-9397-08002B2CF9AE}" pid="4" name="KSOTemplateDocerSaveRecord">
    <vt:lpwstr>eyJoZGlkIjoiZmQyZjU5NmY0YjRjYTlmY2I3ODk2ZDhiY2FiZGI5MDkiLCJ1c2VySWQiOiI0MDc0ODAzODYifQ==</vt:lpwstr>
  </property>
</Properties>
</file>