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word/footer1.xml" ContentType="application/vnd.openxmlformats-officedocument.wordprocessingml.footer+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keepNext w:val="false"/>
        <w:keepLines w:val="false"/>
        <w:pageBreakBefore w:val="false"/>
        <w:widowControl w:val="false"/>
        <w:pBdr/>
        <w:spacing w:line="560" w:lineRule="exact"/>
        <w:ind/>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保定市徐水区市场监督管理局</w:t>
      </w:r>
      <w:r>
        <w:rPr>
          <w:rFonts w:hint="eastAsia" w:ascii="方正小标宋简体" w:hAnsi="方正小标宋简体" w:eastAsia="方正小标宋简体" w:cs="方正小标宋简体"/>
          <w:sz w:val="44"/>
          <w:szCs w:val="44"/>
          <w:lang w:val="en-US" w:eastAsia="zh-CN"/>
        </w:rPr>
      </w:r>
    </w:p>
    <w:p>
      <w:pPr>
        <w:keepNext w:val="false"/>
        <w:keepLines w:val="false"/>
        <w:pageBreakBefore w:val="false"/>
        <w:widowControl w:val="false"/>
        <w:pBdr/>
        <w:spacing w:line="560" w:lineRule="exact"/>
        <w:ind/>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20</w:t>
      </w:r>
      <w:r>
        <w:rPr>
          <w:rFonts w:hint="default" w:ascii="方正小标宋简体" w:hAnsi="方正小标宋简体" w:eastAsia="方正小标宋简体" w:cs="方正小标宋简体"/>
          <w:sz w:val="44"/>
          <w:szCs w:val="44"/>
          <w:lang w:val="en-US" w:eastAsia="zh-CN"/>
        </w:rPr>
        <w:t xml:space="preserve">23</w:t>
      </w:r>
      <w:r>
        <w:rPr>
          <w:rFonts w:hint="eastAsia" w:ascii="方正小标宋简体" w:hAnsi="方正小标宋简体" w:eastAsia="方正小标宋简体" w:cs="方正小标宋简体"/>
          <w:sz w:val="44"/>
          <w:szCs w:val="44"/>
          <w:lang w:val="en-US" w:eastAsia="zh-CN"/>
        </w:rPr>
        <w:t xml:space="preserve">年度部门整体绩效管理自评报告</w:t>
      </w:r>
      <w:r>
        <w:rPr>
          <w:rFonts w:hint="eastAsia" w:ascii="方正小标宋简体" w:hAnsi="方正小标宋简体" w:eastAsia="方正小标宋简体" w:cs="方正小标宋简体"/>
          <w:sz w:val="44"/>
          <w:szCs w:val="44"/>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根据《保定市徐水区财政局关于印发</w:t>
      </w:r>
      <w:r>
        <w:rPr>
          <w:rFonts w:hint="eastAsia" w:ascii="仿宋_GB2312" w:hAnsi="仿宋_GB2312" w:eastAsia="仿宋_GB2312" w:cs="仿宋_GB2312"/>
          <w:sz w:val="32"/>
          <w:szCs w:val="32"/>
          <w:lang w:val="en-US" w:eastAsia="zh-CN"/>
        </w:rPr>
        <w:t xml:space="preserve">〈</w:t>
      </w: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t xml:space="preserve">保定市徐水区预算部门绩效管理考核实施办法（试行）</w:t>
      </w:r>
      <w:r/>
      <w:r>
        <w:rPr>
          <w:rFonts w:hint="eastAsia" w:ascii="仿宋_GB2312" w:hAnsi="仿宋_GB2312" w:eastAsia="仿宋_GB2312" w:cs="仿宋_GB2312"/>
          <w:sz w:val="32"/>
          <w:szCs w:val="32"/>
          <w:lang w:val="en-US" w:eastAsia="zh-CN"/>
        </w:rPr>
        <w:t xml:space="preserve">〉</w:t>
      </w:r>
      <w:r>
        <w:rPr>
          <w:rFonts w:hint="eastAsia" w:ascii="仿宋_GB2312" w:hAnsi="仿宋_GB2312" w:eastAsia="仿宋_GB2312" w:cs="仿宋_GB2312"/>
          <w:sz w:val="32"/>
          <w:szCs w:val="32"/>
          <w:lang w:val="en-US" w:eastAsia="zh-CN"/>
        </w:rPr>
        <w:t xml:space="preserve">的通知》（徐政财字〔2</w:t>
      </w:r>
      <w:r>
        <w:rPr>
          <w:rFonts w:hint="default" w:ascii="仿宋_GB2312" w:hAnsi="仿宋_GB2312" w:eastAsia="仿宋_GB2312" w:cs="仿宋_GB2312"/>
          <w:sz w:val="32"/>
          <w:szCs w:val="32"/>
          <w:lang w:val="en-US" w:eastAsia="zh-CN"/>
        </w:rPr>
        <w:t xml:space="preserve">2</w:t>
      </w:r>
      <w:r>
        <w:rPr>
          <w:rFonts w:hint="eastAsia" w:ascii="仿宋_GB2312" w:hAnsi="仿宋_GB2312" w:eastAsia="仿宋_GB2312" w:cs="仿宋_GB2312"/>
          <w:sz w:val="32"/>
          <w:szCs w:val="32"/>
          <w:lang w:val="en-US" w:eastAsia="zh-CN"/>
        </w:rPr>
        <w:t xml:space="preserve">〕73号）和《202</w:t>
      </w:r>
      <w:r>
        <w:rPr>
          <w:rFonts w:hint="default" w:ascii="仿宋_GB2312" w:hAnsi="仿宋_GB2312" w:eastAsia="仿宋_GB2312" w:cs="仿宋_GB2312"/>
          <w:sz w:val="32"/>
          <w:szCs w:val="32"/>
          <w:lang w:val="en-US" w:eastAsia="zh-CN"/>
        </w:rPr>
        <w:t xml:space="preserve">2</w:t>
      </w:r>
      <w:r>
        <w:rPr>
          <w:rFonts w:hint="eastAsia" w:ascii="仿宋_GB2312" w:hAnsi="仿宋_GB2312" w:eastAsia="仿宋_GB2312" w:cs="仿宋_GB2312"/>
          <w:sz w:val="32"/>
          <w:szCs w:val="32"/>
          <w:lang w:val="en-US" w:eastAsia="zh-CN"/>
        </w:rPr>
        <w:t xml:space="preserve">年度区直部门（乡镇）绩效管理自评表》，结合实际情况，市场监督管理局组织开展部门整体绩效管理自评工作，现将具体情况报告如下：</w:t>
      </w:r>
      <w:r>
        <w:rPr>
          <w:rFonts w:hint="eastAsia"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 xml:space="preserve">一、部门基本情况</w:t>
      </w:r>
      <w:r>
        <w:rPr>
          <w:rFonts w:hint="eastAsia" w:ascii="方正黑体_GBK" w:hAnsi="方正黑体_GBK" w:eastAsia="方正黑体_GBK" w:cs="方正黑体_GBK"/>
          <w:sz w:val="32"/>
          <w:szCs w:val="32"/>
          <w:lang w:val="en-US" w:eastAsia="zh-CN"/>
        </w:rPr>
      </w:r>
    </w:p>
    <w:p>
      <w:pPr>
        <w:keepNext w:val="false"/>
        <w:keepLines w:val="false"/>
        <w:pageBreakBefore w:val="false"/>
        <w:widowControl w:val="false"/>
        <w:pBdr/>
        <w:spacing w:line="560" w:lineRule="exact"/>
        <w:ind w:firstLine="64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（一）机构设置和人员配备</w:t>
      </w:r>
      <w:r>
        <w:rPr>
          <w:rFonts w:hint="default" w:ascii="楷体_GB2312" w:hAnsi="楷体_GB2312" w:eastAsia="楷体_GB2312" w:cs="楷体_GB2312"/>
          <w:sz w:val="32"/>
          <w:szCs w:val="32"/>
          <w:lang w:val="en-US" w:eastAsia="zh-CN"/>
        </w:rPr>
      </w:r>
    </w:p>
    <w:p>
      <w:pPr>
        <w:pStyle w:val="660"/>
        <w:widowControl w:val="true"/>
        <w:pBdr/>
        <w:spacing w:line="520" w:lineRule="exact"/>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保定市徐水区市场监督管理局</w:t>
      </w:r>
      <w:r>
        <w:rPr>
          <w:rFonts w:hint="default" w:ascii="仿宋_GB2312" w:hAnsi="仿宋_GB2312" w:eastAsia="仿宋_GB2312" w:cs="仿宋_GB2312"/>
          <w:sz w:val="32"/>
          <w:szCs w:val="32"/>
          <w:lang w:val="en-US" w:eastAsia="zh-CN"/>
        </w:rPr>
        <w:t xml:space="preserve">为</w:t>
      </w:r>
      <w:r>
        <w:rPr>
          <w:rFonts w:hint="eastAsia" w:ascii="仿宋_GB2312" w:hAnsi="仿宋_GB2312" w:eastAsia="仿宋_GB2312" w:cs="仿宋_GB2312"/>
          <w:sz w:val="32"/>
          <w:szCs w:val="32"/>
          <w:lang w:val="en-US" w:eastAsia="zh-CN"/>
        </w:rPr>
        <w:t xml:space="preserve">一</w:t>
      </w:r>
      <w:r>
        <w:rPr>
          <w:rFonts w:hint="default" w:ascii="仿宋_GB2312" w:hAnsi="仿宋_GB2312" w:eastAsia="仿宋_GB2312" w:cs="仿宋_GB2312"/>
          <w:sz w:val="32"/>
          <w:szCs w:val="32"/>
          <w:lang w:val="en-US" w:eastAsia="zh-CN"/>
        </w:rPr>
        <w:t xml:space="preserve">级行政单位，经费保障形式为财政拨款，</w:t>
      </w:r>
      <w:r>
        <w:rPr>
          <w:rFonts w:hint="eastAsia" w:ascii="仿宋_GB2312" w:eastAsia="仿宋_GB2312" w:cs="DengXian-Regular"/>
          <w:sz w:val="32"/>
          <w:szCs w:val="32"/>
        </w:rPr>
        <w:t xml:space="preserve">下设19个股室，分别为</w:t>
      </w:r>
      <w:r>
        <w:rPr>
          <w:rFonts w:hint="eastAsia" w:ascii="仿宋_GB2312" w:hAnsi="仿宋" w:eastAsia="仿宋_GB2312" w:cs="仿宋_GB2312"/>
          <w:sz w:val="32"/>
          <w:szCs w:val="32"/>
        </w:rPr>
        <w:t xml:space="preserve">综合股、政策法规股、食品药品安全综合协调检查股、价格监督检查股、市场维权消保股、信用监督管理股、知识产权和广告监督管理股</w:t>
      </w:r>
      <w:r>
        <w:rPr>
          <w:rFonts w:hint="eastAsia" w:ascii="仿宋_GB2312" w:hAnsi="仿宋" w:eastAsia="仿宋_GB2312" w:cs="仿宋_GB2312"/>
          <w:sz w:val="32"/>
          <w:szCs w:val="32"/>
        </w:rPr>
        <w:t xml:space="preserve">、质量发展和认证认可股、产品质量安全监督管理股、医疗器械营监督管理股、药品监督管理股、保健食品、化妆品监督管理股、餐饮监督管理股、特种设备安全监察股、食品生产安全监督管理股、食品流通监督管理股、计量和标准技术管理股、燃煤和成品油监督管理股、反垄断和反不正当竞争执法股； 派出机构行政编制10个，分别为市场监督管理局执法稽查大队、城东市场监督管理所、城西市场监督管理所、崔庄市场监督管理所、遂城市场监督管理所、漕河市场监督管理所、高林村市场监督管理所、大王店市场监督管理所、瀑河市场监督管理所、大因市场监督管理所。</w:t>
      </w:r>
      <w:r>
        <w:rPr>
          <w:rFonts w:hint="eastAsia"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根据《三定方案》，我部门编制数有</w:t>
      </w:r>
      <w:r>
        <w:rPr>
          <w:rFonts w:hint="default" w:ascii="仿宋_GB2312" w:hAnsi="仿宋_GB2312" w:eastAsia="仿宋_GB2312" w:cs="仿宋_GB2312"/>
          <w:sz w:val="32"/>
          <w:szCs w:val="32"/>
          <w:lang w:val="en-US" w:eastAsia="zh-CN"/>
        </w:rPr>
        <w:t xml:space="preserve">150</w:t>
      </w:r>
      <w:r>
        <w:rPr>
          <w:rFonts w:hint="eastAsia" w:ascii="仿宋_GB2312" w:hAnsi="仿宋_GB2312" w:eastAsia="仿宋_GB2312" w:cs="仿宋_GB2312"/>
          <w:sz w:val="32"/>
          <w:szCs w:val="32"/>
          <w:lang w:val="en-US" w:eastAsia="zh-CN"/>
        </w:rPr>
        <w:t xml:space="preserve">个，实有在编干部职工</w:t>
      </w:r>
      <w:r>
        <w:rPr>
          <w:rFonts w:hint="default" w:ascii="仿宋_GB2312" w:hAnsi="仿宋_GB2312" w:eastAsia="仿宋_GB2312" w:cs="仿宋_GB2312"/>
          <w:sz w:val="32"/>
          <w:szCs w:val="32"/>
          <w:lang w:val="en-US" w:eastAsia="zh-CN"/>
        </w:rPr>
        <w:t xml:space="preserve">149</w:t>
      </w:r>
      <w:r>
        <w:rPr>
          <w:rFonts w:hint="eastAsia" w:ascii="仿宋_GB2312" w:hAnsi="仿宋_GB2312" w:eastAsia="仿宋_GB2312" w:cs="仿宋_GB2312"/>
          <w:sz w:val="32"/>
          <w:szCs w:val="32"/>
          <w:lang w:val="en-US" w:eastAsia="zh-CN"/>
        </w:rPr>
        <w:t xml:space="preserve">名。</w:t>
      </w:r>
      <w:r>
        <w:rPr>
          <w:rFonts w:hint="default"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（二）部门整体绩效目标</w:t>
      </w:r>
      <w:r>
        <w:rPr>
          <w:rFonts w:hint="default" w:ascii="楷体_GB2312" w:hAnsi="楷体_GB2312" w:eastAsia="楷体_GB2312" w:cs="楷体_GB2312"/>
          <w:sz w:val="32"/>
          <w:szCs w:val="32"/>
          <w:lang w:val="en-US" w:eastAsia="zh-CN"/>
        </w:rPr>
      </w:r>
    </w:p>
    <w:p>
      <w:pPr>
        <w:keepNext w:val="false"/>
        <w:keepLines w:val="false"/>
        <w:pageBreakBefore w:val="false"/>
        <w:widowControl w:val="false"/>
        <w:pBdr/>
        <w:spacing w:line="560" w:lineRule="exact"/>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保定市徐水区市场监督管理局根据绩效预算管理政策的相关要求和部门职责，按照“部门职责—工作活动绩效目标”的层级设立了绩效预算架构，具体情况见下表：</w:t>
      </w:r>
      <w:r>
        <w:rPr>
          <w:rFonts w:hint="default" w:ascii="仿宋_GB2312" w:hAnsi="仿宋_GB2312" w:eastAsia="仿宋_GB2312" w:cs="仿宋_GB2312"/>
          <w:sz w:val="32"/>
          <w:szCs w:val="32"/>
          <w:lang w:val="en-US" w:eastAsia="zh-CN"/>
        </w:rPr>
      </w:r>
    </w:p>
    <w:tbl>
      <w:tblPr>
        <w:tblStyle w:val="65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Look w:val="04A0" w:firstRow="1" w:lastRow="0" w:firstColumn="1" w:lastColumn="0" w:noHBand="0" w:noVBand="1"/>
      </w:tblPr>
      <w:tblGrid>
        <w:gridCol w:w="496"/>
        <w:gridCol w:w="1285"/>
        <w:gridCol w:w="2387"/>
        <w:gridCol w:w="2238"/>
        <w:gridCol w:w="2113"/>
      </w:tblGrid>
      <w:tr>
        <w:trPr>
          <w:trHeight w:val="708"/>
        </w:trPr>
        <w:tc>
          <w:tcPr>
            <w:tcBorders/>
            <w:tcW w:w="291" w:type="pct"/>
            <w:vAlign w:val="center"/>
            <w:textDirection w:val="lrTb"/>
            <w:noWrap w:val="false"/>
          </w:tcPr>
          <w:p>
            <w:pPr>
              <w:keepNext w:val="false"/>
              <w:keepLines w:val="false"/>
              <w:pageBreakBefore w:val="false"/>
              <w:widowControl w:val="false"/>
              <w:pBdr/>
              <w:spacing w:line="240" w:lineRule="auto"/>
              <w:ind/>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 xml:space="preserve">序号</w:t>
            </w:r>
            <w:r>
              <w:rPr>
                <w:rFonts w:hint="eastAsia" w:ascii="宋体" w:hAnsi="宋体" w:eastAsia="宋体" w:cs="宋体"/>
                <w:b/>
                <w:bCs/>
                <w:sz w:val="24"/>
                <w:szCs w:val="24"/>
                <w:vertAlign w:val="baseline"/>
                <w:lang w:val="en-US" w:eastAsia="zh-CN"/>
              </w:rPr>
            </w:r>
          </w:p>
        </w:tc>
        <w:tc>
          <w:tcPr>
            <w:tcBorders/>
            <w:tcW w:w="754" w:type="pct"/>
            <w:vAlign w:val="center"/>
            <w:textDirection w:val="lrTb"/>
            <w:noWrap w:val="false"/>
          </w:tcPr>
          <w:p>
            <w:pPr>
              <w:keepNext w:val="false"/>
              <w:keepLines w:val="false"/>
              <w:pageBreakBefore w:val="false"/>
              <w:widowControl w:val="false"/>
              <w:pBdr/>
              <w:spacing w:line="240" w:lineRule="auto"/>
              <w:ind/>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 xml:space="preserve">职能</w:t>
            </w:r>
            <w:r>
              <w:rPr>
                <w:rFonts w:hint="eastAsia" w:ascii="宋体" w:hAnsi="宋体" w:eastAsia="宋体" w:cs="宋体"/>
                <w:b/>
                <w:bCs/>
                <w:sz w:val="24"/>
                <w:szCs w:val="24"/>
                <w:vertAlign w:val="baseline"/>
                <w:lang w:val="en-US" w:eastAsia="zh-CN"/>
              </w:rPr>
            </w:r>
          </w:p>
        </w:tc>
        <w:tc>
          <w:tcPr>
            <w:tcBorders/>
            <w:tcW w:w="1400" w:type="pct"/>
            <w:vAlign w:val="center"/>
            <w:textDirection w:val="lrTb"/>
            <w:noWrap w:val="false"/>
          </w:tcPr>
          <w:p>
            <w:pPr>
              <w:keepNext w:val="false"/>
              <w:keepLines w:val="false"/>
              <w:pageBreakBefore w:val="false"/>
              <w:widowControl w:val="false"/>
              <w:pBdr/>
              <w:spacing w:line="240" w:lineRule="auto"/>
              <w:ind/>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 xml:space="preserve">工作活动</w:t>
            </w:r>
            <w:r>
              <w:rPr>
                <w:rFonts w:hint="eastAsia" w:ascii="宋体" w:hAnsi="宋体" w:eastAsia="宋体" w:cs="宋体"/>
                <w:b/>
                <w:bCs/>
                <w:sz w:val="24"/>
                <w:szCs w:val="24"/>
                <w:vertAlign w:val="baseline"/>
                <w:lang w:val="en-US" w:eastAsia="zh-CN"/>
              </w:rPr>
            </w:r>
          </w:p>
        </w:tc>
        <w:tc>
          <w:tcPr>
            <w:tcBorders/>
            <w:tcW w:w="1313" w:type="pct"/>
            <w:vAlign w:val="center"/>
            <w:textDirection w:val="lrTb"/>
            <w:noWrap w:val="false"/>
          </w:tcPr>
          <w:p>
            <w:pPr>
              <w:keepNext w:val="false"/>
              <w:keepLines w:val="false"/>
              <w:pageBreakBefore w:val="false"/>
              <w:widowControl w:val="false"/>
              <w:pBdr/>
              <w:spacing w:line="240" w:lineRule="auto"/>
              <w:ind/>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 xml:space="preserve">年度工作目标</w:t>
            </w:r>
            <w:r>
              <w:rPr>
                <w:rFonts w:hint="eastAsia" w:ascii="宋体" w:hAnsi="宋体" w:eastAsia="宋体" w:cs="宋体"/>
                <w:b/>
                <w:bCs/>
                <w:sz w:val="24"/>
                <w:szCs w:val="24"/>
                <w:vertAlign w:val="baseline"/>
                <w:lang w:val="en-US" w:eastAsia="zh-CN"/>
              </w:rPr>
            </w:r>
          </w:p>
        </w:tc>
        <w:tc>
          <w:tcPr>
            <w:tcBorders/>
            <w:tcW w:w="1239" w:type="pct"/>
            <w:vAlign w:val="center"/>
            <w:textDirection w:val="lrTb"/>
            <w:noWrap w:val="false"/>
          </w:tcPr>
          <w:p>
            <w:pPr>
              <w:keepNext w:val="false"/>
              <w:keepLines w:val="false"/>
              <w:pageBreakBefore w:val="false"/>
              <w:widowControl w:val="false"/>
              <w:pBdr/>
              <w:spacing w:line="240" w:lineRule="auto"/>
              <w:ind/>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 xml:space="preserve">对应项目支出</w:t>
            </w:r>
            <w:r>
              <w:rPr>
                <w:rFonts w:hint="eastAsia" w:ascii="宋体" w:hAnsi="宋体" w:eastAsia="宋体" w:cs="宋体"/>
                <w:b/>
                <w:bCs/>
                <w:sz w:val="24"/>
                <w:szCs w:val="24"/>
                <w:vertAlign w:val="baseline"/>
                <w:lang w:val="en-US" w:eastAsia="zh-CN"/>
              </w:rPr>
            </w:r>
          </w:p>
        </w:tc>
      </w:tr>
      <w:tr>
        <w:trPr>
          <w:trHeight w:val="592"/>
        </w:trPr>
        <w:tc>
          <w:tcPr>
            <w:tcBorders/>
            <w:tcW w:w="291" w:type="pct"/>
            <w:vAlign w:val="center"/>
            <w:textDirection w:val="lrTb"/>
            <w:noWrap w:val="false"/>
          </w:tcPr>
          <w:p>
            <w:pPr>
              <w:keepNext w:val="false"/>
              <w:keepLines w:val="false"/>
              <w:pageBreakBefore w:val="false"/>
              <w:widowControl w:val="false"/>
              <w:pBdr/>
              <w:spacing w:line="240" w:lineRule="auto"/>
              <w:ind/>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1</w:t>
            </w:r>
            <w:r>
              <w:rPr>
                <w:rFonts w:hint="eastAsia" w:ascii="宋体" w:hAnsi="宋体" w:eastAsia="宋体" w:cs="宋体"/>
                <w:sz w:val="24"/>
                <w:szCs w:val="24"/>
                <w:vertAlign w:val="baseline"/>
                <w:lang w:val="en-US" w:eastAsia="zh-CN"/>
              </w:rPr>
            </w:r>
          </w:p>
        </w:tc>
        <w:tc>
          <w:tcPr>
            <w:tcBorders/>
            <w:tcW w:w="754" w:type="pct"/>
            <w:vAlign w:val="center"/>
            <w:textDirection w:val="lrTb"/>
            <w:noWrap w:val="false"/>
          </w:tcPr>
          <w:p>
            <w:pPr>
              <w:keepNext w:val="false"/>
              <w:keepLines w:val="false"/>
              <w:pageBreakBefore w:val="false"/>
              <w:widowControl w:val="false"/>
              <w:pBdr/>
              <w:spacing w:line="240" w:lineRule="auto"/>
              <w:ind/>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 xml:space="preserve">食品安全</w:t>
            </w:r>
            <w:r>
              <w:rPr>
                <w:rFonts w:hint="default" w:ascii="宋体" w:hAnsi="宋体" w:eastAsia="宋体" w:cs="宋体"/>
                <w:sz w:val="24"/>
                <w:szCs w:val="24"/>
                <w:vertAlign w:val="baseline"/>
                <w:lang w:val="en-US" w:eastAsia="zh-CN"/>
              </w:rPr>
            </w:r>
          </w:p>
        </w:tc>
        <w:tc>
          <w:tcPr>
            <w:tcBorders/>
            <w:tcW w:w="1400" w:type="pct"/>
            <w:vAlign w:val="center"/>
            <w:textDirection w:val="lrTb"/>
            <w:noWrap w:val="false"/>
          </w:tcPr>
          <w:p>
            <w:pPr>
              <w:keepNext w:val="false"/>
              <w:keepLines w:val="false"/>
              <w:pageBreakBefore w:val="false"/>
              <w:widowControl w:val="false"/>
              <w:pBdr/>
              <w:spacing w:line="240" w:lineRule="auto"/>
              <w:ind/>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 xml:space="preserve">对辖区内食品生产、销售企业所生成所售食品按标准进行抽检</w:t>
            </w:r>
            <w:r>
              <w:rPr>
                <w:rFonts w:hint="eastAsia" w:ascii="宋体" w:hAnsi="宋体" w:eastAsia="宋体" w:cs="宋体"/>
                <w:sz w:val="24"/>
                <w:szCs w:val="24"/>
                <w:vertAlign w:val="baseline"/>
                <w:lang w:val="en-US" w:eastAsia="zh-CN"/>
              </w:rPr>
            </w:r>
          </w:p>
        </w:tc>
        <w:tc>
          <w:tcPr>
            <w:tcBorders/>
            <w:tcW w:w="1313" w:type="pct"/>
            <w:vAlign w:val="center"/>
            <w:textDirection w:val="lrTb"/>
            <w:noWrap w:val="false"/>
          </w:tcPr>
          <w:p>
            <w:pPr>
              <w:keepNext w:val="false"/>
              <w:keepLines w:val="false"/>
              <w:pageBreakBefore w:val="false"/>
              <w:widowControl w:val="false"/>
              <w:pBdr/>
              <w:spacing w:line="240" w:lineRule="auto"/>
              <w:ind/>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 xml:space="preserve">完成抽检计划</w:t>
            </w:r>
            <w:r>
              <w:rPr>
                <w:rFonts w:hint="default" w:ascii="宋体" w:hAnsi="宋体" w:eastAsia="宋体" w:cs="宋体"/>
                <w:sz w:val="24"/>
                <w:szCs w:val="24"/>
                <w:lang w:val="en-US" w:eastAsia="zh-CN"/>
              </w:rPr>
            </w:r>
          </w:p>
        </w:tc>
        <w:tc>
          <w:tcPr>
            <w:tcBorders/>
            <w:tcW w:w="1239" w:type="pct"/>
            <w:vAlign w:val="center"/>
            <w:textDirection w:val="lrTb"/>
            <w:noWrap w:val="false"/>
          </w:tcPr>
          <w:p>
            <w:pPr>
              <w:keepNext w:val="false"/>
              <w:keepLines w:val="false"/>
              <w:pageBreakBefore w:val="false"/>
              <w:widowControl w:val="false"/>
              <w:pBdr/>
              <w:spacing w:line="240" w:lineRule="auto"/>
              <w:ind/>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 xml:space="preserve">食品抽检经费</w:t>
            </w:r>
            <w:r>
              <w:rPr>
                <w:rFonts w:hint="eastAsia" w:ascii="宋体" w:hAnsi="宋体" w:eastAsia="宋体" w:cs="宋体"/>
                <w:sz w:val="24"/>
                <w:szCs w:val="24"/>
                <w:vertAlign w:val="baseline"/>
                <w:lang w:val="en-US" w:eastAsia="zh-CN"/>
              </w:rPr>
            </w:r>
          </w:p>
        </w:tc>
      </w:tr>
      <w:tr>
        <w:trPr>
          <w:trHeight w:val="577"/>
        </w:trPr>
        <w:tc>
          <w:tcPr>
            <w:tcBorders/>
            <w:tcW w:w="291" w:type="pct"/>
            <w:vAlign w:val="center"/>
            <w:textDirection w:val="lrTb"/>
            <w:noWrap w:val="false"/>
          </w:tcPr>
          <w:p>
            <w:pPr>
              <w:keepNext w:val="false"/>
              <w:keepLines w:val="false"/>
              <w:pageBreakBefore w:val="false"/>
              <w:widowControl w:val="false"/>
              <w:pBdr/>
              <w:spacing w:line="240" w:lineRule="auto"/>
              <w:ind/>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2</w:t>
            </w:r>
            <w:r>
              <w:rPr>
                <w:rFonts w:hint="eastAsia" w:ascii="宋体" w:hAnsi="宋体" w:eastAsia="宋体" w:cs="宋体"/>
                <w:sz w:val="24"/>
                <w:szCs w:val="24"/>
                <w:vertAlign w:val="baseline"/>
                <w:lang w:val="en-US" w:eastAsia="zh-CN"/>
              </w:rPr>
            </w:r>
          </w:p>
        </w:tc>
        <w:tc>
          <w:tcPr>
            <w:tcBorders/>
            <w:tcW w:w="754" w:type="pct"/>
            <w:vAlign w:val="center"/>
            <w:textDirection w:val="lrTb"/>
            <w:noWrap w:val="false"/>
          </w:tcPr>
          <w:p>
            <w:pPr>
              <w:keepNext w:val="false"/>
              <w:keepLines w:val="false"/>
              <w:pageBreakBefore w:val="false"/>
              <w:widowControl w:val="false"/>
              <w:pBdr/>
              <w:spacing w:line="240" w:lineRule="auto"/>
              <w:ind/>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 xml:space="preserve">商品抽检</w:t>
            </w:r>
            <w:r>
              <w:rPr>
                <w:rFonts w:hint="eastAsia" w:ascii="宋体" w:hAnsi="宋体" w:eastAsia="宋体" w:cs="宋体"/>
                <w:sz w:val="24"/>
                <w:szCs w:val="24"/>
                <w:vertAlign w:val="baseline"/>
                <w:lang w:val="en-US" w:eastAsia="zh-CN"/>
              </w:rPr>
            </w:r>
          </w:p>
        </w:tc>
        <w:tc>
          <w:tcPr>
            <w:tcBorders/>
            <w:tcW w:w="1400" w:type="pct"/>
            <w:vAlign w:val="center"/>
            <w:textDirection w:val="lrTb"/>
            <w:noWrap w:val="false"/>
          </w:tcPr>
          <w:p>
            <w:pPr>
              <w:keepNext w:val="false"/>
              <w:keepLines w:val="false"/>
              <w:pageBreakBefore w:val="false"/>
              <w:widowControl w:val="false"/>
              <w:pBdr/>
              <w:spacing w:line="240" w:lineRule="auto"/>
              <w:ind/>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 xml:space="preserve">对辖区内加油站、散煤进行抽检</w:t>
            </w:r>
            <w:r>
              <w:rPr>
                <w:rFonts w:hint="eastAsia" w:ascii="宋体" w:hAnsi="宋体" w:eastAsia="宋体" w:cs="宋体"/>
                <w:sz w:val="24"/>
                <w:szCs w:val="24"/>
                <w:vertAlign w:val="baseline"/>
                <w:lang w:val="en-US" w:eastAsia="zh-CN"/>
              </w:rPr>
            </w:r>
          </w:p>
        </w:tc>
        <w:tc>
          <w:tcPr>
            <w:tcBorders/>
            <w:tcW w:w="1313" w:type="pct"/>
            <w:vAlign w:val="center"/>
            <w:textDirection w:val="lrTb"/>
            <w:noWrap w:val="false"/>
          </w:tcPr>
          <w:p>
            <w:pPr>
              <w:keepNext w:val="false"/>
              <w:keepLines w:val="false"/>
              <w:pageBreakBefore w:val="false"/>
              <w:widowControl w:val="false"/>
              <w:pBdr/>
              <w:spacing w:line="240" w:lineRule="auto"/>
              <w:ind/>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 xml:space="preserve">完成抽检计划</w:t>
            </w:r>
            <w:r>
              <w:rPr>
                <w:rFonts w:hint="eastAsia" w:ascii="宋体" w:hAnsi="宋体" w:eastAsia="宋体" w:cs="宋体"/>
                <w:sz w:val="24"/>
                <w:szCs w:val="24"/>
                <w:vertAlign w:val="baseline"/>
                <w:lang w:val="en-US" w:eastAsia="zh-CN"/>
              </w:rPr>
            </w:r>
          </w:p>
        </w:tc>
        <w:tc>
          <w:tcPr>
            <w:tcBorders/>
            <w:tcW w:w="1239" w:type="pct"/>
            <w:vAlign w:val="center"/>
            <w:textDirection w:val="lrTb"/>
            <w:noWrap w:val="false"/>
          </w:tcPr>
          <w:p>
            <w:pPr>
              <w:keepNext w:val="false"/>
              <w:keepLines w:val="false"/>
              <w:pageBreakBefore w:val="false"/>
              <w:widowControl w:val="false"/>
              <w:pBdr/>
              <w:spacing w:line="240" w:lineRule="auto"/>
              <w:ind/>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 xml:space="preserve">商品抽检经费</w:t>
            </w:r>
            <w:r>
              <w:rPr>
                <w:rFonts w:hint="eastAsia" w:ascii="宋体" w:hAnsi="宋体" w:eastAsia="宋体" w:cs="宋体"/>
                <w:sz w:val="24"/>
                <w:szCs w:val="24"/>
                <w:vertAlign w:val="baseline"/>
                <w:lang w:val="en-US" w:eastAsia="zh-CN"/>
              </w:rPr>
            </w:r>
          </w:p>
        </w:tc>
      </w:tr>
    </w:tbl>
    <w:p>
      <w:pPr>
        <w:keepNext w:val="false"/>
        <w:keepLines w:val="false"/>
        <w:pageBreakBefore w:val="false"/>
        <w:widowControl w:val="false"/>
        <w:pBdr/>
        <w:spacing w:line="560" w:lineRule="exact"/>
        <w:ind w:firstLine="640"/>
        <w:rPr>
          <w:rFonts w:hint="eastAsia" w:ascii="黑体" w:hAnsi="黑体" w:eastAsia="黑体" w:cs="黑体"/>
          <w:sz w:val="32"/>
          <w:szCs w:val="32"/>
          <w:lang w:val="en-US" w:eastAsia="zh-CN"/>
        </w:rPr>
      </w:pPr>
      <w:r>
        <w:rPr>
          <w:rFonts w:hint="eastAsia" w:ascii="方正黑体_GBK" w:hAnsi="方正黑体_GBK" w:eastAsia="方正黑体_GBK" w:cs="方正黑体_GBK"/>
          <w:sz w:val="32"/>
          <w:szCs w:val="32"/>
          <w:lang w:val="en-US" w:eastAsia="zh-CN"/>
        </w:rPr>
        <w:t xml:space="preserve">二、部门绩效考核自评情况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eastAsia="zh-CN"/>
        </w:rPr>
      </w:r>
    </w:p>
    <w:p>
      <w:pPr>
        <w:keepNext w:val="false"/>
        <w:keepLines w:val="false"/>
        <w:pageBreakBefore w:val="false"/>
        <w:widowControl w:val="false"/>
        <w:pBdr/>
        <w:spacing w:line="560" w:lineRule="exact"/>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w:t>
      </w:r>
      <w:r>
        <w:rPr>
          <w:rFonts w:hint="default" w:ascii="仿宋_GB2312" w:hAnsi="仿宋_GB2312" w:eastAsia="仿宋_GB2312" w:cs="仿宋_GB2312"/>
          <w:sz w:val="32"/>
          <w:szCs w:val="32"/>
          <w:lang w:val="en-US" w:eastAsia="zh-CN"/>
        </w:rPr>
        <w:t xml:space="preserve">3</w:t>
      </w:r>
      <w:r>
        <w:rPr>
          <w:rFonts w:hint="eastAsia" w:ascii="仿宋_GB2312" w:hAnsi="仿宋_GB2312" w:eastAsia="仿宋_GB2312" w:cs="仿宋_GB2312"/>
          <w:sz w:val="32"/>
          <w:szCs w:val="32"/>
          <w:lang w:val="en-US" w:eastAsia="zh-CN"/>
        </w:rPr>
        <w:t xml:space="preserve">年，我部门积极履职，强化管理，较好的完成了各项工作，通过自评，我部门（乡镇）管理绩效考核得分为</w:t>
      </w:r>
      <w:r>
        <w:rPr>
          <w:rFonts w:hint="default" w:ascii="仿宋_GB2312" w:hAnsi="仿宋_GB2312" w:eastAsia="仿宋_GB2312" w:cs="仿宋_GB2312"/>
          <w:sz w:val="32"/>
          <w:szCs w:val="32"/>
          <w:lang w:val="en-US" w:eastAsia="zh-CN"/>
        </w:rPr>
        <w:t xml:space="preserve">100</w:t>
      </w:r>
      <w:bookmarkStart w:id="0" w:name="_GoBack"/>
      <w:r/>
      <w:bookmarkEnd w:id="0"/>
      <w:r>
        <w:rPr>
          <w:rFonts w:hint="eastAsia" w:ascii="仿宋_GB2312" w:hAnsi="仿宋_GB2312" w:eastAsia="仿宋_GB2312" w:cs="仿宋_GB2312"/>
          <w:sz w:val="32"/>
          <w:szCs w:val="32"/>
          <w:lang w:val="en-US" w:eastAsia="zh-CN"/>
        </w:rPr>
        <w:t xml:space="preserve">分，具体情况如下：</w:t>
      </w:r>
      <w:r>
        <w:rPr>
          <w:rFonts w:hint="default"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（一）重大政策落实情况，得分</w:t>
      </w:r>
      <w:r>
        <w:rPr>
          <w:rFonts w:hint="default" w:ascii="楷体_GB2312" w:hAnsi="楷体_GB2312" w:eastAsia="楷体_GB2312" w:cs="楷体_GB2312"/>
          <w:sz w:val="32"/>
          <w:szCs w:val="32"/>
          <w:lang w:val="en-US" w:eastAsia="zh-CN"/>
        </w:rPr>
        <w:t xml:space="preserve">13</w:t>
      </w:r>
      <w:r>
        <w:rPr>
          <w:rFonts w:hint="eastAsia" w:ascii="楷体_GB2312" w:hAnsi="楷体_GB2312" w:eastAsia="楷体_GB2312" w:cs="楷体_GB2312"/>
          <w:sz w:val="32"/>
          <w:szCs w:val="32"/>
          <w:lang w:val="en-US" w:eastAsia="zh-CN"/>
        </w:rPr>
        <w:t xml:space="preserve">分</w:t>
      </w:r>
      <w:r>
        <w:rPr>
          <w:rFonts w:hint="default" w:ascii="楷体_GB2312" w:hAnsi="楷体_GB2312" w:eastAsia="楷体_GB2312" w:cs="楷体_GB2312"/>
          <w:sz w:val="32"/>
          <w:szCs w:val="32"/>
          <w:lang w:val="en-US" w:eastAsia="zh-CN"/>
        </w:rPr>
      </w:r>
    </w:p>
    <w:p>
      <w:pPr>
        <w:keepNext w:val="false"/>
        <w:keepLines w:val="false"/>
        <w:pageBreakBefore w:val="false"/>
        <w:widowControl w:val="false"/>
        <w:pBdr/>
        <w:spacing w:line="560" w:lineRule="exact"/>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1.专项资金管理情况</w:t>
      </w:r>
      <w:r>
        <w:rPr>
          <w:rFonts w:hint="default"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我部门严格管理并及时分配分管食品抽检经费、商品仇家经费、产品质量监督抽查经费专项资金，拨款资料完整齐全；对分管的专项资金的分配使用制定了管理办法；项目具备分配条件后，及时将资金分配细化到各业务股室门；在预算执行过程中进行了日常的监管和督导，专项资金绩效目标已全部实现。</w:t>
      </w:r>
      <w:r>
        <w:rPr>
          <w:rFonts w:hint="eastAsia"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我单位严格管理并及时落实食品抽检专项资金</w:t>
      </w:r>
      <w:r>
        <w:rPr>
          <w:rFonts w:hint="default" w:ascii="仿宋_GB2312" w:hAnsi="仿宋_GB2312" w:eastAsia="仿宋_GB2312" w:cs="仿宋_GB2312"/>
          <w:sz w:val="32"/>
          <w:szCs w:val="32"/>
          <w:lang w:val="en-US" w:eastAsia="zh-CN"/>
        </w:rPr>
        <w:t xml:space="preserve">94.016</w:t>
      </w:r>
      <w:r>
        <w:rPr>
          <w:rFonts w:hint="eastAsia" w:ascii="仿宋_GB2312" w:hAnsi="仿宋_GB2312" w:eastAsia="仿宋_GB2312" w:cs="仿宋_GB2312"/>
          <w:sz w:val="32"/>
          <w:szCs w:val="32"/>
          <w:lang w:val="en-US" w:eastAsia="zh-CN"/>
        </w:rPr>
        <w:t xml:space="preserve">万元，商品抽检经费</w:t>
      </w:r>
      <w:r>
        <w:rPr>
          <w:rFonts w:hint="default" w:ascii="仿宋_GB2312" w:hAnsi="仿宋_GB2312" w:eastAsia="仿宋_GB2312" w:cs="仿宋_GB2312"/>
          <w:sz w:val="32"/>
          <w:szCs w:val="32"/>
          <w:lang w:val="en-US" w:eastAsia="zh-CN"/>
        </w:rPr>
        <w:t xml:space="preserve">40.3</w:t>
      </w:r>
      <w:r>
        <w:rPr>
          <w:rFonts w:hint="eastAsia" w:ascii="仿宋_GB2312" w:hAnsi="仿宋_GB2312" w:eastAsia="仿宋_GB2312" w:cs="仿宋_GB2312"/>
          <w:sz w:val="32"/>
          <w:szCs w:val="32"/>
          <w:lang w:val="en-US" w:eastAsia="zh-CN"/>
        </w:rPr>
        <w:t xml:space="preserve">万元，产品质量监督抽查经费</w:t>
      </w:r>
      <w:r>
        <w:rPr>
          <w:rFonts w:hint="default" w:ascii="仿宋_GB2312" w:hAnsi="仿宋_GB2312" w:eastAsia="仿宋_GB2312" w:cs="仿宋_GB2312"/>
          <w:sz w:val="32"/>
          <w:szCs w:val="32"/>
          <w:lang w:val="en-US" w:eastAsia="zh-CN"/>
        </w:rPr>
        <w:t xml:space="preserve">55.8</w:t>
      </w:r>
      <w:r>
        <w:rPr>
          <w:rFonts w:hint="eastAsia" w:ascii="仿宋_GB2312" w:hAnsi="仿宋_GB2312" w:eastAsia="仿宋_GB2312" w:cs="仿宋_GB2312"/>
          <w:sz w:val="32"/>
          <w:szCs w:val="32"/>
          <w:lang w:val="en-US" w:eastAsia="zh-CN"/>
        </w:rPr>
        <w:t xml:space="preserve">万元，及时完整的向财政部门提供村级专项资金分配及拨款资料，为保证绩效目标顺利实现，业务股室，具体措施如下：</w:t>
      </w:r>
      <w:r>
        <w:rPr>
          <w:rFonts w:hint="eastAsia" w:ascii="仿宋_GB2312" w:hAnsi="仿宋_GB2312" w:eastAsia="仿宋_GB2312" w:cs="仿宋_GB2312"/>
          <w:sz w:val="32"/>
          <w:szCs w:val="32"/>
          <w:lang w:val="en-US" w:eastAsia="zh-CN"/>
        </w:rPr>
      </w:r>
    </w:p>
    <w:p>
      <w:pPr>
        <w:keepNext w:val="false"/>
        <w:keepLines w:val="false"/>
        <w:pageBreakBefore w:val="false"/>
        <w:widowControl w:val="false"/>
        <w:numPr>
          <w:ilvl w:val="0"/>
          <w:numId w:val="1"/>
        </w:numPr>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制定年度工作计划，确定抽检企业数量</w:t>
      </w:r>
      <w:r>
        <w:rPr>
          <w:rFonts w:hint="eastAsia" w:ascii="仿宋_GB2312" w:hAnsi="仿宋_GB2312" w:eastAsia="仿宋_GB2312" w:cs="仿宋_GB2312"/>
          <w:sz w:val="32"/>
          <w:szCs w:val="32"/>
          <w:lang w:val="en-US" w:eastAsia="zh-CN"/>
        </w:rPr>
      </w:r>
    </w:p>
    <w:p>
      <w:pPr>
        <w:keepNext w:val="false"/>
        <w:keepLines w:val="false"/>
        <w:pageBreakBefore w:val="false"/>
        <w:widowControl w:val="false"/>
        <w:numPr>
          <w:ilvl w:val="0"/>
          <w:numId w:val="0"/>
        </w:numPr>
        <w:pBdr/>
        <w:spacing w:line="560" w:lineRule="exact"/>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（2）确保专款专用，抽检经费用于项目抽检，严格按政府采购合同支付抽检费用。</w:t>
      </w:r>
      <w:r>
        <w:rPr>
          <w:rFonts w:hint="default"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2.“三保”支出保障情况。我部门</w:t>
      </w:r>
      <w:r>
        <w:rPr>
          <w:rFonts w:hint="default" w:ascii="仿宋_GB2312" w:hAnsi="仿宋_GB2312" w:eastAsia="仿宋_GB2312" w:cs="仿宋_GB2312"/>
          <w:sz w:val="32"/>
          <w:szCs w:val="32"/>
          <w:lang w:val="en-US" w:eastAsia="zh-CN"/>
        </w:rPr>
        <w:t xml:space="preserve">2023</w:t>
      </w:r>
      <w:r>
        <w:rPr>
          <w:rFonts w:hint="eastAsia" w:ascii="仿宋_GB2312" w:hAnsi="仿宋_GB2312" w:eastAsia="仿宋_GB2312" w:cs="仿宋_GB2312"/>
          <w:sz w:val="32"/>
          <w:szCs w:val="32"/>
          <w:lang w:val="en-US" w:eastAsia="zh-CN"/>
        </w:rPr>
        <w:t xml:space="preserve">年严格按照中央、省、市和区委区政府决策部署，足额保障“三保”政策落实。具体情况如下：</w:t>
      </w:r>
      <w:r>
        <w:rPr>
          <w:rFonts w:hint="eastAsia"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w:t>
      </w:r>
      <w:r>
        <w:rPr>
          <w:rFonts w:hint="default" w:ascii="仿宋_GB2312" w:hAnsi="仿宋_GB2312" w:eastAsia="仿宋_GB2312" w:cs="仿宋_GB2312"/>
          <w:sz w:val="32"/>
          <w:szCs w:val="32"/>
          <w:lang w:val="en-US" w:eastAsia="zh-CN"/>
        </w:rPr>
        <w:t xml:space="preserve">1</w:t>
      </w:r>
      <w:r>
        <w:rPr>
          <w:rFonts w:hint="eastAsia" w:ascii="仿宋_GB2312" w:hAnsi="仿宋_GB2312" w:eastAsia="仿宋_GB2312" w:cs="仿宋_GB2312"/>
          <w:sz w:val="32"/>
          <w:szCs w:val="32"/>
          <w:lang w:val="en-US" w:eastAsia="zh-CN"/>
        </w:rPr>
        <w:t xml:space="preserve">）保工资安排资金3807.91万元，实际支出3807.91万元，机关事业单位人员工资、保险已按时足额落实；</w:t>
      </w:r>
      <w:r>
        <w:rPr>
          <w:rFonts w:hint="eastAsia"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w:t>
      </w:r>
      <w:r>
        <w:rPr>
          <w:rFonts w:hint="default" w:ascii="仿宋_GB2312" w:hAnsi="仿宋_GB2312" w:eastAsia="仿宋_GB2312" w:cs="仿宋_GB2312"/>
          <w:sz w:val="32"/>
          <w:szCs w:val="32"/>
          <w:lang w:val="en-US" w:eastAsia="zh-CN"/>
        </w:rPr>
        <w:t xml:space="preserve">2</w:t>
      </w:r>
      <w:r>
        <w:rPr>
          <w:rFonts w:hint="eastAsia" w:ascii="仿宋_GB2312" w:hAnsi="仿宋_GB2312" w:eastAsia="仿宋_GB2312" w:cs="仿宋_GB2312"/>
          <w:sz w:val="32"/>
          <w:szCs w:val="32"/>
          <w:lang w:val="en-US" w:eastAsia="zh-CN"/>
        </w:rPr>
        <w:t xml:space="preserve">）保运转安排资金320.01万元，实际支出320.01万元，保障单位工作正常运转。</w:t>
      </w:r>
      <w:r>
        <w:rPr>
          <w:rFonts w:hint="eastAsia"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3.落实过紧日子要求情况。我部门</w:t>
      </w:r>
      <w:r>
        <w:rPr>
          <w:rFonts w:hint="default" w:ascii="仿宋_GB2312" w:hAnsi="仿宋_GB2312" w:eastAsia="仿宋_GB2312" w:cs="仿宋_GB2312"/>
          <w:sz w:val="32"/>
          <w:szCs w:val="32"/>
          <w:lang w:val="en-US" w:eastAsia="zh-CN"/>
        </w:rPr>
        <w:t xml:space="preserve">2023</w:t>
      </w:r>
      <w:r>
        <w:rPr>
          <w:rFonts w:hint="eastAsia" w:ascii="仿宋_GB2312" w:hAnsi="仿宋_GB2312" w:eastAsia="仿宋_GB2312" w:cs="仿宋_GB2312"/>
          <w:sz w:val="32"/>
          <w:szCs w:val="32"/>
          <w:lang w:val="en-US" w:eastAsia="zh-CN"/>
        </w:rPr>
        <w:t xml:space="preserve">年严格按照不折不扣落实政府“过紧日子”要求，厉行节约办一切事业，从紧安排项目支出，严格执行各项经费开支标准，严格控制“三公”经费支出。202</w:t>
      </w:r>
      <w:r>
        <w:rPr>
          <w:rFonts w:hint="default" w:ascii="仿宋_GB2312" w:hAnsi="仿宋_GB2312" w:eastAsia="仿宋_GB2312" w:cs="仿宋_GB2312"/>
          <w:sz w:val="32"/>
          <w:szCs w:val="32"/>
          <w:lang w:val="en-US" w:eastAsia="zh-CN"/>
        </w:rPr>
        <w:t xml:space="preserve">3</w:t>
      </w:r>
      <w:r>
        <w:rPr>
          <w:rFonts w:hint="eastAsia" w:ascii="仿宋_GB2312" w:hAnsi="仿宋_GB2312" w:eastAsia="仿宋_GB2312" w:cs="仿宋_GB2312"/>
          <w:sz w:val="32"/>
          <w:szCs w:val="32"/>
          <w:lang w:val="en-US" w:eastAsia="zh-CN"/>
        </w:rPr>
        <w:t xml:space="preserve">年我部门三公经费56.78万元，2023年</w:t>
      </w:r>
      <w:r>
        <w:rPr>
          <w:rFonts w:hint="default" w:ascii="仿宋_GB2312" w:hAnsi="仿宋_GB2312" w:eastAsia="仿宋_GB2312" w:cs="仿宋_GB2312"/>
          <w:sz w:val="32"/>
          <w:szCs w:val="32"/>
          <w:lang w:val="en-US" w:eastAsia="zh-CN"/>
        </w:rPr>
        <w:t xml:space="preserve">52.01</w:t>
      </w:r>
      <w:r>
        <w:rPr>
          <w:rFonts w:hint="eastAsia" w:ascii="仿宋_GB2312" w:hAnsi="仿宋_GB2312" w:eastAsia="仿宋_GB2312" w:cs="仿宋_GB2312"/>
          <w:sz w:val="32"/>
          <w:szCs w:val="32"/>
          <w:lang w:val="en-US" w:eastAsia="zh-CN"/>
        </w:rPr>
        <w:t xml:space="preserve">万元，较2022年减少</w:t>
      </w:r>
      <w:r>
        <w:rPr>
          <w:rFonts w:hint="default" w:ascii="仿宋_GB2312" w:hAnsi="仿宋_GB2312" w:eastAsia="仿宋_GB2312" w:cs="仿宋_GB2312"/>
          <w:sz w:val="32"/>
          <w:szCs w:val="32"/>
          <w:lang w:val="en-US" w:eastAsia="zh-CN"/>
        </w:rPr>
        <w:t xml:space="preserve">4.77</w:t>
      </w:r>
      <w:r>
        <w:rPr>
          <w:rFonts w:hint="eastAsia" w:ascii="仿宋_GB2312" w:hAnsi="仿宋_GB2312" w:eastAsia="仿宋_GB2312" w:cs="仿宋_GB2312"/>
          <w:sz w:val="32"/>
          <w:szCs w:val="32"/>
          <w:lang w:val="en-US" w:eastAsia="zh-CN"/>
        </w:rPr>
        <w:t xml:space="preserve">万元，主要是公务车运行维护费减少。）</w:t>
      </w:r>
      <w:r>
        <w:rPr>
          <w:rFonts w:hint="default"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4.减税降费等政策的落实情况。我部门（乡镇）高度重视减税降费工作，严格落实各项减税降费政策。</w:t>
      </w:r>
      <w:r>
        <w:rPr>
          <w:rFonts w:hint="eastAsia"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w:t>
      </w:r>
      <w:r>
        <w:rPr>
          <w:rFonts w:hint="default" w:ascii="仿宋_GB2312" w:hAnsi="仿宋_GB2312" w:eastAsia="仿宋_GB2312" w:cs="仿宋_GB2312"/>
          <w:sz w:val="32"/>
          <w:szCs w:val="32"/>
          <w:lang w:val="en-US" w:eastAsia="zh-CN"/>
        </w:rPr>
        <w:t xml:space="preserve">1</w:t>
      </w:r>
      <w:r>
        <w:rPr>
          <w:rFonts w:hint="eastAsia" w:ascii="仿宋_GB2312" w:hAnsi="仿宋_GB2312" w:eastAsia="仿宋_GB2312" w:cs="仿宋_GB2312"/>
          <w:sz w:val="32"/>
          <w:szCs w:val="32"/>
          <w:lang w:val="en-US" w:eastAsia="zh-CN"/>
        </w:rPr>
        <w:t xml:space="preserve">）非税收入预算编制情况。我部门严格按照规定的收入项目、征收范围和征收标准编报罚没收入非税收入预算，准确界定收入类别，参照前两年实际完成及今年预计完成情况、预测明年的增减收因素，科学准确测算编制非税收入计划，2023年，我部门及时足额上缴非税收入万元，其中：罚没收入291.43万元。</w:t>
      </w:r>
      <w:r>
        <w:rPr>
          <w:rFonts w:hint="eastAsia"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w:t>
      </w:r>
      <w:r>
        <w:rPr>
          <w:rFonts w:hint="default" w:ascii="仿宋_GB2312" w:hAnsi="仿宋_GB2312" w:eastAsia="仿宋_GB2312" w:cs="仿宋_GB2312"/>
          <w:sz w:val="32"/>
          <w:szCs w:val="32"/>
          <w:lang w:val="en-US" w:eastAsia="zh-CN"/>
        </w:rPr>
        <w:t xml:space="preserve">2</w:t>
      </w:r>
      <w:r>
        <w:rPr>
          <w:rFonts w:hint="eastAsia" w:ascii="仿宋_GB2312" w:hAnsi="仿宋_GB2312" w:eastAsia="仿宋_GB2312" w:cs="仿宋_GB2312"/>
          <w:sz w:val="32"/>
          <w:szCs w:val="32"/>
          <w:lang w:val="en-US" w:eastAsia="zh-CN"/>
        </w:rPr>
        <w:t xml:space="preserve">）罚没财物管理情况。我部门（乡镇）严格按《罚没财物管理办法》规定程序办理；落实罚没财物备案制度，建立罚没财物台账；严格执行罚没财物季报制度。</w:t>
      </w:r>
      <w:r>
        <w:rPr>
          <w:rFonts w:hint="eastAsia"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（二）预算编制管理情况，得分</w:t>
      </w:r>
      <w:r>
        <w:rPr>
          <w:rFonts w:hint="default" w:ascii="楷体_GB2312" w:hAnsi="楷体_GB2312" w:eastAsia="楷体_GB2312" w:cs="楷体_GB2312"/>
          <w:sz w:val="32"/>
          <w:szCs w:val="32"/>
          <w:lang w:val="en-US" w:eastAsia="zh-CN"/>
        </w:rPr>
        <w:t xml:space="preserve">12</w:t>
      </w:r>
      <w:r>
        <w:rPr>
          <w:rFonts w:hint="eastAsia" w:ascii="楷体_GB2312" w:hAnsi="楷体_GB2312" w:eastAsia="楷体_GB2312" w:cs="楷体_GB2312"/>
          <w:sz w:val="32"/>
          <w:szCs w:val="32"/>
          <w:lang w:val="en-US" w:eastAsia="zh-CN"/>
        </w:rPr>
        <w:t xml:space="preserve">分</w:t>
      </w:r>
      <w:r>
        <w:rPr>
          <w:rFonts w:hint="eastAsia"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1.制度建设情况。我部门按照“三重一大”政策要求，对申报预算的项目认真的进行前期论证，并经过党组会议专题研究，对项目预算的绩效目标指标设定和部门预算草案、分年度计划均进行研究和审议。</w:t>
      </w:r>
      <w:r>
        <w:rPr>
          <w:rFonts w:hint="eastAsia"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部门预算编制情况。我部门规范完整编制部门预算，在规定时间内，按照要求报送年初预算编制相关资料，将年初预算项目按财政部门要求录入一体化系统，同时生成并审核报送部门预算文本和部门绩效文本，报送文本准确无误。现将预算编制情况说明如下：</w:t>
      </w:r>
      <w:r>
        <w:rPr>
          <w:rFonts w:hint="eastAsia"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（1）收支预算。202</w:t>
      </w:r>
      <w:r>
        <w:rPr>
          <w:rFonts w:hint="default" w:ascii="仿宋_GB2312" w:hAnsi="仿宋_GB2312" w:eastAsia="仿宋_GB2312" w:cs="仿宋_GB2312"/>
          <w:sz w:val="32"/>
          <w:szCs w:val="32"/>
          <w:lang w:val="en-US" w:eastAsia="zh-CN"/>
        </w:rPr>
        <w:t xml:space="preserve">3</w:t>
      </w:r>
      <w:r>
        <w:rPr>
          <w:rFonts w:hint="eastAsia" w:ascii="仿宋_GB2312" w:hAnsi="仿宋_GB2312" w:eastAsia="仿宋_GB2312" w:cs="仿宋_GB2312"/>
          <w:sz w:val="32"/>
          <w:szCs w:val="32"/>
          <w:lang w:val="en-US" w:eastAsia="zh-CN"/>
        </w:rPr>
        <w:t xml:space="preserve">年我部门预算收入4,846.08万元，其中：一般公共预算拨款4,846.08万元，政府性基金拨款</w:t>
      </w:r>
      <w:r>
        <w:rPr>
          <w:rFonts w:hint="default" w:ascii="仿宋_GB2312" w:hAnsi="仿宋_GB2312" w:eastAsia="仿宋_GB2312" w:cs="仿宋_GB2312"/>
          <w:sz w:val="32"/>
          <w:szCs w:val="32"/>
          <w:lang w:val="en-US" w:eastAsia="zh-CN"/>
        </w:rPr>
        <w:t xml:space="preserve">0</w:t>
      </w:r>
      <w:r>
        <w:rPr>
          <w:rFonts w:hint="eastAsia" w:ascii="仿宋_GB2312" w:hAnsi="仿宋_GB2312" w:eastAsia="仿宋_GB2312" w:cs="仿宋_GB2312"/>
          <w:sz w:val="32"/>
          <w:szCs w:val="32"/>
          <w:lang w:val="en-US" w:eastAsia="zh-CN"/>
        </w:rPr>
        <w:t xml:space="preserve">万元，财政专户收入</w:t>
      </w:r>
      <w:r>
        <w:rPr>
          <w:rFonts w:hint="default" w:ascii="仿宋_GB2312" w:hAnsi="仿宋_GB2312" w:eastAsia="仿宋_GB2312" w:cs="仿宋_GB2312"/>
          <w:sz w:val="32"/>
          <w:szCs w:val="32"/>
          <w:lang w:val="en-US" w:eastAsia="zh-CN"/>
        </w:rPr>
        <w:t xml:space="preserve">0</w:t>
      </w:r>
      <w:r>
        <w:rPr>
          <w:rFonts w:hint="eastAsia" w:ascii="仿宋_GB2312" w:hAnsi="仿宋_GB2312" w:eastAsia="仿宋_GB2312" w:cs="仿宋_GB2312"/>
          <w:sz w:val="32"/>
          <w:szCs w:val="32"/>
          <w:lang w:val="en-US" w:eastAsia="zh-CN"/>
        </w:rPr>
        <w:t xml:space="preserve">万元，其他收入</w:t>
      </w:r>
      <w:r>
        <w:rPr>
          <w:rFonts w:hint="default" w:ascii="仿宋_GB2312" w:hAnsi="仿宋_GB2312" w:eastAsia="仿宋_GB2312" w:cs="仿宋_GB2312"/>
          <w:sz w:val="32"/>
          <w:szCs w:val="32"/>
          <w:lang w:val="en-US" w:eastAsia="zh-CN"/>
        </w:rPr>
        <w:t xml:space="preserve">0</w:t>
      </w:r>
      <w:r>
        <w:rPr>
          <w:rFonts w:hint="eastAsia" w:ascii="仿宋_GB2312" w:hAnsi="仿宋_GB2312" w:eastAsia="仿宋_GB2312" w:cs="仿宋_GB2312"/>
          <w:sz w:val="32"/>
          <w:szCs w:val="32"/>
          <w:lang w:val="en-US" w:eastAsia="zh-CN"/>
        </w:rPr>
        <w:t xml:space="preserve">万元。预算支出按功能分类包含：一般公共服务支出4,080.59万元，社会保障和就业支出424.38万元，卫生健康支出156.00万元，住房保障支出185.61万元。</w:t>
      </w:r>
      <w:r>
        <w:rPr>
          <w:rFonts w:hint="default"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（2）三公经费预算。2023年我部门（乡镇）安排三公经费68.04万元，其中：公务用车运行维护费68.04万元，公务接待费</w:t>
      </w:r>
      <w:r>
        <w:rPr>
          <w:rFonts w:hint="default" w:ascii="仿宋_GB2312" w:hAnsi="仿宋_GB2312" w:eastAsia="仿宋_GB2312" w:cs="仿宋_GB2312"/>
          <w:sz w:val="32"/>
          <w:szCs w:val="32"/>
          <w:lang w:val="en-US" w:eastAsia="zh-CN"/>
        </w:rPr>
        <w:t xml:space="preserve">0</w:t>
      </w:r>
      <w:r>
        <w:rPr>
          <w:rFonts w:hint="eastAsia" w:ascii="仿宋_GB2312" w:hAnsi="仿宋_GB2312" w:eastAsia="仿宋_GB2312" w:cs="仿宋_GB2312"/>
          <w:sz w:val="32"/>
          <w:szCs w:val="32"/>
          <w:lang w:val="en-US" w:eastAsia="zh-CN"/>
        </w:rPr>
        <w:t xml:space="preserve">万元，会议费</w:t>
      </w:r>
      <w:r>
        <w:rPr>
          <w:rFonts w:hint="default" w:ascii="仿宋_GB2312" w:hAnsi="仿宋_GB2312" w:eastAsia="仿宋_GB2312" w:cs="仿宋_GB2312"/>
          <w:sz w:val="32"/>
          <w:szCs w:val="32"/>
          <w:lang w:val="en-US" w:eastAsia="zh-CN"/>
        </w:rPr>
        <w:t xml:space="preserve">0</w:t>
      </w:r>
      <w:r>
        <w:rPr>
          <w:rFonts w:hint="eastAsia" w:ascii="仿宋_GB2312" w:hAnsi="仿宋_GB2312" w:eastAsia="仿宋_GB2312" w:cs="仿宋_GB2312"/>
          <w:sz w:val="32"/>
          <w:szCs w:val="32"/>
          <w:lang w:val="en-US" w:eastAsia="zh-CN"/>
        </w:rPr>
        <w:t xml:space="preserve">万元，培训费</w:t>
      </w:r>
      <w:r>
        <w:rPr>
          <w:rFonts w:hint="default" w:ascii="仿宋_GB2312" w:hAnsi="仿宋_GB2312" w:eastAsia="仿宋_GB2312" w:cs="仿宋_GB2312"/>
          <w:sz w:val="32"/>
          <w:szCs w:val="32"/>
          <w:lang w:val="en-US" w:eastAsia="zh-CN"/>
        </w:rPr>
        <w:t xml:space="preserve">0</w:t>
      </w:r>
      <w:r>
        <w:rPr>
          <w:rFonts w:hint="eastAsia" w:ascii="仿宋_GB2312" w:hAnsi="仿宋_GB2312" w:eastAsia="仿宋_GB2312" w:cs="仿宋_GB2312"/>
          <w:sz w:val="32"/>
          <w:szCs w:val="32"/>
          <w:lang w:val="en-US" w:eastAsia="zh-CN"/>
        </w:rPr>
        <w:t xml:space="preserve">万元。</w:t>
      </w:r>
      <w:r>
        <w:rPr>
          <w:rFonts w:hint="default"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（3）非税收入计划。2023年我部门（乡镇）安排非税收入计划</w:t>
      </w:r>
      <w:r>
        <w:rPr>
          <w:rFonts w:hint="default" w:ascii="仿宋_GB2312" w:hAnsi="仿宋_GB2312" w:eastAsia="仿宋_GB2312" w:cs="仿宋_GB2312"/>
          <w:sz w:val="32"/>
          <w:szCs w:val="32"/>
          <w:lang w:val="en-US" w:eastAsia="zh-CN"/>
        </w:rPr>
        <w:t xml:space="preserve">200</w:t>
      </w:r>
      <w:r>
        <w:rPr>
          <w:rFonts w:hint="eastAsia" w:ascii="仿宋_GB2312" w:hAnsi="仿宋_GB2312" w:eastAsia="仿宋_GB2312" w:cs="仿宋_GB2312"/>
          <w:sz w:val="32"/>
          <w:szCs w:val="32"/>
          <w:lang w:val="en-US" w:eastAsia="zh-CN"/>
        </w:rPr>
        <w:t xml:space="preserve">万元，主要是罚没收入</w:t>
      </w:r>
      <w:r>
        <w:rPr>
          <w:rFonts w:hint="default" w:ascii="仿宋_GB2312" w:hAnsi="仿宋_GB2312" w:eastAsia="仿宋_GB2312" w:cs="仿宋_GB2312"/>
          <w:sz w:val="32"/>
          <w:szCs w:val="32"/>
          <w:lang w:val="en-US" w:eastAsia="zh-CN"/>
        </w:rPr>
        <w:t xml:space="preserve">200</w:t>
      </w:r>
      <w:r>
        <w:rPr>
          <w:rFonts w:hint="eastAsia" w:ascii="仿宋_GB2312" w:hAnsi="仿宋_GB2312" w:eastAsia="仿宋_GB2312" w:cs="仿宋_GB2312"/>
          <w:sz w:val="32"/>
          <w:szCs w:val="32"/>
          <w:lang w:val="en-US" w:eastAsia="zh-CN"/>
        </w:rPr>
        <w:t xml:space="preserve">万元</w:t>
      </w:r>
      <w:r>
        <w:rPr>
          <w:rFonts w:hint="eastAsia" w:ascii="宋体" w:hAnsi="宋体" w:cs="宋体"/>
          <w:sz w:val="32"/>
          <w:szCs w:val="32"/>
          <w:lang w:val="en-US" w:eastAsia="zh-CN"/>
        </w:rPr>
        <w:t xml:space="preserve">。</w:t>
      </w:r>
      <w:r>
        <w:rPr>
          <w:rFonts w:hint="default"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3.各类资源统筹管理情况。</w:t>
      </w:r>
      <w:r>
        <w:rPr>
          <w:rFonts w:hint="eastAsia"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（三）预算执行管理情况，得分</w:t>
      </w:r>
      <w:r>
        <w:rPr>
          <w:rFonts w:hint="default" w:ascii="楷体_GB2312" w:hAnsi="楷体_GB2312" w:eastAsia="楷体_GB2312" w:cs="楷体_GB2312"/>
          <w:sz w:val="32"/>
          <w:szCs w:val="32"/>
          <w:lang w:val="en-US" w:eastAsia="zh-CN"/>
        </w:rPr>
        <w:t xml:space="preserve">20</w:t>
      </w:r>
      <w:r>
        <w:rPr>
          <w:rFonts w:hint="eastAsia" w:ascii="楷体_GB2312" w:hAnsi="楷体_GB2312" w:eastAsia="楷体_GB2312" w:cs="楷体_GB2312"/>
          <w:sz w:val="32"/>
          <w:szCs w:val="32"/>
          <w:lang w:val="en-US" w:eastAsia="zh-CN"/>
        </w:rPr>
        <w:t xml:space="preserve">分</w:t>
      </w:r>
      <w:r>
        <w:rPr>
          <w:rFonts w:hint="eastAsia" w:ascii="楷体_GB2312" w:hAnsi="楷体_GB2312" w:eastAsia="楷体_GB2312" w:cs="楷体_GB2312"/>
          <w:sz w:val="32"/>
          <w:szCs w:val="32"/>
          <w:lang w:val="en-US" w:eastAsia="zh-CN"/>
        </w:rPr>
      </w:r>
    </w:p>
    <w:p>
      <w:pPr>
        <w:keepNext w:val="false"/>
        <w:keepLines w:val="false"/>
        <w:pageBreakBefore w:val="false"/>
        <w:widowControl w:val="false"/>
        <w:pBdr/>
        <w:spacing w:line="560" w:lineRule="exact"/>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1.预算执行监督情况</w:t>
      </w:r>
      <w:r>
        <w:rPr>
          <w:rFonts w:hint="default"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（1）预警处理情况。</w:t>
      </w:r>
      <w:r>
        <w:rPr>
          <w:rFonts w:hint="eastAsia"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（2）预算执行违规情况。我部门不</w:t>
      </w:r>
      <w:r>
        <w:rPr>
          <w:rFonts w:hint="default" w:ascii="仿宋_GB2312" w:hAnsi="仿宋_GB2312" w:eastAsia="仿宋_GB2312" w:cs="仿宋_GB2312"/>
          <w:sz w:val="32"/>
          <w:szCs w:val="32"/>
          <w:lang w:val="en-US" w:eastAsia="zh-CN"/>
        </w:rPr>
        <w:t xml:space="preserve">存在无预算、超预算安排支出</w:t>
      </w:r>
      <w:r>
        <w:rPr>
          <w:rFonts w:hint="eastAsia" w:ascii="仿宋_GB2312" w:hAnsi="仿宋_GB2312" w:eastAsia="仿宋_GB2312" w:cs="仿宋_GB2312"/>
          <w:sz w:val="32"/>
          <w:szCs w:val="32"/>
          <w:lang w:val="en-US" w:eastAsia="zh-CN"/>
        </w:rPr>
        <w:t xml:space="preserve">的情况，不存在</w:t>
      </w:r>
      <w:r>
        <w:rPr>
          <w:rFonts w:hint="default" w:ascii="仿宋_GB2312" w:hAnsi="仿宋_GB2312" w:eastAsia="仿宋_GB2312" w:cs="仿宋_GB2312"/>
          <w:sz w:val="32"/>
          <w:szCs w:val="32"/>
          <w:lang w:val="en-US" w:eastAsia="zh-CN"/>
        </w:rPr>
        <w:t xml:space="preserve">开展政府采购、将基本户资金违规拨入专户，被督查、审计、日常监管、专项检查指出或发现问题的</w:t>
      </w:r>
      <w:r>
        <w:rPr>
          <w:rFonts w:hint="eastAsia" w:ascii="仿宋_GB2312" w:hAnsi="仿宋_GB2312" w:eastAsia="仿宋_GB2312" w:cs="仿宋_GB2312"/>
          <w:sz w:val="32"/>
          <w:szCs w:val="32"/>
          <w:lang w:val="en-US" w:eastAsia="zh-CN"/>
        </w:rPr>
        <w:t xml:space="preserve">行为。</w:t>
      </w:r>
      <w:r>
        <w:rPr>
          <w:rFonts w:hint="eastAsia"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2.预算执行分析情况。202</w:t>
      </w:r>
      <w:r>
        <w:rPr>
          <w:rFonts w:hint="default" w:ascii="仿宋_GB2312" w:hAnsi="仿宋_GB2312" w:eastAsia="仿宋_GB2312" w:cs="仿宋_GB2312"/>
          <w:sz w:val="32"/>
          <w:szCs w:val="32"/>
          <w:lang w:val="en-US" w:eastAsia="zh-CN"/>
        </w:rPr>
        <w:t xml:space="preserve">3</w:t>
      </w:r>
      <w:r>
        <w:rPr>
          <w:rFonts w:hint="eastAsia" w:ascii="仿宋_GB2312" w:hAnsi="仿宋_GB2312" w:eastAsia="仿宋_GB2312" w:cs="仿宋_GB2312"/>
          <w:sz w:val="32"/>
          <w:szCs w:val="32"/>
          <w:lang w:val="en-US" w:eastAsia="zh-CN"/>
        </w:rPr>
        <w:t xml:space="preserve">年，我部门及时规范填报财务报表、“三公”经费报表和专户报表，报表准确无退回。</w:t>
      </w:r>
      <w:r>
        <w:rPr>
          <w:rFonts w:hint="eastAsia"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3.暂付款项管理情况。我部门严格控制暂付款的规模，无新增暂付款。</w:t>
      </w:r>
      <w:r>
        <w:rPr>
          <w:rFonts w:hint="eastAsia"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4.部门决算管理情况。我部门决算编报收支真实、数据准确、内容完整、报送及时，符合法律、行政法规规定。202</w:t>
      </w:r>
      <w:r>
        <w:rPr>
          <w:rFonts w:hint="default" w:ascii="仿宋_GB2312" w:hAnsi="仿宋_GB2312" w:eastAsia="仿宋_GB2312" w:cs="仿宋_GB2312"/>
          <w:sz w:val="32"/>
          <w:szCs w:val="32"/>
          <w:lang w:val="en-US" w:eastAsia="zh-CN"/>
        </w:rPr>
        <w:t xml:space="preserve">3</w:t>
      </w:r>
      <w:r>
        <w:rPr>
          <w:rFonts w:hint="eastAsia" w:ascii="仿宋_GB2312" w:hAnsi="仿宋_GB2312" w:eastAsia="仿宋_GB2312" w:cs="仿宋_GB2312"/>
          <w:sz w:val="32"/>
          <w:szCs w:val="32"/>
          <w:lang w:val="en-US" w:eastAsia="zh-CN"/>
        </w:rPr>
        <w:t xml:space="preserve">年我部门（乡镇）决算收入4,787.95万元，其中：财政拨款收入4,787.95万元。决算支出按功能分类包含：一般公共服务支出4,021.96</w:t>
      </w:r>
      <w:r>
        <w:rPr>
          <w:rFonts w:hint="default" w:ascii="仿宋_GB2312" w:hAnsi="仿宋_GB2312" w:eastAsia="仿宋_GB2312" w:cs="仿宋_GB2312"/>
          <w:sz w:val="32"/>
          <w:szCs w:val="32"/>
          <w:lang w:val="en-US" w:eastAsia="zh-CN"/>
        </w:rPr>
        <w:t xml:space="preserve">8</w:t>
      </w:r>
      <w:r>
        <w:rPr>
          <w:rFonts w:hint="eastAsia" w:ascii="仿宋_GB2312" w:hAnsi="仿宋_GB2312" w:eastAsia="仿宋_GB2312" w:cs="仿宋_GB2312"/>
          <w:sz w:val="32"/>
          <w:szCs w:val="32"/>
          <w:lang w:val="en-US" w:eastAsia="zh-CN"/>
        </w:rPr>
        <w:t xml:space="preserve">万元，占比</w:t>
      </w:r>
      <w:r>
        <w:rPr>
          <w:rFonts w:hint="default" w:ascii="仿宋_GB2312" w:hAnsi="仿宋_GB2312" w:eastAsia="仿宋_GB2312" w:cs="仿宋_GB2312"/>
          <w:sz w:val="32"/>
          <w:szCs w:val="32"/>
          <w:lang w:val="en-US" w:eastAsia="zh-CN"/>
        </w:rPr>
        <w:t xml:space="preserve">84.00</w:t>
      </w:r>
      <w:r>
        <w:rPr>
          <w:rFonts w:hint="eastAsia" w:ascii="仿宋_GB2312" w:hAnsi="仿宋_GB2312" w:eastAsia="仿宋_GB2312" w:cs="仿宋_GB2312"/>
          <w:sz w:val="32"/>
          <w:szCs w:val="32"/>
          <w:lang w:val="en-US" w:eastAsia="zh-CN"/>
        </w:rPr>
        <w:t xml:space="preserve">%；社会保障和就业支出421.83万元，占比</w:t>
      </w:r>
      <w:r>
        <w:rPr>
          <w:rFonts w:hint="default" w:ascii="仿宋_GB2312" w:hAnsi="仿宋_GB2312" w:eastAsia="仿宋_GB2312" w:cs="仿宋_GB2312"/>
          <w:sz w:val="32"/>
          <w:szCs w:val="32"/>
          <w:lang w:val="en-US" w:eastAsia="zh-CN"/>
        </w:rPr>
        <w:t xml:space="preserve">8.81</w:t>
      </w:r>
      <w:r>
        <w:rPr>
          <w:rFonts w:hint="eastAsia" w:ascii="仿宋_GB2312" w:hAnsi="仿宋_GB2312" w:eastAsia="仿宋_GB2312" w:cs="仿宋_GB2312"/>
          <w:sz w:val="32"/>
          <w:szCs w:val="32"/>
          <w:lang w:val="en-US" w:eastAsia="zh-CN"/>
        </w:rPr>
        <w:t xml:space="preserve">%；卫生健康支出135.56万元，占比</w:t>
      </w:r>
      <w:r>
        <w:rPr>
          <w:rFonts w:hint="default" w:ascii="仿宋_GB2312" w:hAnsi="仿宋_GB2312" w:eastAsia="仿宋_GB2312" w:cs="仿宋_GB2312"/>
          <w:sz w:val="32"/>
          <w:szCs w:val="32"/>
          <w:lang w:val="en-US" w:eastAsia="zh-CN"/>
        </w:rPr>
        <w:t xml:space="preserve">2.83</w:t>
      </w:r>
      <w:r>
        <w:rPr>
          <w:rFonts w:hint="eastAsia" w:ascii="仿宋_GB2312" w:hAnsi="仿宋_GB2312" w:eastAsia="仿宋_GB2312" w:cs="仿宋_GB2312"/>
          <w:sz w:val="32"/>
          <w:szCs w:val="32"/>
          <w:lang w:val="en-US" w:eastAsia="zh-CN"/>
        </w:rPr>
        <w:t xml:space="preserve">%；住房保障支出170.51万元，占比</w:t>
      </w:r>
      <w:r>
        <w:rPr>
          <w:rFonts w:hint="default" w:ascii="仿宋_GB2312" w:hAnsi="仿宋_GB2312" w:eastAsia="仿宋_GB2312" w:cs="仿宋_GB2312"/>
          <w:sz w:val="32"/>
          <w:szCs w:val="32"/>
          <w:lang w:val="en-US" w:eastAsia="zh-CN"/>
        </w:rPr>
        <w:t xml:space="preserve">4.36</w:t>
      </w:r>
      <w:r>
        <w:rPr>
          <w:rFonts w:hint="eastAsia" w:ascii="仿宋_GB2312" w:hAnsi="仿宋_GB2312" w:eastAsia="仿宋_GB2312" w:cs="仿宋_GB2312"/>
          <w:sz w:val="32"/>
          <w:szCs w:val="32"/>
          <w:lang w:val="en-US" w:eastAsia="zh-CN"/>
        </w:rPr>
        <w:t xml:space="preserve">%。</w:t>
      </w:r>
      <w:r>
        <w:rPr>
          <w:rFonts w:hint="eastAsia"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 xml:space="preserve">5.政府财务报告管理情况。</w:t>
      </w:r>
      <w:r>
        <w:rPr>
          <w:rFonts w:hint="eastAsia" w:ascii="仿宋_GB2312" w:hAnsi="仿宋_GB2312" w:eastAsia="仿宋_GB2312" w:cs="仿宋_GB2312"/>
          <w:sz w:val="32"/>
          <w:szCs w:val="32"/>
          <w:highlight w:val="none"/>
          <w:lang w:val="en-US" w:eastAsia="zh-CN"/>
        </w:rPr>
        <w:t xml:space="preserve">2023年我部门（乡镇）认真分析，真实准确编报部门财务报告，确保数据精准无误，编报完整、报送及时。202</w:t>
      </w:r>
      <w:r>
        <w:rPr>
          <w:rFonts w:hint="default" w:ascii="仿宋_GB2312" w:hAnsi="仿宋_GB2312" w:eastAsia="仿宋_GB2312" w:cs="仿宋_GB2312"/>
          <w:sz w:val="32"/>
          <w:szCs w:val="32"/>
          <w:highlight w:val="none"/>
          <w:lang w:val="en-US" w:eastAsia="zh-CN"/>
        </w:rPr>
        <w:t xml:space="preserve">3</w:t>
      </w:r>
      <w:r>
        <w:rPr>
          <w:rFonts w:hint="eastAsia" w:ascii="仿宋_GB2312" w:hAnsi="仿宋_GB2312" w:eastAsia="仿宋_GB2312" w:cs="仿宋_GB2312"/>
          <w:sz w:val="32"/>
          <w:szCs w:val="32"/>
          <w:highlight w:val="none"/>
          <w:lang w:val="en-US" w:eastAsia="zh-CN"/>
        </w:rPr>
        <w:t xml:space="preserve">年底，我部门资产总额</w:t>
      </w:r>
      <w:r>
        <w:rPr>
          <w:rFonts w:hint="default" w:ascii="仿宋_GB2312" w:hAnsi="仿宋_GB2312" w:eastAsia="仿宋_GB2312" w:cs="仿宋_GB2312"/>
          <w:sz w:val="32"/>
          <w:szCs w:val="32"/>
          <w:highlight w:val="none"/>
          <w:lang w:val="en-US" w:eastAsia="zh-CN"/>
        </w:rPr>
        <w:t xml:space="preserve">903.42</w:t>
      </w:r>
      <w:r>
        <w:rPr>
          <w:rFonts w:hint="eastAsia" w:ascii="仿宋_GB2312" w:hAnsi="仿宋_GB2312" w:eastAsia="仿宋_GB2312" w:cs="仿宋_GB2312"/>
          <w:sz w:val="32"/>
          <w:szCs w:val="32"/>
          <w:highlight w:val="none"/>
          <w:lang w:val="en-US" w:eastAsia="zh-CN"/>
        </w:rPr>
        <w:t xml:space="preserve">万元，其中货币资金41.05万元，，固定资产净值651.37万元。2023年底，我单位负债总额1.46万元，为其他应付款。我部门资产流动性较好，偿债能力强，资产负债率0.62%%、现金比率为729.37%%、 流动比率为776.64%%、固定资产成新率为18.48%%，故不存在当期财务风险和中长期财务风险，财务风险在可控范围内。</w:t>
      </w:r>
      <w:r>
        <w:rPr>
          <w:rFonts w:hint="default" w:ascii="仿宋_GB2312" w:hAnsi="仿宋_GB2312" w:eastAsia="仿宋_GB2312" w:cs="仿宋_GB2312"/>
          <w:sz w:val="32"/>
          <w:szCs w:val="32"/>
          <w:highlight w:val="none"/>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 xml:space="preserve">6.政府采购管理情况。</w:t>
      </w:r>
      <w:r>
        <w:rPr>
          <w:rFonts w:hint="eastAsia" w:ascii="仿宋_GB2312" w:hAnsi="仿宋_GB2312" w:eastAsia="仿宋_GB2312" w:cs="仿宋_GB2312"/>
          <w:sz w:val="32"/>
          <w:szCs w:val="32"/>
          <w:highlight w:val="none"/>
          <w:lang w:val="en-US" w:eastAsia="zh-CN"/>
        </w:rPr>
        <w:t xml:space="preserve">我部门产品质量监督抽查项目列入政府采购预算，已通过一体化系统备案和填报政府采购计划；政府采购过程中，严格落实政府采购程序，采购总预算万元，采购合同总金额</w:t>
      </w:r>
      <w:r>
        <w:rPr>
          <w:rFonts w:hint="default" w:ascii="仿宋_GB2312" w:hAnsi="仿宋_GB2312" w:eastAsia="仿宋_GB2312" w:cs="仿宋_GB2312"/>
          <w:sz w:val="32"/>
          <w:szCs w:val="32"/>
          <w:highlight w:val="none"/>
          <w:lang w:val="en-US" w:eastAsia="zh-CN"/>
        </w:rPr>
        <w:t xml:space="preserve">149.816</w:t>
      </w:r>
      <w:r>
        <w:rPr>
          <w:rFonts w:hint="eastAsia" w:ascii="仿宋_GB2312" w:hAnsi="仿宋_GB2312" w:eastAsia="仿宋_GB2312" w:cs="仿宋_GB2312"/>
          <w:sz w:val="32"/>
          <w:szCs w:val="32"/>
          <w:highlight w:val="none"/>
          <w:lang w:val="en-US" w:eastAsia="zh-CN"/>
        </w:rPr>
        <w:t xml:space="preserve">万元，中小企业合同总金额</w:t>
      </w:r>
      <w:r>
        <w:rPr>
          <w:rFonts w:hint="default" w:ascii="仿宋_GB2312" w:hAnsi="仿宋_GB2312" w:eastAsia="仿宋_GB2312" w:cs="仿宋_GB2312"/>
          <w:sz w:val="32"/>
          <w:szCs w:val="32"/>
          <w:highlight w:val="none"/>
          <w:lang w:val="en-US" w:eastAsia="zh-CN"/>
        </w:rPr>
        <w:t xml:space="preserve">149.816</w:t>
      </w:r>
      <w:r>
        <w:rPr>
          <w:rFonts w:hint="eastAsia" w:ascii="仿宋_GB2312" w:hAnsi="仿宋_GB2312" w:eastAsia="仿宋_GB2312" w:cs="仿宋_GB2312"/>
          <w:sz w:val="32"/>
          <w:szCs w:val="32"/>
          <w:highlight w:val="none"/>
          <w:lang w:val="en-US" w:eastAsia="zh-CN"/>
        </w:rPr>
        <w:t xml:space="preserve">万元，占合同总金额的比例为</w:t>
      </w:r>
      <w:r>
        <w:rPr>
          <w:rFonts w:hint="default" w:ascii="仿宋_GB2312" w:hAnsi="仿宋_GB2312" w:eastAsia="仿宋_GB2312" w:cs="仿宋_GB2312"/>
          <w:sz w:val="32"/>
          <w:szCs w:val="32"/>
          <w:highlight w:val="none"/>
          <w:lang w:val="en-US" w:eastAsia="zh-CN"/>
        </w:rPr>
        <w:t xml:space="preserve">100</w:t>
      </w:r>
      <w:r>
        <w:rPr>
          <w:rFonts w:hint="eastAsia" w:ascii="仿宋_GB2312" w:hAnsi="仿宋_GB2312" w:eastAsia="仿宋_GB2312" w:cs="仿宋_GB2312"/>
          <w:sz w:val="32"/>
          <w:szCs w:val="32"/>
          <w:highlight w:val="none"/>
          <w:lang w:val="en-US" w:eastAsia="zh-CN"/>
        </w:rPr>
        <w:t xml:space="preserve">%，其中小微企业合同总金额</w:t>
      </w:r>
      <w:r>
        <w:rPr>
          <w:rFonts w:hint="default" w:ascii="仿宋_GB2312" w:hAnsi="仿宋_GB2312" w:eastAsia="仿宋_GB2312" w:cs="仿宋_GB2312"/>
          <w:sz w:val="32"/>
          <w:szCs w:val="32"/>
          <w:highlight w:val="none"/>
          <w:lang w:val="en-US" w:eastAsia="zh-CN"/>
        </w:rPr>
        <w:t xml:space="preserve">149.816</w:t>
      </w:r>
      <w:r>
        <w:rPr>
          <w:rFonts w:hint="eastAsia" w:ascii="仿宋_GB2312" w:hAnsi="仿宋_GB2312" w:eastAsia="仿宋_GB2312" w:cs="仿宋_GB2312"/>
          <w:sz w:val="32"/>
          <w:szCs w:val="32"/>
          <w:highlight w:val="none"/>
          <w:lang w:val="en-US" w:eastAsia="zh-CN"/>
        </w:rPr>
        <w:t xml:space="preserve">万元，占中小企业合同总金额的比例为</w:t>
      </w:r>
      <w:r>
        <w:rPr>
          <w:rFonts w:hint="default" w:ascii="仿宋_GB2312" w:hAnsi="仿宋_GB2312" w:eastAsia="仿宋_GB2312" w:cs="仿宋_GB2312"/>
          <w:sz w:val="32"/>
          <w:szCs w:val="32"/>
          <w:highlight w:val="none"/>
          <w:lang w:val="en-US" w:eastAsia="zh-CN"/>
        </w:rPr>
        <w:t xml:space="preserve">100</w:t>
      </w:r>
      <w:r>
        <w:rPr>
          <w:rFonts w:hint="eastAsia" w:ascii="仿宋_GB2312" w:hAnsi="仿宋_GB2312" w:eastAsia="仿宋_GB2312" w:cs="仿宋_GB2312"/>
          <w:sz w:val="32"/>
          <w:szCs w:val="32"/>
          <w:highlight w:val="none"/>
          <w:lang w:val="en-US" w:eastAsia="zh-CN"/>
        </w:rPr>
        <w:t xml:space="preserve">%。脱贫地区农副产品采购平台预留金额</w:t>
      </w:r>
      <w:r>
        <w:rPr>
          <w:rFonts w:hint="default" w:ascii="仿宋_GB2312" w:hAnsi="仿宋_GB2312" w:eastAsia="仿宋_GB2312" w:cs="仿宋_GB2312"/>
          <w:sz w:val="32"/>
          <w:szCs w:val="32"/>
          <w:highlight w:val="none"/>
          <w:lang w:val="en-US" w:eastAsia="zh-CN"/>
        </w:rPr>
        <w:t xml:space="preserve">1</w:t>
      </w:r>
      <w:r>
        <w:rPr>
          <w:rFonts w:hint="eastAsia" w:ascii="仿宋_GB2312" w:hAnsi="仿宋_GB2312" w:eastAsia="仿宋_GB2312" w:cs="仿宋_GB2312"/>
          <w:sz w:val="32"/>
          <w:szCs w:val="32"/>
          <w:highlight w:val="none"/>
          <w:lang w:val="en-US" w:eastAsia="zh-CN"/>
        </w:rPr>
        <w:t xml:space="preserve">万元，实际采购金额</w:t>
      </w:r>
      <w:r>
        <w:rPr>
          <w:rFonts w:hint="default" w:ascii="仿宋_GB2312" w:hAnsi="仿宋_GB2312" w:eastAsia="仿宋_GB2312" w:cs="仿宋_GB2312"/>
          <w:sz w:val="32"/>
          <w:szCs w:val="32"/>
          <w:highlight w:val="none"/>
          <w:lang w:val="en-US" w:eastAsia="zh-CN"/>
        </w:rPr>
        <w:t xml:space="preserve">1</w:t>
      </w:r>
      <w:r>
        <w:rPr>
          <w:rFonts w:hint="eastAsia" w:ascii="仿宋_GB2312" w:hAnsi="仿宋_GB2312" w:eastAsia="仿宋_GB2312" w:cs="仿宋_GB2312"/>
          <w:sz w:val="32"/>
          <w:szCs w:val="32"/>
          <w:highlight w:val="none"/>
          <w:lang w:val="en-US" w:eastAsia="zh-CN"/>
        </w:rPr>
        <w:t xml:space="preserve">万元，完成比例为</w:t>
      </w:r>
      <w:r>
        <w:rPr>
          <w:rFonts w:hint="default" w:ascii="仿宋_GB2312" w:hAnsi="仿宋_GB2312" w:eastAsia="仿宋_GB2312" w:cs="仿宋_GB2312"/>
          <w:sz w:val="32"/>
          <w:szCs w:val="32"/>
          <w:highlight w:val="none"/>
          <w:lang w:val="en-US" w:eastAsia="zh-CN"/>
        </w:rPr>
        <w:t xml:space="preserve">100</w:t>
      </w:r>
      <w:r>
        <w:rPr>
          <w:rFonts w:hint="eastAsia" w:ascii="仿宋_GB2312" w:hAnsi="仿宋_GB2312" w:eastAsia="仿宋_GB2312" w:cs="仿宋_GB2312"/>
          <w:sz w:val="32"/>
          <w:szCs w:val="32"/>
          <w:highlight w:val="none"/>
          <w:lang w:val="en-US" w:eastAsia="zh-CN"/>
        </w:rPr>
        <w:t xml:space="preserve">%。</w:t>
      </w:r>
      <w:r>
        <w:rPr>
          <w:rFonts w:hint="eastAsia" w:ascii="仿宋_GB2312" w:hAnsi="仿宋_GB2312" w:eastAsia="仿宋_GB2312" w:cs="仿宋_GB2312"/>
          <w:sz w:val="32"/>
          <w:szCs w:val="32"/>
          <w:highlight w:val="none"/>
          <w:lang w:val="en-US" w:eastAsia="zh-CN"/>
        </w:rPr>
      </w:r>
    </w:p>
    <w:p>
      <w:pPr>
        <w:keepNext w:val="false"/>
        <w:keepLines w:val="false"/>
        <w:pageBreakBefore w:val="false"/>
        <w:widowControl w:val="false"/>
        <w:pBdr/>
        <w:spacing w:line="560" w:lineRule="exact"/>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我部门在政府采购过程中公开透明，不存在政府采购质疑和投诉；完善内控制度明确产品质量监督抽查具体负责政府采购管理工作，并指定专人作为采购管理员;建立了采购需求制定与内部审核、采购文件编制与复审、采购评审与结果确定、采购组织与履约验收、合同签订与验收评价等关联岗位互相分离规则。</w:t>
      </w:r>
      <w:r>
        <w:rPr>
          <w:rFonts w:hint="default"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7.直达资金管理等工作情况。我部门无直达资金。</w:t>
      </w:r>
      <w:r>
        <w:rPr>
          <w:rFonts w:hint="eastAsia"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（四）预算绩效管理情况，得分</w:t>
      </w:r>
      <w:r>
        <w:rPr>
          <w:rFonts w:hint="default" w:ascii="楷体_GB2312" w:hAnsi="楷体_GB2312" w:eastAsia="楷体_GB2312" w:cs="楷体_GB2312"/>
          <w:sz w:val="32"/>
          <w:szCs w:val="32"/>
          <w:lang w:val="en-US" w:eastAsia="zh-CN"/>
        </w:rPr>
        <w:t xml:space="preserve">23.5</w:t>
      </w:r>
      <w:r>
        <w:rPr>
          <w:rFonts w:hint="eastAsia" w:ascii="楷体_GB2312" w:hAnsi="楷体_GB2312" w:eastAsia="楷体_GB2312" w:cs="楷体_GB2312"/>
          <w:sz w:val="32"/>
          <w:szCs w:val="32"/>
          <w:lang w:val="en-US" w:eastAsia="zh-CN"/>
        </w:rPr>
        <w:t xml:space="preserve">分</w:t>
      </w:r>
      <w:r>
        <w:rPr>
          <w:rFonts w:hint="eastAsia"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1.日常工作保障落实情况</w:t>
      </w:r>
      <w:r>
        <w:rPr>
          <w:rFonts w:hint="eastAsia"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（1）通知落实情况。我部门各岗位及时查看钉钉群发布的各项通知信息和OA系统中发送的文件通知，认真阅读并及时回复落实。</w:t>
      </w:r>
      <w:r>
        <w:rPr>
          <w:rFonts w:hint="eastAsia"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（2）日常手续报送规范性情况。在人员经费指标调整、三公限额调整等日常工作中，严格按照测算表计算，认真审核，确保数据填报准确，内容填报规范，202</w:t>
      </w:r>
      <w:r>
        <w:rPr>
          <w:rFonts w:hint="default" w:ascii="仿宋_GB2312" w:hAnsi="仿宋_GB2312" w:eastAsia="仿宋_GB2312" w:cs="仿宋_GB2312"/>
          <w:sz w:val="32"/>
          <w:szCs w:val="32"/>
          <w:lang w:val="en-US" w:eastAsia="zh-CN"/>
        </w:rPr>
        <w:t xml:space="preserve">3</w:t>
      </w:r>
      <w:r>
        <w:rPr>
          <w:rFonts w:hint="eastAsia" w:ascii="仿宋_GB2312" w:hAnsi="仿宋_GB2312" w:eastAsia="仿宋_GB2312" w:cs="仿宋_GB2312"/>
          <w:sz w:val="32"/>
          <w:szCs w:val="32"/>
          <w:lang w:val="en-US" w:eastAsia="zh-CN"/>
        </w:rPr>
        <w:t xml:space="preserve">年未退回重新修改。</w:t>
      </w:r>
      <w:r>
        <w:rPr>
          <w:rFonts w:hint="eastAsia"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（3）重点工作落实情况。我部门积极落实财政部门安排的三项重点任务，落实情况如下：</w:t>
      </w:r>
      <w:r>
        <w:rPr>
          <w:rFonts w:hint="eastAsia"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eastAsia" w:ascii="宋体" w:hAnsi="宋体" w:cs="宋体"/>
          <w:sz w:val="32"/>
          <w:szCs w:val="32"/>
          <w:lang w:val="en-US" w:eastAsia="zh-CN"/>
        </w:rPr>
      </w:pPr>
      <w:r>
        <w:rPr>
          <w:rFonts w:hint="default" w:ascii="Times New Roman" w:hAnsi="Times New Roman" w:eastAsia="仿宋_GB2312" w:cs="Times New Roman"/>
          <w:sz w:val="32"/>
          <w:szCs w:val="32"/>
          <w:lang w:val="en-US" w:eastAsia="zh-CN"/>
        </w:rPr>
        <w:t xml:space="preserve">①</w:t>
      </w:r>
      <w:r>
        <w:rPr>
          <w:rFonts w:hint="eastAsia" w:ascii="仿宋_GB2312" w:hAnsi="仿宋_GB2312" w:eastAsia="仿宋_GB2312" w:cs="仿宋_GB2312"/>
          <w:sz w:val="32"/>
          <w:szCs w:val="32"/>
          <w:lang w:val="en-US" w:eastAsia="zh-CN"/>
        </w:rPr>
        <w:t xml:space="preserve">按规定编制</w:t>
      </w:r>
      <w:r>
        <w:rPr>
          <w:rFonts w:hint="default" w:ascii="仿宋_GB2312" w:hAnsi="仿宋_GB2312" w:eastAsia="仿宋_GB2312" w:cs="仿宋_GB2312"/>
          <w:sz w:val="32"/>
          <w:szCs w:val="32"/>
          <w:lang w:val="en-US" w:eastAsia="zh-CN"/>
        </w:rPr>
        <w:t xml:space="preserve">2024</w:t>
      </w:r>
      <w:r>
        <w:rPr>
          <w:rFonts w:hint="eastAsia" w:ascii="仿宋_GB2312" w:hAnsi="仿宋_GB2312" w:eastAsia="仿宋_GB2312" w:cs="仿宋_GB2312"/>
          <w:sz w:val="32"/>
          <w:szCs w:val="32"/>
          <w:lang w:val="en-US" w:eastAsia="zh-CN"/>
        </w:rPr>
        <w:t xml:space="preserve">年度预算，按时提交项目材料</w:t>
      </w:r>
      <w:r>
        <w:rPr>
          <w:rFonts w:hint="eastAsia" w:ascii="宋体" w:hAnsi="宋体" w:cs="宋体"/>
          <w:sz w:val="32"/>
          <w:szCs w:val="32"/>
          <w:lang w:val="en-US" w:eastAsia="zh-CN"/>
        </w:rPr>
        <w:t xml:space="preserve">；</w:t>
      </w:r>
      <w:r>
        <w:rPr>
          <w:rFonts w:hint="eastAsia" w:ascii="宋体" w:hAnsi="宋体" w:cs="宋体"/>
          <w:sz w:val="32"/>
          <w:szCs w:val="32"/>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 xml:space="preserve">②</w:t>
      </w:r>
      <w:r>
        <w:rPr>
          <w:rFonts w:hint="eastAsia" w:ascii="Times New Roman" w:hAnsi="Times New Roman" w:eastAsia="仿宋_GB2312" w:cs="Times New Roman"/>
          <w:sz w:val="32"/>
          <w:szCs w:val="32"/>
          <w:lang w:val="en-US" w:eastAsia="zh-CN"/>
        </w:rPr>
        <w:t xml:space="preserve">认真落实</w:t>
      </w:r>
      <w:r>
        <w:rPr>
          <w:rFonts w:hint="eastAsia" w:ascii="仿宋_GB2312" w:hAnsi="仿宋_GB2312" w:eastAsia="仿宋_GB2312" w:cs="仿宋_GB2312"/>
          <w:sz w:val="32"/>
          <w:szCs w:val="32"/>
          <w:lang w:val="en-US" w:eastAsia="zh-CN"/>
        </w:rPr>
        <w:t xml:space="preserve">减税降费等政策，合理合规开展罚没工作；</w:t>
      </w:r>
      <w:r>
        <w:rPr>
          <w:rFonts w:hint="eastAsia"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③按规定完成</w:t>
      </w:r>
      <w:r>
        <w:rPr>
          <w:rFonts w:hint="default" w:ascii="仿宋_GB2312" w:hAnsi="仿宋_GB2312" w:eastAsia="仿宋_GB2312" w:cs="仿宋_GB2312"/>
          <w:sz w:val="32"/>
          <w:szCs w:val="32"/>
          <w:lang w:val="en-US" w:eastAsia="zh-CN"/>
        </w:rPr>
        <w:t xml:space="preserve">2023</w:t>
      </w:r>
      <w:r>
        <w:rPr>
          <w:rFonts w:hint="eastAsia" w:ascii="仿宋_GB2312" w:hAnsi="仿宋_GB2312" w:eastAsia="仿宋_GB2312" w:cs="仿宋_GB2312"/>
          <w:sz w:val="32"/>
          <w:szCs w:val="32"/>
          <w:lang w:val="en-US" w:eastAsia="zh-CN"/>
        </w:rPr>
        <w:t xml:space="preserve">年度决算工作。</w:t>
      </w:r>
      <w:r>
        <w:rPr>
          <w:rFonts w:hint="default"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2.事前绩效评估情况。在申报202</w:t>
      </w:r>
      <w:r>
        <w:rPr>
          <w:rFonts w:hint="default" w:ascii="仿宋_GB2312" w:hAnsi="仿宋_GB2312" w:eastAsia="仿宋_GB2312" w:cs="仿宋_GB2312"/>
          <w:sz w:val="32"/>
          <w:szCs w:val="32"/>
          <w:lang w:val="en-US" w:eastAsia="zh-CN"/>
        </w:rPr>
        <w:t xml:space="preserve">3</w:t>
      </w:r>
      <w:r>
        <w:rPr>
          <w:rFonts w:hint="eastAsia" w:ascii="仿宋_GB2312" w:hAnsi="仿宋_GB2312" w:eastAsia="仿宋_GB2312" w:cs="仿宋_GB2312"/>
          <w:sz w:val="32"/>
          <w:szCs w:val="32"/>
          <w:lang w:val="en-US" w:eastAsia="zh-CN"/>
        </w:rPr>
        <w:t xml:space="preserve">年预算项目时，认真按照绩效管理要求进行事前评估，并在EXCEL服务器中填报</w:t>
      </w:r>
      <w:r>
        <w:rPr>
          <w:rFonts w:hint="default" w:ascii="仿宋_GB2312" w:hAnsi="仿宋_GB2312" w:eastAsia="仿宋_GB2312" w:cs="仿宋_GB2312"/>
          <w:sz w:val="32"/>
          <w:szCs w:val="32"/>
          <w:lang w:val="en-US" w:eastAsia="zh-CN"/>
        </w:rPr>
        <w:t xml:space="preserve">10</w:t>
      </w:r>
      <w:r>
        <w:rPr>
          <w:rFonts w:hint="eastAsia" w:ascii="仿宋_GB2312" w:hAnsi="仿宋_GB2312" w:eastAsia="仿宋_GB2312" w:cs="仿宋_GB2312"/>
          <w:sz w:val="32"/>
          <w:szCs w:val="32"/>
          <w:lang w:val="en-US" w:eastAsia="zh-CN"/>
        </w:rPr>
        <w:t xml:space="preserve">个预算项目事前绩效评估表，对每个项目的项目概况、政策依据、迫切需求、实施可行性、投入经济性、目标合理性进行认真填写，并对申报的所有项目进行分项成本测算，确保预算金额准确合理。202</w:t>
      </w:r>
      <w:r>
        <w:rPr>
          <w:rFonts w:hint="default" w:ascii="仿宋_GB2312" w:hAnsi="仿宋_GB2312" w:eastAsia="仿宋_GB2312" w:cs="仿宋_GB2312"/>
          <w:sz w:val="32"/>
          <w:szCs w:val="32"/>
          <w:lang w:val="en-US" w:eastAsia="zh-CN"/>
        </w:rPr>
        <w:t xml:space="preserve">3</w:t>
      </w:r>
      <w:r>
        <w:rPr>
          <w:rFonts w:hint="eastAsia" w:ascii="仿宋_GB2312" w:hAnsi="仿宋_GB2312" w:eastAsia="仿宋_GB2312" w:cs="仿宋_GB2312"/>
          <w:sz w:val="32"/>
          <w:szCs w:val="32"/>
          <w:lang w:val="en-US" w:eastAsia="zh-CN"/>
        </w:rPr>
        <w:t xml:space="preserve">年共完成</w:t>
      </w:r>
      <w:r>
        <w:rPr>
          <w:rFonts w:hint="default" w:ascii="仿宋_GB2312" w:hAnsi="仿宋_GB2312" w:eastAsia="仿宋_GB2312" w:cs="仿宋_GB2312"/>
          <w:sz w:val="32"/>
          <w:szCs w:val="32"/>
          <w:lang w:val="en-US" w:eastAsia="zh-CN"/>
        </w:rPr>
        <w:t xml:space="preserve">20</w:t>
      </w:r>
      <w:r>
        <w:rPr>
          <w:rFonts w:hint="eastAsia" w:ascii="仿宋_GB2312" w:hAnsi="仿宋_GB2312" w:eastAsia="仿宋_GB2312" w:cs="仿宋_GB2312"/>
          <w:sz w:val="32"/>
          <w:szCs w:val="32"/>
          <w:lang w:val="en-US" w:eastAsia="zh-CN"/>
        </w:rPr>
        <w:t xml:space="preserve">个项目的事前绩效评估（含追加）。</w:t>
      </w:r>
      <w:r>
        <w:rPr>
          <w:rFonts w:hint="default"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绩效目标管理情况。我部门财务人员与项目管理人员共同设立绩效目标，确保绩效目标设立依据充分，符合客观实际，与部门职责、工作规划和重点工作相关；绩效指标和评价标准清晰、细化、可评价、可衡量；对</w:t>
      </w:r>
      <w:r>
        <w:rPr>
          <w:rFonts w:hint="default" w:ascii="仿宋_GB2312" w:hAnsi="仿宋_GB2312" w:eastAsia="仿宋_GB2312" w:cs="仿宋_GB2312"/>
          <w:sz w:val="32"/>
          <w:szCs w:val="32"/>
          <w:lang w:val="en-US" w:eastAsia="zh-CN"/>
        </w:rPr>
        <w:t xml:space="preserve">2023</w:t>
      </w:r>
      <w:r>
        <w:rPr>
          <w:rFonts w:hint="eastAsia" w:ascii="仿宋_GB2312" w:hAnsi="仿宋_GB2312" w:eastAsia="仿宋_GB2312" w:cs="仿宋_GB2312"/>
          <w:sz w:val="32"/>
          <w:szCs w:val="32"/>
          <w:lang w:val="en-US" w:eastAsia="zh-CN"/>
        </w:rPr>
        <w:t xml:space="preserve">年绩效目标进行重新梳理，设立了科学合理、细化量化、可比可测的绩效目标指标体系。</w:t>
      </w:r>
      <w:r>
        <w:rPr>
          <w:rFonts w:hint="eastAsia"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4.绩效监控管理情况</w:t>
      </w:r>
      <w:r>
        <w:rPr>
          <w:rFonts w:hint="default"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（1）注重日常监控。我部门按时在数字财政系统中填报《项目分月支出进度表》和《预算绩效运行监控表》，每月对所有项目逐条监控，对实际支出进度与分月支出计划差异率大的项目逐项分析说明。</w:t>
      </w:r>
      <w:r>
        <w:rPr>
          <w:rFonts w:hint="eastAsia"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（2）做好监控分析。我部门开展202</w:t>
      </w:r>
      <w:r>
        <w:rPr>
          <w:rFonts w:hint="default" w:ascii="仿宋_GB2312" w:hAnsi="仿宋_GB2312" w:eastAsia="仿宋_GB2312" w:cs="仿宋_GB2312"/>
          <w:sz w:val="32"/>
          <w:szCs w:val="32"/>
          <w:lang w:val="en-US" w:eastAsia="zh-CN"/>
        </w:rPr>
        <w:t xml:space="preserve">3</w:t>
      </w:r>
      <w:r>
        <w:rPr>
          <w:rFonts w:hint="eastAsia" w:ascii="仿宋_GB2312" w:hAnsi="仿宋_GB2312" w:eastAsia="仿宋_GB2312" w:cs="仿宋_GB2312"/>
          <w:sz w:val="32"/>
          <w:szCs w:val="32"/>
          <w:lang w:val="en-US" w:eastAsia="zh-CN"/>
        </w:rPr>
        <w:t xml:space="preserve">年月份预算绩效运行监控分析工作，对整体绩效目标、预算项目绩效目标进行全面分析，绩效目标实现程度达到50%的项目有</w:t>
      </w:r>
      <w:r>
        <w:rPr>
          <w:rFonts w:hint="default" w:ascii="仿宋_GB2312" w:hAnsi="仿宋_GB2312" w:eastAsia="仿宋_GB2312" w:cs="仿宋_GB2312"/>
          <w:sz w:val="32"/>
          <w:szCs w:val="32"/>
          <w:lang w:val="en-US" w:eastAsia="zh-CN"/>
        </w:rPr>
        <w:t xml:space="preserve">9</w:t>
      </w:r>
      <w:r>
        <w:rPr>
          <w:rFonts w:hint="eastAsia" w:ascii="仿宋_GB2312" w:hAnsi="仿宋_GB2312" w:eastAsia="仿宋_GB2312" w:cs="仿宋_GB2312"/>
          <w:sz w:val="32"/>
          <w:szCs w:val="32"/>
          <w:lang w:val="en-US" w:eastAsia="zh-CN"/>
        </w:rPr>
        <w:t xml:space="preserve">个，截至12月份，实现绩效目标的项目有</w:t>
      </w:r>
      <w:r>
        <w:rPr>
          <w:rFonts w:hint="default" w:ascii="仿宋_GB2312" w:hAnsi="仿宋_GB2312" w:eastAsia="仿宋_GB2312" w:cs="仿宋_GB2312"/>
          <w:sz w:val="32"/>
          <w:szCs w:val="32"/>
          <w:lang w:val="en-US" w:eastAsia="zh-CN"/>
        </w:rPr>
        <w:t xml:space="preserve">9</w:t>
      </w:r>
      <w:r>
        <w:rPr>
          <w:rFonts w:hint="eastAsia" w:ascii="仿宋_GB2312" w:hAnsi="仿宋_GB2312" w:eastAsia="仿宋_GB2312" w:cs="仿宋_GB2312"/>
          <w:sz w:val="32"/>
          <w:szCs w:val="32"/>
          <w:lang w:val="en-US" w:eastAsia="zh-CN"/>
        </w:rPr>
        <w:t xml:space="preserve">个。</w:t>
      </w:r>
      <w:r>
        <w:rPr>
          <w:rFonts w:hint="default"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5.绩效评价管理情况</w:t>
      </w:r>
      <w:r>
        <w:rPr>
          <w:rFonts w:hint="default"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（1）自评情况。按照财政部门要求，开展202</w:t>
      </w:r>
      <w:r>
        <w:rPr>
          <w:rFonts w:hint="default" w:ascii="仿宋_GB2312" w:hAnsi="仿宋_GB2312" w:eastAsia="仿宋_GB2312" w:cs="仿宋_GB2312"/>
          <w:sz w:val="32"/>
          <w:szCs w:val="32"/>
          <w:lang w:val="en-US" w:eastAsia="zh-CN"/>
        </w:rPr>
        <w:t xml:space="preserve">3</w:t>
      </w:r>
      <w:r>
        <w:rPr>
          <w:rFonts w:hint="eastAsia" w:ascii="仿宋_GB2312" w:hAnsi="仿宋_GB2312" w:eastAsia="仿宋_GB2312" w:cs="仿宋_GB2312"/>
          <w:sz w:val="32"/>
          <w:szCs w:val="32"/>
          <w:lang w:val="en-US" w:eastAsia="zh-CN"/>
        </w:rPr>
        <w:t xml:space="preserve">年度财政资金部门绩效自评工作，通过一体化系统填报预算项目绩效目标的完成信息，确认各项绩效指标实际完成值和实现程度，并与年初设定的预期值相比较，逐项评定每项指标得分，</w:t>
      </w:r>
      <w:r>
        <w:rPr>
          <w:rFonts w:hint="default" w:ascii="仿宋_GB2312" w:hAnsi="仿宋_GB2312" w:eastAsia="仿宋_GB2312" w:cs="仿宋_GB2312"/>
          <w:sz w:val="32"/>
          <w:szCs w:val="32"/>
          <w:lang w:val="en-US" w:eastAsia="zh-CN"/>
        </w:rPr>
        <w:t xml:space="preserve">我部门</w:t>
      </w:r>
      <w:r>
        <w:rPr>
          <w:rFonts w:hint="eastAsia" w:ascii="仿宋_GB2312" w:hAnsi="仿宋_GB2312" w:eastAsia="仿宋_GB2312" w:cs="仿宋_GB2312"/>
          <w:sz w:val="32"/>
          <w:szCs w:val="32"/>
          <w:lang w:val="en-US" w:eastAsia="zh-CN"/>
        </w:rPr>
        <w:t xml:space="preserve">202</w:t>
      </w:r>
      <w:r>
        <w:rPr>
          <w:rFonts w:hint="default" w:ascii="仿宋_GB2312" w:hAnsi="仿宋_GB2312" w:eastAsia="仿宋_GB2312" w:cs="仿宋_GB2312"/>
          <w:sz w:val="32"/>
          <w:szCs w:val="32"/>
          <w:lang w:val="en-US" w:eastAsia="zh-CN"/>
        </w:rPr>
        <w:t xml:space="preserve">3</w:t>
      </w:r>
      <w:r>
        <w:rPr>
          <w:rFonts w:hint="eastAsia" w:ascii="仿宋_GB2312" w:hAnsi="仿宋_GB2312" w:eastAsia="仿宋_GB2312" w:cs="仿宋_GB2312"/>
          <w:sz w:val="32"/>
          <w:szCs w:val="32"/>
          <w:lang w:val="en-US" w:eastAsia="zh-CN"/>
        </w:rPr>
        <w:t xml:space="preserve">年共自评</w:t>
      </w:r>
      <w:r>
        <w:rPr>
          <w:rFonts w:hint="default" w:ascii="仿宋_GB2312" w:hAnsi="仿宋_GB2312" w:eastAsia="仿宋_GB2312" w:cs="仿宋_GB2312"/>
          <w:sz w:val="32"/>
          <w:szCs w:val="32"/>
          <w:lang w:val="en-US" w:eastAsia="zh-CN"/>
        </w:rPr>
        <w:t xml:space="preserve">20</w:t>
      </w:r>
      <w:r>
        <w:rPr>
          <w:rFonts w:hint="eastAsia" w:ascii="仿宋_GB2312" w:hAnsi="仿宋_GB2312" w:eastAsia="仿宋_GB2312" w:cs="仿宋_GB2312"/>
          <w:sz w:val="32"/>
          <w:szCs w:val="32"/>
          <w:lang w:val="en-US" w:eastAsia="zh-CN"/>
        </w:rPr>
        <w:t xml:space="preserve">个项目，95分以上的项目有</w:t>
      </w:r>
      <w:r>
        <w:rPr>
          <w:rFonts w:hint="default" w:ascii="仿宋_GB2312" w:hAnsi="仿宋_GB2312" w:eastAsia="仿宋_GB2312" w:cs="仿宋_GB2312"/>
          <w:sz w:val="32"/>
          <w:szCs w:val="32"/>
          <w:lang w:val="en-US" w:eastAsia="zh-CN"/>
        </w:rPr>
        <w:t xml:space="preserve">9</w:t>
      </w:r>
      <w:r>
        <w:rPr>
          <w:rFonts w:hint="eastAsia" w:ascii="仿宋_GB2312" w:hAnsi="仿宋_GB2312" w:eastAsia="仿宋_GB2312" w:cs="仿宋_GB2312"/>
          <w:sz w:val="32"/>
          <w:szCs w:val="32"/>
          <w:lang w:val="en-US" w:eastAsia="zh-CN"/>
        </w:rPr>
        <w:t xml:space="preserve">个。</w:t>
      </w:r>
      <w:r>
        <w:rPr>
          <w:rFonts w:hint="eastAsia"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（2）重点评价情况</w:t>
      </w:r>
      <w:r>
        <w:rPr>
          <w:rFonts w:hint="eastAsia"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6.投资评审工作情况</w:t>
      </w:r>
      <w:r>
        <w:rPr>
          <w:rFonts w:hint="eastAsia"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（五）资产管理情况，得分</w:t>
      </w:r>
      <w:r>
        <w:rPr>
          <w:rFonts w:hint="default" w:ascii="楷体_GB2312" w:hAnsi="楷体_GB2312" w:eastAsia="楷体_GB2312" w:cs="楷体_GB2312"/>
          <w:sz w:val="32"/>
          <w:szCs w:val="32"/>
          <w:lang w:val="en-US" w:eastAsia="zh-CN"/>
        </w:rPr>
        <w:t xml:space="preserve">4.5</w:t>
      </w:r>
      <w:r>
        <w:rPr>
          <w:rFonts w:hint="eastAsia" w:ascii="楷体_GB2312" w:hAnsi="楷体_GB2312" w:eastAsia="楷体_GB2312" w:cs="楷体_GB2312"/>
          <w:sz w:val="32"/>
          <w:szCs w:val="32"/>
          <w:lang w:val="en-US" w:eastAsia="zh-CN"/>
        </w:rPr>
        <w:t xml:space="preserve">分</w:t>
      </w:r>
      <w:r>
        <w:rPr>
          <w:rFonts w:hint="eastAsia"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 xml:space="preserve">1.国有资产报表管理。</w:t>
      </w:r>
      <w:r>
        <w:rPr>
          <w:rFonts w:hint="eastAsia" w:ascii="仿宋_GB2312" w:hAnsi="仿宋_GB2312" w:eastAsia="仿宋_GB2312" w:cs="仿宋_GB2312"/>
          <w:sz w:val="32"/>
          <w:szCs w:val="32"/>
          <w:highlight w:val="none"/>
          <w:lang w:val="en-US" w:eastAsia="zh-CN"/>
        </w:rPr>
        <w:t xml:space="preserve">我部门（乡镇）每月及时报送国有资产月报，按要求报送了国有资产年报。20</w:t>
      </w:r>
      <w:r>
        <w:rPr>
          <w:rFonts w:hint="default" w:ascii="仿宋_GB2312" w:hAnsi="仿宋_GB2312" w:eastAsia="仿宋_GB2312" w:cs="仿宋_GB2312"/>
          <w:sz w:val="32"/>
          <w:szCs w:val="32"/>
          <w:highlight w:val="none"/>
          <w:lang w:val="en-US" w:eastAsia="zh-CN"/>
        </w:rPr>
        <w:t xml:space="preserve">23</w:t>
      </w:r>
      <w:r>
        <w:rPr>
          <w:rFonts w:hint="eastAsia" w:ascii="仿宋_GB2312" w:hAnsi="仿宋_GB2312" w:eastAsia="仿宋_GB2312" w:cs="仿宋_GB2312"/>
          <w:sz w:val="32"/>
          <w:szCs w:val="32"/>
          <w:highlight w:val="none"/>
          <w:lang w:val="en-US" w:eastAsia="zh-CN"/>
        </w:rPr>
        <w:t xml:space="preserve">年，国有资产情况如下：</w:t>
      </w:r>
      <w:r>
        <w:rPr>
          <w:rFonts w:hint="eastAsia" w:ascii="仿宋_GB2312" w:hAnsi="仿宋_GB2312" w:eastAsia="仿宋_GB2312" w:cs="仿宋_GB2312"/>
          <w:sz w:val="32"/>
          <w:szCs w:val="32"/>
          <w:highlight w:val="none"/>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（1）资产负债情况。货币资金</w:t>
      </w:r>
      <w:r>
        <w:rPr>
          <w:rFonts w:hint="default" w:ascii="仿宋_GB2312" w:hAnsi="仿宋_GB2312" w:eastAsia="仿宋_GB2312" w:cs="仿宋_GB2312"/>
          <w:sz w:val="32"/>
          <w:szCs w:val="32"/>
          <w:highlight w:val="none"/>
          <w:lang w:val="en-US" w:eastAsia="zh-CN"/>
        </w:rPr>
        <w:t xml:space="preserve">2.612519</w:t>
      </w:r>
      <w:r>
        <w:rPr>
          <w:rFonts w:hint="eastAsia" w:ascii="仿宋_GB2312" w:hAnsi="仿宋_GB2312" w:eastAsia="仿宋_GB2312" w:cs="仿宋_GB2312"/>
          <w:sz w:val="32"/>
          <w:szCs w:val="32"/>
          <w:highlight w:val="none"/>
          <w:lang w:val="en-US" w:eastAsia="zh-CN"/>
        </w:rPr>
        <w:t xml:space="preserve">万元。</w:t>
      </w:r>
      <w:r>
        <w:rPr>
          <w:rFonts w:hint="eastAsia" w:ascii="仿宋_GB2312" w:hAnsi="仿宋_GB2312" w:eastAsia="仿宋_GB2312" w:cs="仿宋_GB2312"/>
          <w:sz w:val="32"/>
          <w:szCs w:val="32"/>
          <w:highlight w:val="none"/>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（2）固定和无形资产存量情况。固定资产净值861.66万元，无形资产</w:t>
      </w:r>
      <w:r>
        <w:rPr>
          <w:rFonts w:hint="default" w:ascii="仿宋_GB2312" w:hAnsi="仿宋_GB2312" w:eastAsia="仿宋_GB2312" w:cs="仿宋_GB2312"/>
          <w:sz w:val="32"/>
          <w:szCs w:val="32"/>
          <w:highlight w:val="none"/>
          <w:lang w:val="en-US" w:eastAsia="zh-CN"/>
        </w:rPr>
        <w:t xml:space="preserve">211</w:t>
      </w:r>
      <w:r>
        <w:rPr>
          <w:rFonts w:hint="eastAsia" w:ascii="仿宋_GB2312" w:hAnsi="仿宋_GB2312" w:eastAsia="仿宋_GB2312" w:cs="仿宋_GB2312"/>
          <w:sz w:val="32"/>
          <w:szCs w:val="32"/>
          <w:highlight w:val="none"/>
          <w:lang w:val="en-US" w:eastAsia="zh-CN"/>
        </w:rPr>
        <w:t xml:space="preserve">万元。</w:t>
      </w:r>
      <w:r>
        <w:rPr>
          <w:rFonts w:hint="eastAsia" w:ascii="仿宋_GB2312" w:hAnsi="仿宋_GB2312" w:eastAsia="仿宋_GB2312" w:cs="仿宋_GB2312"/>
          <w:sz w:val="32"/>
          <w:szCs w:val="32"/>
          <w:highlight w:val="none"/>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（3）土地情况。无形资产</w:t>
      </w:r>
      <w:r>
        <w:rPr>
          <w:rFonts w:hint="default" w:ascii="仿宋_GB2312" w:hAnsi="仿宋_GB2312" w:eastAsia="仿宋_GB2312" w:cs="仿宋_GB2312"/>
          <w:sz w:val="32"/>
          <w:szCs w:val="32"/>
          <w:highlight w:val="none"/>
          <w:lang w:val="en-US" w:eastAsia="zh-CN"/>
        </w:rPr>
        <w:t xml:space="preserve">211</w:t>
      </w:r>
      <w:r>
        <w:rPr>
          <w:rFonts w:hint="eastAsia" w:ascii="仿宋_GB2312" w:hAnsi="仿宋_GB2312" w:eastAsia="仿宋_GB2312" w:cs="仿宋_GB2312"/>
          <w:sz w:val="32"/>
          <w:szCs w:val="32"/>
          <w:highlight w:val="none"/>
          <w:lang w:val="en-US" w:eastAsia="zh-CN"/>
        </w:rPr>
        <w:t xml:space="preserve">万元。</w:t>
      </w:r>
      <w:r>
        <w:rPr>
          <w:rFonts w:hint="eastAsia" w:ascii="仿宋_GB2312" w:hAnsi="仿宋_GB2312" w:eastAsia="仿宋_GB2312" w:cs="仿宋_GB2312"/>
          <w:sz w:val="32"/>
          <w:szCs w:val="32"/>
          <w:highlight w:val="none"/>
          <w:lang w:val="en-US" w:eastAsia="zh-CN"/>
        </w:rPr>
      </w:r>
    </w:p>
    <w:p>
      <w:pPr>
        <w:keepNext w:val="false"/>
        <w:keepLines w:val="false"/>
        <w:pageBreakBefore w:val="false"/>
        <w:widowControl w:val="false"/>
        <w:pBdr/>
        <w:spacing w:line="560" w:lineRule="exact"/>
        <w:ind w:firstLine="0" w:left="638"/>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（4）房屋情况。房屋数量9016.50，金额1238.73万元（5）车辆情况。车辆实有</w:t>
      </w:r>
      <w:r>
        <w:rPr>
          <w:rFonts w:hint="default" w:ascii="仿宋_GB2312" w:hAnsi="仿宋_GB2312" w:eastAsia="仿宋_GB2312" w:cs="仿宋_GB2312"/>
          <w:sz w:val="32"/>
          <w:szCs w:val="32"/>
          <w:highlight w:val="none"/>
          <w:lang w:val="en-US" w:eastAsia="zh-CN"/>
        </w:rPr>
        <w:t xml:space="preserve">31</w:t>
      </w:r>
      <w:r>
        <w:rPr>
          <w:rFonts w:hint="eastAsia" w:ascii="仿宋_GB2312" w:hAnsi="仿宋_GB2312" w:eastAsia="仿宋_GB2312" w:cs="仿宋_GB2312"/>
          <w:sz w:val="32"/>
          <w:szCs w:val="32"/>
          <w:highlight w:val="none"/>
          <w:lang w:val="en-US" w:eastAsia="zh-CN"/>
        </w:rPr>
        <w:t xml:space="preserve">辆，金额308.92万元。</w:t>
      </w:r>
      <w:r>
        <w:rPr>
          <w:rFonts w:hint="default" w:ascii="仿宋_GB2312" w:hAnsi="仿宋_GB2312" w:eastAsia="仿宋_GB2312" w:cs="仿宋_GB2312"/>
          <w:sz w:val="32"/>
          <w:szCs w:val="32"/>
          <w:highlight w:val="none"/>
          <w:lang w:val="en-US" w:eastAsia="zh-CN"/>
        </w:rPr>
      </w:r>
    </w:p>
    <w:p>
      <w:pPr>
        <w:keepNext w:val="false"/>
        <w:keepLines w:val="false"/>
        <w:pageBreakBefore w:val="false"/>
        <w:widowControl w:val="false"/>
        <w:pBdr/>
        <w:spacing w:line="560" w:lineRule="exact"/>
        <w:ind w:firstLine="64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 xml:space="preserve">2.行政事业性国有资产管理。我部门按照要求加强资产基础管理工作，建立内控制度、由财务股室负责设置专门的资产管理岗、资产系统卡片信息完整规范并通过系统检测；资产购置纳入年度部门预算，并按照规定程序报批；按规定报批国有资产出租出借、对外投资事项、收入足额上缴；按规定报批国有资产处置事项、及时足额缴纳国有资产处置收入。</w:t>
      </w:r>
      <w:r>
        <w:rPr>
          <w:rFonts w:hint="default" w:ascii="仿宋_GB2312" w:hAnsi="仿宋_GB2312" w:eastAsia="仿宋_GB2312" w:cs="仿宋_GB2312"/>
          <w:sz w:val="32"/>
          <w:szCs w:val="32"/>
          <w:highlight w:val="none"/>
          <w:lang w:val="en-US" w:eastAsia="zh-CN"/>
        </w:rPr>
      </w:r>
    </w:p>
    <w:p>
      <w:pPr>
        <w:keepNext w:val="false"/>
        <w:keepLines w:val="false"/>
        <w:pageBreakBefore w:val="false"/>
        <w:widowControl w:val="false"/>
        <w:pBdr/>
        <w:spacing w:line="560" w:lineRule="exact"/>
        <w:ind w:firstLine="64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（六）债务管理情况，得分</w:t>
      </w:r>
      <w:r>
        <w:rPr>
          <w:rFonts w:hint="default" w:ascii="楷体_GB2312" w:hAnsi="楷体_GB2312" w:eastAsia="楷体_GB2312" w:cs="楷体_GB2312"/>
          <w:sz w:val="32"/>
          <w:szCs w:val="32"/>
          <w:lang w:val="en-US" w:eastAsia="zh-CN"/>
        </w:rPr>
        <w:t xml:space="preserve">8</w:t>
      </w:r>
      <w:r>
        <w:rPr>
          <w:rFonts w:hint="eastAsia" w:ascii="楷体_GB2312" w:hAnsi="楷体_GB2312" w:eastAsia="楷体_GB2312" w:cs="楷体_GB2312"/>
          <w:sz w:val="32"/>
          <w:szCs w:val="32"/>
          <w:lang w:val="en-US" w:eastAsia="zh-CN"/>
        </w:rPr>
        <w:t xml:space="preserve">分</w:t>
      </w:r>
      <w:r>
        <w:rPr>
          <w:rFonts w:hint="eastAsia" w:ascii="楷体_GB2312" w:hAnsi="楷体_GB2312" w:eastAsia="楷体_GB2312" w:cs="楷体_GB2312"/>
          <w:sz w:val="32"/>
          <w:szCs w:val="32"/>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1.债券资金支出情况。我部门无债权资金</w:t>
      </w:r>
      <w:r>
        <w:rPr>
          <w:rFonts w:hint="eastAsia"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2.债券管理情况。</w:t>
      </w:r>
      <w:r>
        <w:rPr>
          <w:rFonts w:hint="default"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（七）预算透明度情况，得分</w:t>
      </w:r>
      <w:r>
        <w:rPr>
          <w:rFonts w:hint="default" w:ascii="楷体_GB2312" w:hAnsi="楷体_GB2312" w:eastAsia="楷体_GB2312" w:cs="楷体_GB2312"/>
          <w:sz w:val="32"/>
          <w:szCs w:val="32"/>
          <w:lang w:val="en-US" w:eastAsia="zh-CN"/>
        </w:rPr>
        <w:t xml:space="preserve">7.5</w:t>
      </w:r>
      <w:r>
        <w:rPr>
          <w:rFonts w:hint="eastAsia" w:ascii="楷体_GB2312" w:hAnsi="楷体_GB2312" w:eastAsia="楷体_GB2312" w:cs="楷体_GB2312"/>
          <w:sz w:val="32"/>
          <w:szCs w:val="32"/>
          <w:lang w:val="en-US" w:eastAsia="zh-CN"/>
        </w:rPr>
        <w:t xml:space="preserve">分</w:t>
      </w:r>
      <w:r>
        <w:rPr>
          <w:rFonts w:hint="eastAsia" w:ascii="楷体_GB2312" w:hAnsi="楷体_GB2312" w:eastAsia="楷体_GB2312" w:cs="楷体_GB2312"/>
          <w:sz w:val="32"/>
          <w:szCs w:val="32"/>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我部门将预决算信息、绩效信息、债券信息等，按照财政部门的要求，完整、准确、规范、真实地在徐水区政府门户网站公开专栏进行了公开。</w:t>
      </w:r>
      <w:r>
        <w:rPr>
          <w:rFonts w:hint="eastAsia"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（八）预算信息化情况，得分</w:t>
      </w:r>
      <w:r>
        <w:rPr>
          <w:rFonts w:hint="default" w:ascii="楷体_GB2312" w:hAnsi="楷体_GB2312" w:eastAsia="楷体_GB2312" w:cs="楷体_GB2312"/>
          <w:sz w:val="32"/>
          <w:szCs w:val="32"/>
          <w:lang w:val="en-US" w:eastAsia="zh-CN"/>
        </w:rPr>
        <w:t xml:space="preserve">11.5</w:t>
      </w:r>
      <w:r>
        <w:rPr>
          <w:rFonts w:hint="eastAsia" w:ascii="楷体_GB2312" w:hAnsi="楷体_GB2312" w:eastAsia="楷体_GB2312" w:cs="楷体_GB2312"/>
          <w:sz w:val="32"/>
          <w:szCs w:val="32"/>
          <w:lang w:val="en-US" w:eastAsia="zh-CN"/>
        </w:rPr>
        <w:t xml:space="preserve">分</w:t>
      </w:r>
      <w:r>
        <w:rPr>
          <w:rFonts w:hint="eastAsia" w:ascii="楷体_GB2312" w:hAnsi="楷体_GB2312" w:eastAsia="楷体_GB2312" w:cs="楷体_GB2312"/>
          <w:sz w:val="32"/>
          <w:szCs w:val="32"/>
          <w:lang w:val="en-US" w:eastAsia="zh-CN"/>
        </w:rPr>
      </w:r>
    </w:p>
    <w:p>
      <w:pPr>
        <w:keepNext w:val="false"/>
        <w:keepLines w:val="false"/>
        <w:pageBreakBefore w:val="false"/>
        <w:widowControl w:val="false"/>
        <w:pBdr/>
        <w:spacing w:line="560" w:lineRule="exact"/>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我部门在日常工作中及时、规范的操作一体化系统。在内部</w:t>
      </w:r>
      <w:r>
        <w:rPr>
          <w:rFonts w:hint="default" w:ascii="仿宋_GB2312" w:hAnsi="仿宋_GB2312" w:eastAsia="仿宋_GB2312" w:cs="仿宋_GB2312"/>
          <w:sz w:val="32"/>
          <w:szCs w:val="32"/>
          <w:lang w:val="en-US" w:eastAsia="zh-CN"/>
        </w:rPr>
        <w:t xml:space="preserve">财政业务网络与信息安全建设管理</w:t>
      </w:r>
      <w:r>
        <w:rPr>
          <w:rFonts w:hint="eastAsia" w:ascii="仿宋_GB2312" w:hAnsi="仿宋_GB2312" w:eastAsia="仿宋_GB2312" w:cs="仿宋_GB2312"/>
          <w:sz w:val="32"/>
          <w:szCs w:val="32"/>
          <w:lang w:val="en-US" w:eastAsia="zh-CN"/>
        </w:rPr>
        <w:t xml:space="preserve">方面，财政内网终端全年未发生网络安全事件。</w:t>
      </w:r>
      <w:r>
        <w:rPr>
          <w:rFonts w:hint="default"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（九）参与财政改革创新情况，得分</w:t>
      </w:r>
      <w:r>
        <w:rPr>
          <w:rFonts w:hint="default" w:ascii="楷体_GB2312" w:hAnsi="楷体_GB2312" w:eastAsia="楷体_GB2312" w:cs="楷体_GB2312"/>
          <w:sz w:val="32"/>
          <w:szCs w:val="32"/>
          <w:lang w:val="en-US" w:eastAsia="zh-CN"/>
        </w:rPr>
        <w:t xml:space="preserve">0</w:t>
      </w:r>
      <w:r>
        <w:rPr>
          <w:rFonts w:hint="eastAsia" w:ascii="楷体_GB2312" w:hAnsi="楷体_GB2312" w:eastAsia="楷体_GB2312" w:cs="楷体_GB2312"/>
          <w:sz w:val="32"/>
          <w:szCs w:val="32"/>
          <w:lang w:val="en-US" w:eastAsia="zh-CN"/>
        </w:rPr>
        <w:t xml:space="preserve">分</w:t>
      </w:r>
      <w:r>
        <w:rPr>
          <w:rFonts w:hint="default" w:ascii="楷体_GB2312" w:hAnsi="楷体_GB2312" w:eastAsia="楷体_GB2312" w:cs="楷体_GB2312"/>
          <w:sz w:val="32"/>
          <w:szCs w:val="32"/>
          <w:lang w:val="en-US" w:eastAsia="zh-CN"/>
        </w:rPr>
      </w:r>
    </w:p>
    <w:p>
      <w:pPr>
        <w:keepNext w:val="false"/>
        <w:keepLines w:val="false"/>
        <w:pageBreakBefore w:val="false"/>
        <w:widowControl w:val="false"/>
        <w:pBdr/>
        <w:spacing w:line="560" w:lineRule="exact"/>
        <w:ind w:firstLine="64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（十）存在问题，扣分</w:t>
      </w:r>
      <w:r>
        <w:rPr>
          <w:rFonts w:hint="default" w:ascii="楷体_GB2312" w:hAnsi="楷体_GB2312" w:eastAsia="楷体_GB2312" w:cs="楷体_GB2312"/>
          <w:sz w:val="32"/>
          <w:szCs w:val="32"/>
          <w:lang w:val="en-US" w:eastAsia="zh-CN"/>
        </w:rPr>
        <w:t xml:space="preserve">0</w:t>
      </w:r>
      <w:r>
        <w:rPr>
          <w:rFonts w:hint="eastAsia" w:ascii="楷体_GB2312" w:hAnsi="楷体_GB2312" w:eastAsia="楷体_GB2312" w:cs="楷体_GB2312"/>
          <w:sz w:val="32"/>
          <w:szCs w:val="32"/>
          <w:lang w:val="en-US" w:eastAsia="zh-CN"/>
        </w:rPr>
        <w:t xml:space="preserve">分</w:t>
      </w:r>
      <w:r>
        <w:rPr>
          <w:rFonts w:hint="default" w:ascii="楷体_GB2312" w:hAnsi="楷体_GB2312" w:eastAsia="楷体_GB2312" w:cs="楷体_GB2312"/>
          <w:sz w:val="32"/>
          <w:szCs w:val="32"/>
          <w:lang w:val="en-US" w:eastAsia="zh-CN"/>
        </w:rPr>
      </w:r>
    </w:p>
    <w:p>
      <w:pPr>
        <w:keepNext w:val="false"/>
        <w:keepLines w:val="false"/>
        <w:pageBreakBefore w:val="false"/>
        <w:widowControl w:val="false"/>
        <w:pBdr/>
        <w:spacing w:line="560" w:lineRule="exact"/>
        <w:ind w:firstLine="64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 xml:space="preserve">三、部门整体绩效目标实现情况</w:t>
      </w:r>
      <w:r>
        <w:rPr>
          <w:rFonts w:hint="eastAsia" w:ascii="方正黑体_GBK" w:hAnsi="方正黑体_GBK" w:eastAsia="方正黑体_GBK" w:cs="方正黑体_GBK"/>
          <w:sz w:val="32"/>
          <w:szCs w:val="32"/>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我部门（乡镇）2023年整体绩效目标实现情况如下：</w:t>
      </w:r>
      <w:r>
        <w:rPr>
          <w:rFonts w:hint="eastAsia" w:ascii="仿宋_GB2312" w:hAnsi="仿宋_GB2312" w:eastAsia="仿宋_GB2312" w:cs="仿宋_GB2312"/>
          <w:sz w:val="32"/>
          <w:szCs w:val="32"/>
          <w:lang w:val="en-US" w:eastAsia="zh-CN"/>
        </w:rPr>
      </w:r>
    </w:p>
    <w:tbl>
      <w:tblPr>
        <w:tblStyle w:val="6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Look w:val="04A0" w:firstRow="1" w:lastRow="0" w:firstColumn="1" w:lastColumn="0" w:noHBand="0" w:noVBand="1"/>
      </w:tblPr>
      <w:tblGrid>
        <w:gridCol w:w="1050"/>
        <w:gridCol w:w="2141"/>
        <w:gridCol w:w="3200"/>
        <w:gridCol w:w="2131"/>
      </w:tblGrid>
      <w:tr>
        <w:trPr>
          <w:trHeight w:val="493"/>
        </w:trPr>
        <w:tc>
          <w:tcPr>
            <w:tcBorders/>
            <w:tcW w:w="1050" w:type="dxa"/>
            <w:vAlign w:val="center"/>
            <w:textDirection w:val="lrTb"/>
            <w:noWrap w:val="false"/>
          </w:tcPr>
          <w:p>
            <w:pPr>
              <w:keepNext w:val="false"/>
              <w:keepLines w:val="false"/>
              <w:pageBreakBefore w:val="false"/>
              <w:widowControl w:val="false"/>
              <w:pBdr/>
              <w:spacing w:line="240" w:lineRule="auto"/>
              <w:ind/>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 xml:space="preserve">序号</w:t>
            </w:r>
            <w:r>
              <w:rPr>
                <w:rFonts w:hint="eastAsia" w:ascii="宋体" w:hAnsi="宋体" w:eastAsia="宋体" w:cs="宋体"/>
                <w:b/>
                <w:bCs/>
                <w:sz w:val="24"/>
                <w:szCs w:val="24"/>
                <w:vertAlign w:val="baseline"/>
                <w:lang w:val="en-US" w:eastAsia="zh-CN"/>
              </w:rPr>
            </w:r>
          </w:p>
        </w:tc>
        <w:tc>
          <w:tcPr>
            <w:tcBorders/>
            <w:tcW w:w="2141" w:type="dxa"/>
            <w:vAlign w:val="center"/>
            <w:textDirection w:val="lrTb"/>
            <w:noWrap w:val="false"/>
          </w:tcPr>
          <w:p>
            <w:pPr>
              <w:keepNext w:val="false"/>
              <w:keepLines w:val="false"/>
              <w:pageBreakBefore w:val="false"/>
              <w:widowControl w:val="false"/>
              <w:pBdr/>
              <w:spacing w:line="240" w:lineRule="auto"/>
              <w:ind/>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 xml:space="preserve">项目名称</w:t>
            </w:r>
            <w:r>
              <w:rPr>
                <w:rFonts w:hint="eastAsia" w:ascii="宋体" w:hAnsi="宋体" w:eastAsia="宋体" w:cs="宋体"/>
                <w:b/>
                <w:bCs/>
                <w:sz w:val="24"/>
                <w:szCs w:val="24"/>
                <w:vertAlign w:val="baseline"/>
                <w:lang w:val="en-US" w:eastAsia="zh-CN"/>
              </w:rPr>
            </w:r>
          </w:p>
        </w:tc>
        <w:tc>
          <w:tcPr>
            <w:tcBorders/>
            <w:tcW w:w="3200" w:type="dxa"/>
            <w:vAlign w:val="center"/>
            <w:textDirection w:val="lrTb"/>
            <w:noWrap w:val="false"/>
          </w:tcPr>
          <w:p>
            <w:pPr>
              <w:keepNext w:val="false"/>
              <w:keepLines w:val="false"/>
              <w:pageBreakBefore w:val="false"/>
              <w:widowControl w:val="false"/>
              <w:pBdr/>
              <w:spacing w:line="240" w:lineRule="auto"/>
              <w:ind/>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 xml:space="preserve">绩效目标</w:t>
            </w:r>
            <w:r>
              <w:rPr>
                <w:rFonts w:hint="default" w:ascii="宋体" w:hAnsi="宋体" w:eastAsia="宋体" w:cs="宋体"/>
                <w:b/>
                <w:bCs/>
                <w:sz w:val="24"/>
                <w:szCs w:val="24"/>
                <w:vertAlign w:val="baseline"/>
                <w:lang w:val="en-US" w:eastAsia="zh-CN"/>
              </w:rPr>
            </w:r>
          </w:p>
        </w:tc>
        <w:tc>
          <w:tcPr>
            <w:tcBorders/>
            <w:tcW w:w="2131" w:type="dxa"/>
            <w:vAlign w:val="center"/>
            <w:textDirection w:val="lrTb"/>
            <w:noWrap w:val="false"/>
          </w:tcPr>
          <w:p>
            <w:pPr>
              <w:keepNext w:val="false"/>
              <w:keepLines w:val="false"/>
              <w:pageBreakBefore w:val="false"/>
              <w:widowControl w:val="false"/>
              <w:pBdr/>
              <w:spacing w:line="240" w:lineRule="auto"/>
              <w:ind/>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 xml:space="preserve">实现情况</w:t>
            </w:r>
            <w:r>
              <w:rPr>
                <w:rFonts w:hint="eastAsia" w:ascii="宋体" w:hAnsi="宋体" w:eastAsia="宋体" w:cs="宋体"/>
                <w:b/>
                <w:bCs/>
                <w:sz w:val="24"/>
                <w:szCs w:val="24"/>
                <w:vertAlign w:val="baseline"/>
                <w:lang w:val="en-US" w:eastAsia="zh-CN"/>
              </w:rPr>
            </w:r>
          </w:p>
        </w:tc>
      </w:tr>
      <w:tr>
        <w:trPr>
          <w:trHeight w:val="465"/>
        </w:trPr>
        <w:tc>
          <w:tcPr>
            <w:tcBorders/>
            <w:tcW w:w="1050" w:type="dxa"/>
            <w:vAlign w:val="center"/>
            <w:textDirection w:val="lrTb"/>
            <w:noWrap w:val="false"/>
          </w:tcPr>
          <w:p>
            <w:pPr>
              <w:keepNext w:val="false"/>
              <w:keepLines w:val="false"/>
              <w:pageBreakBefore w:val="false"/>
              <w:widowControl w:val="false"/>
              <w:pBdr/>
              <w:spacing w:line="240" w:lineRule="auto"/>
              <w:ind/>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1</w:t>
            </w:r>
            <w:r>
              <w:rPr>
                <w:rFonts w:hint="eastAsia" w:ascii="宋体" w:hAnsi="宋体" w:eastAsia="宋体" w:cs="宋体"/>
                <w:sz w:val="24"/>
                <w:szCs w:val="24"/>
                <w:vertAlign w:val="baseline"/>
                <w:lang w:val="en-US" w:eastAsia="zh-CN"/>
              </w:rPr>
            </w:r>
          </w:p>
        </w:tc>
        <w:tc>
          <w:tcPr>
            <w:tcBorders/>
            <w:tcW w:w="2141" w:type="dxa"/>
            <w:vAlign w:val="center"/>
            <w:textDirection w:val="lrTb"/>
            <w:noWrap w:val="false"/>
          </w:tcPr>
          <w:p>
            <w:pPr>
              <w:keepNext w:val="false"/>
              <w:keepLines w:val="false"/>
              <w:pageBreakBefore w:val="false"/>
              <w:widowControl w:val="false"/>
              <w:pBdr/>
              <w:spacing w:line="240" w:lineRule="auto"/>
              <w:ind/>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 xml:space="preserve">食品安全</w:t>
            </w:r>
            <w:r>
              <w:rPr>
                <w:rFonts w:hint="eastAsia" w:ascii="宋体" w:hAnsi="宋体" w:eastAsia="宋体" w:cs="宋体"/>
                <w:sz w:val="24"/>
                <w:szCs w:val="24"/>
                <w:vertAlign w:val="baseline"/>
                <w:lang w:val="en-US" w:eastAsia="zh-CN"/>
              </w:rPr>
            </w:r>
          </w:p>
        </w:tc>
        <w:tc>
          <w:tcPr>
            <w:tcBorders/>
            <w:tcW w:w="3200" w:type="dxa"/>
            <w:vAlign w:val="center"/>
            <w:textDirection w:val="lrTb"/>
            <w:noWrap w:val="false"/>
          </w:tcPr>
          <w:p>
            <w:pPr>
              <w:keepNext w:val="false"/>
              <w:keepLines w:val="false"/>
              <w:pageBreakBefore w:val="false"/>
              <w:widowControl w:val="false"/>
              <w:pBdr/>
              <w:spacing w:line="240" w:lineRule="auto"/>
              <w:ind/>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 xml:space="preserve">对辖区内食品生产、销售企业所生成所售食品按标准进行抽检</w:t>
            </w:r>
            <w:r>
              <w:rPr>
                <w:rFonts w:hint="eastAsia" w:ascii="宋体" w:hAnsi="宋体" w:eastAsia="宋体" w:cs="宋体"/>
                <w:sz w:val="24"/>
                <w:szCs w:val="24"/>
                <w:vertAlign w:val="baseline"/>
                <w:lang w:val="en-US" w:eastAsia="zh-CN"/>
              </w:rPr>
            </w:r>
          </w:p>
        </w:tc>
        <w:tc>
          <w:tcPr>
            <w:tcBorders/>
            <w:tcW w:w="2131" w:type="dxa"/>
            <w:vAlign w:val="center"/>
            <w:textDirection w:val="lrTb"/>
            <w:noWrap w:val="false"/>
          </w:tcPr>
          <w:p>
            <w:pPr>
              <w:keepNext w:val="false"/>
              <w:keepLines w:val="false"/>
              <w:pageBreakBefore w:val="false"/>
              <w:widowControl w:val="false"/>
              <w:pBdr/>
              <w:spacing w:line="240" w:lineRule="auto"/>
              <w:ind/>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 xml:space="preserve">完成抽检工作</w:t>
            </w:r>
            <w:r>
              <w:rPr>
                <w:rFonts w:hint="eastAsia" w:ascii="宋体" w:hAnsi="宋体" w:eastAsia="宋体" w:cs="宋体"/>
                <w:sz w:val="24"/>
                <w:szCs w:val="24"/>
                <w:vertAlign w:val="baseline"/>
                <w:lang w:val="en-US" w:eastAsia="zh-CN"/>
              </w:rPr>
            </w:r>
          </w:p>
        </w:tc>
      </w:tr>
      <w:tr>
        <w:trPr>
          <w:trHeight w:val="421"/>
        </w:trPr>
        <w:tc>
          <w:tcPr>
            <w:tcBorders/>
            <w:tcW w:w="1050" w:type="dxa"/>
            <w:vAlign w:val="center"/>
            <w:textDirection w:val="lrTb"/>
            <w:noWrap w:val="false"/>
          </w:tcPr>
          <w:p>
            <w:pPr>
              <w:keepNext w:val="false"/>
              <w:keepLines w:val="false"/>
              <w:pageBreakBefore w:val="false"/>
              <w:widowControl w:val="false"/>
              <w:pBdr/>
              <w:spacing w:line="240" w:lineRule="auto"/>
              <w:ind/>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 xml:space="preserve">2</w:t>
            </w:r>
            <w:r>
              <w:rPr>
                <w:rFonts w:hint="default" w:ascii="宋体" w:hAnsi="宋体" w:eastAsia="宋体" w:cs="宋体"/>
                <w:sz w:val="24"/>
                <w:szCs w:val="24"/>
                <w:vertAlign w:val="baseline"/>
                <w:lang w:val="en-US" w:eastAsia="zh-CN"/>
              </w:rPr>
            </w:r>
          </w:p>
        </w:tc>
        <w:tc>
          <w:tcPr>
            <w:tcBorders/>
            <w:tcW w:w="2141" w:type="dxa"/>
            <w:vAlign w:val="center"/>
            <w:textDirection w:val="lrTb"/>
            <w:noWrap w:val="false"/>
          </w:tcPr>
          <w:p>
            <w:pPr>
              <w:keepNext w:val="false"/>
              <w:keepLines w:val="false"/>
              <w:pageBreakBefore w:val="false"/>
              <w:widowControl w:val="false"/>
              <w:pBdr/>
              <w:spacing w:line="240" w:lineRule="auto"/>
              <w:ind/>
              <w:jc w:val="center"/>
              <w:rPr>
                <w:rFonts w:hint="eastAsia" w:ascii="宋体" w:hAnsi="宋体" w:eastAsia="宋体" w:cs="宋体"/>
                <w:sz w:val="24"/>
                <w:szCs w:val="24"/>
                <w:vertAlign w:val="baseline"/>
                <w:lang w:val="en-US" w:eastAsia="zh-CN" w:bidi="ar-SA"/>
              </w:rPr>
            </w:pPr>
            <w:r>
              <w:rPr>
                <w:rFonts w:hint="eastAsia" w:ascii="宋体" w:hAnsi="宋体" w:cs="宋体"/>
                <w:sz w:val="24"/>
                <w:szCs w:val="24"/>
                <w:vertAlign w:val="baseline"/>
                <w:lang w:val="en-US" w:eastAsia="zh-CN"/>
              </w:rPr>
              <w:t xml:space="preserve">商品抽检</w:t>
            </w:r>
            <w:r>
              <w:rPr>
                <w:rFonts w:hint="eastAsia" w:ascii="宋体" w:hAnsi="宋体" w:eastAsia="宋体" w:cs="宋体"/>
                <w:sz w:val="24"/>
                <w:szCs w:val="24"/>
                <w:vertAlign w:val="baseline"/>
                <w:lang w:val="en-US" w:eastAsia="zh-CN" w:bidi="ar-SA"/>
              </w:rPr>
            </w:r>
          </w:p>
        </w:tc>
        <w:tc>
          <w:tcPr>
            <w:tcBorders/>
            <w:tcW w:w="3200" w:type="dxa"/>
            <w:vAlign w:val="center"/>
            <w:textDirection w:val="lrTb"/>
            <w:noWrap w:val="false"/>
          </w:tcPr>
          <w:p>
            <w:pPr>
              <w:keepNext w:val="false"/>
              <w:keepLines w:val="false"/>
              <w:pageBreakBefore w:val="false"/>
              <w:widowControl w:val="false"/>
              <w:pBdr/>
              <w:spacing w:line="240" w:lineRule="auto"/>
              <w:ind/>
              <w:jc w:val="center"/>
              <w:rPr>
                <w:rFonts w:hint="eastAsia" w:ascii="宋体" w:hAnsi="宋体" w:eastAsia="宋体" w:cs="宋体"/>
                <w:sz w:val="24"/>
                <w:szCs w:val="24"/>
                <w:vertAlign w:val="baseline"/>
                <w:lang w:val="en-US" w:eastAsia="zh-CN" w:bidi="ar-SA"/>
              </w:rPr>
            </w:pPr>
            <w:r>
              <w:rPr>
                <w:rFonts w:hint="eastAsia" w:ascii="宋体" w:hAnsi="宋体" w:cs="宋体"/>
                <w:sz w:val="24"/>
                <w:szCs w:val="24"/>
                <w:vertAlign w:val="baseline"/>
                <w:lang w:val="en-US" w:eastAsia="zh-CN"/>
              </w:rPr>
              <w:t xml:space="preserve">对辖区内加油站、散煤进行抽检</w:t>
            </w:r>
            <w:r>
              <w:rPr>
                <w:rFonts w:hint="eastAsia" w:ascii="宋体" w:hAnsi="宋体" w:eastAsia="宋体" w:cs="宋体"/>
                <w:sz w:val="24"/>
                <w:szCs w:val="24"/>
                <w:vertAlign w:val="baseline"/>
                <w:lang w:val="en-US" w:eastAsia="zh-CN" w:bidi="ar-SA"/>
              </w:rPr>
            </w:r>
          </w:p>
        </w:tc>
        <w:tc>
          <w:tcPr>
            <w:tcBorders/>
            <w:tcW w:w="2131" w:type="dxa"/>
            <w:vAlign w:val="center"/>
            <w:textDirection w:val="lrTb"/>
            <w:noWrap w:val="false"/>
          </w:tcPr>
          <w:p>
            <w:pPr>
              <w:keepNext w:val="false"/>
              <w:keepLines w:val="false"/>
              <w:pageBreakBefore w:val="false"/>
              <w:widowControl w:val="false"/>
              <w:pBdr/>
              <w:spacing w:line="240" w:lineRule="auto"/>
              <w:ind/>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 xml:space="preserve">完成抽检工作</w:t>
            </w:r>
            <w:r>
              <w:rPr>
                <w:rFonts w:hint="eastAsia" w:ascii="宋体" w:hAnsi="宋体" w:eastAsia="宋体" w:cs="宋体"/>
                <w:sz w:val="24"/>
                <w:szCs w:val="24"/>
                <w:vertAlign w:val="baseline"/>
                <w:lang w:val="en-US" w:eastAsia="zh-CN"/>
              </w:rPr>
            </w:r>
          </w:p>
        </w:tc>
      </w:tr>
    </w:tbl>
    <w:p>
      <w:pPr>
        <w:keepNext w:val="false"/>
        <w:keepLines w:val="false"/>
        <w:pageBreakBefore w:val="false"/>
        <w:widowControl w:val="false"/>
        <w:pBdr/>
        <w:spacing w:line="560" w:lineRule="exact"/>
        <w:ind/>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r>
      <w:r>
        <w:rPr>
          <w:rFonts w:hint="eastAsia" w:ascii="黑体" w:hAnsi="黑体" w:eastAsia="黑体" w:cs="黑体"/>
          <w:sz w:val="32"/>
          <w:szCs w:val="32"/>
          <w:lang w:val="en-US" w:eastAsia="zh-CN"/>
        </w:rPr>
      </w:r>
    </w:p>
    <w:p>
      <w:pPr>
        <w:keepNext w:val="false"/>
        <w:keepLines w:val="false"/>
        <w:pageBreakBefore w:val="false"/>
        <w:widowControl w:val="false"/>
        <w:pBdr/>
        <w:spacing w:line="560" w:lineRule="exact"/>
        <w:ind w:firstLine="64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 xml:space="preserve">四、绩效自评发现的问题</w:t>
      </w:r>
      <w:r>
        <w:rPr>
          <w:rFonts w:hint="eastAsia" w:ascii="方正黑体_GBK" w:hAnsi="方正黑体_GBK" w:eastAsia="方正黑体_GBK" w:cs="方正黑体_GBK"/>
          <w:sz w:val="32"/>
          <w:szCs w:val="32"/>
          <w:lang w:val="en-US" w:eastAsia="zh-CN"/>
        </w:rPr>
      </w:r>
    </w:p>
    <w:p>
      <w:pPr>
        <w:keepNext w:val="false"/>
        <w:keepLines w:val="false"/>
        <w:pageBreakBefore w:val="false"/>
        <w:widowControl w:val="false"/>
        <w:pBdr/>
        <w:spacing w:line="560" w:lineRule="exact"/>
        <w:ind w:firstLine="64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 xml:space="preserve">五、改进措施及相关建议</w:t>
      </w:r>
      <w:r>
        <w:rPr>
          <w:rFonts w:hint="eastAsia" w:ascii="方正黑体_GBK" w:hAnsi="方正黑体_GBK" w:eastAsia="方正黑体_GBK" w:cs="方正黑体_GBK"/>
          <w:sz w:val="32"/>
          <w:szCs w:val="32"/>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pBdr/>
        <w:spacing/>
        <w:ind/>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r>
      <w:r>
        <w:rPr>
          <w:rFonts w:hint="default" w:ascii="仿宋_GB2312" w:hAnsi="仿宋_GB2312" w:eastAsia="仿宋_GB2312" w:cs="仿宋_GB2312"/>
          <w:sz w:val="32"/>
          <w:szCs w:val="32"/>
          <w:lang w:val="en-US" w:eastAsia="zh-CN"/>
        </w:rPr>
      </w:r>
    </w:p>
    <w:sectPr>
      <w:footerReference w:type="default" r:id="rId9"/>
      <w:footnotePr/>
      <w:endnotePr/>
      <w:type w:val="nextPage"/>
      <w:pgSz w:h="16838" w:orient="landscape" w:w="11906"/>
      <w:pgMar w:top="1440" w:right="1800" w:bottom="1440" w:left="1800" w:header="851" w:footer="992" w:gutter="0"/>
      <w:pgNumType w:start="1"/>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panose1 w:val="02010609060101010101"/>
  </w:font>
  <w:font w:name="DengXian-Regular">
    <w:panose1 w:val="02010600030101010101"/>
  </w:font>
  <w:font w:name="仿宋">
    <w:panose1 w:val="02010609060101010101"/>
  </w:font>
  <w:font w:name="楷体_GB2312">
    <w:panose1 w:val="02010609060101010101"/>
  </w:font>
  <w:font w:name="方正黑体_GBK">
    <w:panose1 w:val="020B0604020202020204"/>
  </w:font>
  <w:font w:name="仿宋_GB2312">
    <w:panose1 w:val="02010609060101010101"/>
  </w:font>
  <w:font w:name="方正小标宋简体">
    <w:panose1 w:val="020B0604020202020204"/>
  </w:font>
  <w:font w:name="Symbol">
    <w:panose1 w:val="05050102010706020507"/>
  </w:font>
  <w:font w:name="Wingdings">
    <w:panose1 w:val="05000000000000000000"/>
  </w:font>
  <w:font w:name="Arial">
    <w:panose1 w:val="020B0604020202020204"/>
  </w:font>
  <w:font w:name="宋体">
    <w:panose1 w:val="02010600030101010101"/>
  </w:font>
  <w:font w:name="Courier New">
    <w:panose1 w:val="02070309020205020404"/>
  </w:font>
  <w:font w:name="Times New Roman">
    <w:panose1 w:val="02020603050405020304"/>
  </w:font>
  <w:font w:name="等线">
    <w:panose1 w:val="02010600030101010101"/>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57"/>
      <w:pBdr/>
      <w:spacing/>
      <w:ind/>
      <w:rPr/>
    </w:pPr>
    <w:r>
      <w:rPr>
        <w:sz w:val="18"/>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a:noFill/>
                      </a:ln>
                    </wps:spPr>
                    <wps:txbx>
                      <w:txbxContent>
                        <w:p>
                          <w:pPr>
                            <w:pStyle w:val="657"/>
                            <w:pBdr/>
                            <w:spacing/>
                            <w:ind/>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xml:space="preserve">1</w:t>
                          </w:r>
                          <w:r>
                            <w:rPr>
                              <w:rFonts w:hint="eastAsia" w:ascii="宋体" w:hAnsi="宋体" w:eastAsia="宋体" w:cs="宋体"/>
                              <w:sz w:val="24"/>
                              <w:szCs w:val="24"/>
                            </w:rPr>
                            <w:fldChar w:fldCharType="end"/>
                          </w:r>
                          <w:r>
                            <w:rPr>
                              <w:rFonts w:hint="eastAsia" w:ascii="宋体" w:hAnsi="宋体" w:eastAsia="宋体" w:cs="宋体"/>
                              <w:sz w:val="24"/>
                              <w:szCs w:val="24"/>
                            </w:rPr>
                          </w:r>
                        </w:p>
                      </w:txbxContent>
                    </wps:txbx>
                    <wps:bodyPr vert="horz" wrap="none" lIns="0" tIns="0" rIns="0" bIns="0" anchor="t" anchorCtr="0" upright="0">
                      <a:spAutoFit/>
                    </wps:bodyPr>
                  </wps:wsp>
                </a:graphicData>
              </a:graphic>
            </wp:anchor>
          </w:drawing>
        </mc:Choice>
        <mc:Fallback>
          <w:pict>
            <v:shape id="shape 0" o:spid="_x0000_s0" o:spt="202" type="#_x0000_t202" style="position:absolute;z-index:251659264;o:allowoverlap:true;o:allowincell:true;mso-position-horizontal-relative:margin;mso-position-horizontal:outside;mso-position-vertical-relative:text;margin-top:0.00pt;mso-position-vertical:absolute;width:144.00pt;height:144.00pt;mso-wrap-distance-left:9.00pt;mso-wrap-distance-top:0.00pt;mso-wrap-distance-right:9.00pt;mso-wrap-distance-bottom:0.00pt;v-text-anchor:top;visibility:visible;" filled="f" stroked="f">
              <v:textbox inset="0,0,0,0">
                <w:txbxContent>
                  <w:p>
                    <w:pPr>
                      <w:pStyle w:val="657"/>
                      <w:pBdr/>
                      <w:spacing/>
                      <w:ind/>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xml:space="preserve">1</w:t>
                    </w:r>
                    <w:r>
                      <w:rPr>
                        <w:rFonts w:hint="eastAsia" w:ascii="宋体" w:hAnsi="宋体" w:eastAsia="宋体" w:cs="宋体"/>
                        <w:sz w:val="24"/>
                        <w:szCs w:val="24"/>
                      </w:rPr>
                      <w:fldChar w:fldCharType="end"/>
                    </w:r>
                    <w:r>
                      <w:rPr>
                        <w:rFonts w:hint="eastAsia" w:ascii="宋体" w:hAnsi="宋体" w:eastAsia="宋体" w:cs="宋体"/>
                        <w:sz w:val="24"/>
                        <w:szCs w:val="24"/>
                      </w:rPr>
                    </w:r>
                  </w:p>
                </w:txbxContent>
              </v:textbox>
            </v:shape>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pPr>
      <w:rPr/>
      <w:start w:val="1"/>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54"/>
    <w:next w:val="654"/>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655"/>
    <w:link w:val="13"/>
    <w:uiPriority w:val="9"/>
    <w:pPr>
      <w:pBdr/>
      <w:spacing/>
      <w:ind/>
    </w:pPr>
    <w:rPr>
      <w:rFonts w:ascii="等线" w:hAnsi="等线" w:eastAsia="等线" w:cs="等线"/>
      <w:sz w:val="40"/>
      <w:szCs w:val="40"/>
    </w:rPr>
  </w:style>
  <w:style w:type="paragraph" w:styleId="15">
    <w:name w:val="Heading 2"/>
    <w:basedOn w:val="654"/>
    <w:next w:val="654"/>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655"/>
    <w:link w:val="15"/>
    <w:uiPriority w:val="9"/>
    <w:pPr>
      <w:pBdr/>
      <w:spacing/>
      <w:ind/>
    </w:pPr>
    <w:rPr>
      <w:rFonts w:ascii="等线" w:hAnsi="等线" w:eastAsia="等线" w:cs="等线"/>
      <w:sz w:val="34"/>
    </w:rPr>
  </w:style>
  <w:style w:type="paragraph" w:styleId="17">
    <w:name w:val="Heading 3"/>
    <w:basedOn w:val="654"/>
    <w:next w:val="654"/>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55"/>
    <w:link w:val="17"/>
    <w:uiPriority w:val="9"/>
    <w:pPr>
      <w:pBdr/>
      <w:spacing/>
      <w:ind/>
    </w:pPr>
    <w:rPr>
      <w:rFonts w:ascii="等线" w:hAnsi="等线" w:eastAsia="等线" w:cs="等线"/>
      <w:sz w:val="30"/>
      <w:szCs w:val="30"/>
    </w:rPr>
  </w:style>
  <w:style w:type="paragraph" w:styleId="19">
    <w:name w:val="Heading 4"/>
    <w:basedOn w:val="654"/>
    <w:next w:val="654"/>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55"/>
    <w:link w:val="19"/>
    <w:uiPriority w:val="9"/>
    <w:pPr>
      <w:pBdr/>
      <w:spacing/>
      <w:ind/>
    </w:pPr>
    <w:rPr>
      <w:rFonts w:ascii="等线" w:hAnsi="等线" w:eastAsia="等线" w:cs="等线"/>
      <w:b/>
      <w:bCs/>
      <w:sz w:val="26"/>
      <w:szCs w:val="26"/>
    </w:rPr>
  </w:style>
  <w:style w:type="paragraph" w:styleId="21">
    <w:name w:val="Heading 5"/>
    <w:basedOn w:val="654"/>
    <w:next w:val="654"/>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55"/>
    <w:link w:val="21"/>
    <w:uiPriority w:val="9"/>
    <w:pPr>
      <w:pBdr/>
      <w:spacing/>
      <w:ind/>
    </w:pPr>
    <w:rPr>
      <w:rFonts w:ascii="等线" w:hAnsi="等线" w:eastAsia="等线" w:cs="等线"/>
      <w:b/>
      <w:bCs/>
      <w:sz w:val="24"/>
      <w:szCs w:val="24"/>
    </w:rPr>
  </w:style>
  <w:style w:type="paragraph" w:styleId="23">
    <w:name w:val="Heading 6"/>
    <w:basedOn w:val="654"/>
    <w:next w:val="654"/>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55"/>
    <w:link w:val="23"/>
    <w:uiPriority w:val="9"/>
    <w:pPr>
      <w:pBdr/>
      <w:spacing/>
      <w:ind/>
    </w:pPr>
    <w:rPr>
      <w:rFonts w:ascii="等线" w:hAnsi="等线" w:eastAsia="等线" w:cs="等线"/>
      <w:b/>
      <w:bCs/>
      <w:sz w:val="22"/>
      <w:szCs w:val="22"/>
    </w:rPr>
  </w:style>
  <w:style w:type="paragraph" w:styleId="25">
    <w:name w:val="Heading 7"/>
    <w:basedOn w:val="654"/>
    <w:next w:val="654"/>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55"/>
    <w:link w:val="25"/>
    <w:uiPriority w:val="9"/>
    <w:pPr>
      <w:pBdr/>
      <w:spacing/>
      <w:ind/>
    </w:pPr>
    <w:rPr>
      <w:rFonts w:ascii="等线" w:hAnsi="等线" w:eastAsia="等线" w:cs="等线"/>
      <w:b/>
      <w:bCs/>
      <w:i/>
      <w:iCs/>
      <w:sz w:val="22"/>
      <w:szCs w:val="22"/>
    </w:rPr>
  </w:style>
  <w:style w:type="paragraph" w:styleId="27">
    <w:name w:val="Heading 8"/>
    <w:basedOn w:val="654"/>
    <w:next w:val="654"/>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55"/>
    <w:link w:val="27"/>
    <w:uiPriority w:val="9"/>
    <w:pPr>
      <w:pBdr/>
      <w:spacing/>
      <w:ind/>
    </w:pPr>
    <w:rPr>
      <w:rFonts w:ascii="等线" w:hAnsi="等线" w:eastAsia="等线" w:cs="等线"/>
      <w:i/>
      <w:iCs/>
      <w:sz w:val="22"/>
      <w:szCs w:val="22"/>
    </w:rPr>
  </w:style>
  <w:style w:type="paragraph" w:styleId="29">
    <w:name w:val="Heading 9"/>
    <w:basedOn w:val="654"/>
    <w:next w:val="654"/>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55"/>
    <w:link w:val="29"/>
    <w:uiPriority w:val="9"/>
    <w:pPr>
      <w:pBdr/>
      <w:spacing/>
      <w:ind/>
    </w:pPr>
    <w:rPr>
      <w:rFonts w:ascii="等线" w:hAnsi="等线" w:eastAsia="等线" w:cs="等线"/>
      <w:i/>
      <w:iCs/>
      <w:sz w:val="21"/>
      <w:szCs w:val="21"/>
    </w:rPr>
  </w:style>
  <w:style w:type="paragraph" w:styleId="31">
    <w:name w:val="List Paragraph"/>
    <w:basedOn w:val="654"/>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54"/>
    <w:next w:val="654"/>
    <w:link w:val="35"/>
    <w:uiPriority w:val="10"/>
    <w:qFormat/>
    <w:pPr>
      <w:pBdr/>
      <w:spacing w:after="200" w:before="300"/>
      <w:ind/>
      <w:contextualSpacing w:val="true"/>
    </w:pPr>
    <w:rPr>
      <w:sz w:val="48"/>
      <w:szCs w:val="48"/>
    </w:rPr>
  </w:style>
  <w:style w:type="character" w:styleId="35">
    <w:name w:val="Title Char"/>
    <w:basedOn w:val="655"/>
    <w:link w:val="34"/>
    <w:uiPriority w:val="10"/>
    <w:pPr>
      <w:pBdr/>
      <w:spacing/>
      <w:ind/>
    </w:pPr>
    <w:rPr>
      <w:sz w:val="48"/>
      <w:szCs w:val="48"/>
    </w:rPr>
  </w:style>
  <w:style w:type="paragraph" w:styleId="36">
    <w:name w:val="Subtitle"/>
    <w:basedOn w:val="654"/>
    <w:next w:val="654"/>
    <w:link w:val="37"/>
    <w:uiPriority w:val="11"/>
    <w:qFormat/>
    <w:pPr>
      <w:pBdr/>
      <w:spacing w:after="200" w:before="200"/>
      <w:ind/>
    </w:pPr>
    <w:rPr>
      <w:sz w:val="24"/>
      <w:szCs w:val="24"/>
    </w:rPr>
  </w:style>
  <w:style w:type="character" w:styleId="37">
    <w:name w:val="Subtitle Char"/>
    <w:basedOn w:val="655"/>
    <w:link w:val="36"/>
    <w:uiPriority w:val="11"/>
    <w:pPr>
      <w:pBdr/>
      <w:spacing/>
      <w:ind/>
    </w:pPr>
    <w:rPr>
      <w:sz w:val="24"/>
      <w:szCs w:val="24"/>
    </w:rPr>
  </w:style>
  <w:style w:type="paragraph" w:styleId="38">
    <w:name w:val="Quote"/>
    <w:basedOn w:val="654"/>
    <w:next w:val="654"/>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54"/>
    <w:next w:val="654"/>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655"/>
    <w:link w:val="658"/>
    <w:uiPriority w:val="99"/>
    <w:pPr>
      <w:pBdr/>
      <w:spacing/>
      <w:ind/>
    </w:pPr>
  </w:style>
  <w:style w:type="character" w:styleId="45">
    <w:name w:val="Footer Char"/>
    <w:basedOn w:val="655"/>
    <w:link w:val="657"/>
    <w:uiPriority w:val="99"/>
    <w:pPr>
      <w:pBdr/>
      <w:spacing/>
      <w:ind/>
    </w:pPr>
  </w:style>
  <w:style w:type="paragraph" w:styleId="46">
    <w:name w:val="Caption"/>
    <w:basedOn w:val="654"/>
    <w:next w:val="654"/>
    <w:uiPriority w:val="35"/>
    <w:semiHidden/>
    <w:unhideWhenUsed/>
    <w:qFormat/>
    <w:pPr>
      <w:pBdr/>
      <w:spacing w:line="276" w:lineRule="auto"/>
      <w:ind/>
    </w:pPr>
    <w:rPr>
      <w:b/>
      <w:bCs/>
      <w:color w:val="4f81bd" w:themeColor="accent1"/>
      <w:sz w:val="18"/>
      <w:szCs w:val="18"/>
    </w:rPr>
  </w:style>
  <w:style w:type="character" w:styleId="47">
    <w:name w:val="Caption Char"/>
    <w:basedOn w:val="46"/>
    <w:link w:val="657"/>
    <w:uiPriority w:val="99"/>
    <w:pPr>
      <w:pBdr/>
      <w:spacing/>
      <w:ind/>
    </w:pPr>
  </w:style>
  <w:style w:type="table" w:styleId="49">
    <w:name w:val="Table Grid Light"/>
    <w:basedOn w:val="65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5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5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5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5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5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5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5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5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5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5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5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5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5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5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5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5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5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5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5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5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5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5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5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5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5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5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5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5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5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5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5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5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5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5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5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5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5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5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5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5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5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5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5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5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5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5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5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5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5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5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5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5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5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5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5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5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5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5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5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5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5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5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5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5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5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5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5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5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5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5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5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5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5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5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5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5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5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5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5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5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5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5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5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5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65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65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65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65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65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5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5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5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5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5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5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5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5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5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5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5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5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5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5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54"/>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55"/>
    <w:uiPriority w:val="99"/>
    <w:unhideWhenUsed/>
    <w:pPr>
      <w:pBdr/>
      <w:spacing/>
      <w:ind/>
    </w:pPr>
    <w:rPr>
      <w:vertAlign w:val="superscript"/>
    </w:rPr>
  </w:style>
  <w:style w:type="paragraph" w:styleId="178">
    <w:name w:val="endnote text"/>
    <w:basedOn w:val="654"/>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55"/>
    <w:uiPriority w:val="99"/>
    <w:semiHidden/>
    <w:unhideWhenUsed/>
    <w:pPr>
      <w:pBdr/>
      <w:spacing/>
      <w:ind/>
    </w:pPr>
    <w:rPr>
      <w:vertAlign w:val="superscript"/>
    </w:rPr>
  </w:style>
  <w:style w:type="paragraph" w:styleId="181">
    <w:name w:val="toc 1"/>
    <w:basedOn w:val="654"/>
    <w:next w:val="654"/>
    <w:uiPriority w:val="39"/>
    <w:unhideWhenUsed/>
    <w:pPr>
      <w:pBdr/>
      <w:spacing w:after="57"/>
      <w:ind w:right="0" w:firstLine="0" w:left="0"/>
    </w:pPr>
  </w:style>
  <w:style w:type="paragraph" w:styleId="182">
    <w:name w:val="toc 2"/>
    <w:basedOn w:val="654"/>
    <w:next w:val="654"/>
    <w:uiPriority w:val="39"/>
    <w:unhideWhenUsed/>
    <w:pPr>
      <w:pBdr/>
      <w:spacing w:after="57"/>
      <w:ind w:right="0" w:firstLine="0" w:left="283"/>
    </w:pPr>
  </w:style>
  <w:style w:type="paragraph" w:styleId="183">
    <w:name w:val="toc 3"/>
    <w:basedOn w:val="654"/>
    <w:next w:val="654"/>
    <w:uiPriority w:val="39"/>
    <w:unhideWhenUsed/>
    <w:pPr>
      <w:pBdr/>
      <w:spacing w:after="57"/>
      <w:ind w:right="0" w:firstLine="0" w:left="567"/>
    </w:pPr>
  </w:style>
  <w:style w:type="paragraph" w:styleId="184">
    <w:name w:val="toc 4"/>
    <w:basedOn w:val="654"/>
    <w:next w:val="654"/>
    <w:uiPriority w:val="39"/>
    <w:unhideWhenUsed/>
    <w:pPr>
      <w:pBdr/>
      <w:spacing w:after="57"/>
      <w:ind w:right="0" w:firstLine="0" w:left="850"/>
    </w:pPr>
  </w:style>
  <w:style w:type="paragraph" w:styleId="185">
    <w:name w:val="toc 5"/>
    <w:basedOn w:val="654"/>
    <w:next w:val="654"/>
    <w:uiPriority w:val="39"/>
    <w:unhideWhenUsed/>
    <w:pPr>
      <w:pBdr/>
      <w:spacing w:after="57"/>
      <w:ind w:right="0" w:firstLine="0" w:left="1134"/>
    </w:pPr>
  </w:style>
  <w:style w:type="paragraph" w:styleId="186">
    <w:name w:val="toc 6"/>
    <w:basedOn w:val="654"/>
    <w:next w:val="654"/>
    <w:uiPriority w:val="39"/>
    <w:unhideWhenUsed/>
    <w:pPr>
      <w:pBdr/>
      <w:spacing w:after="57"/>
      <w:ind w:right="0" w:firstLine="0" w:left="1417"/>
    </w:pPr>
  </w:style>
  <w:style w:type="paragraph" w:styleId="187">
    <w:name w:val="toc 7"/>
    <w:basedOn w:val="654"/>
    <w:next w:val="654"/>
    <w:uiPriority w:val="39"/>
    <w:unhideWhenUsed/>
    <w:pPr>
      <w:pBdr/>
      <w:spacing w:after="57"/>
      <w:ind w:right="0" w:firstLine="0" w:left="1701"/>
    </w:pPr>
  </w:style>
  <w:style w:type="paragraph" w:styleId="188">
    <w:name w:val="toc 8"/>
    <w:basedOn w:val="654"/>
    <w:next w:val="654"/>
    <w:uiPriority w:val="39"/>
    <w:unhideWhenUsed/>
    <w:pPr>
      <w:pBdr/>
      <w:spacing w:after="57"/>
      <w:ind w:right="0" w:firstLine="0" w:left="1984"/>
    </w:pPr>
  </w:style>
  <w:style w:type="paragraph" w:styleId="189">
    <w:name w:val="toc 9"/>
    <w:basedOn w:val="654"/>
    <w:next w:val="654"/>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54"/>
    <w:next w:val="654"/>
    <w:uiPriority w:val="99"/>
    <w:unhideWhenUsed/>
    <w:pPr>
      <w:pBdr/>
      <w:spacing w:after="0" w:afterAutospacing="0"/>
      <w:ind/>
    </w:pPr>
  </w:style>
  <w:style w:type="paragraph" w:styleId="654" w:default="1">
    <w:name w:val="Normal"/>
    <w:uiPriority w:val="0"/>
    <w:qFormat/>
    <w:pPr>
      <w:widowControl w:val="false"/>
      <w:pBdr/>
      <w:spacing/>
      <w:ind/>
      <w:jc w:val="both"/>
    </w:pPr>
    <w:rPr>
      <w:rFonts w:ascii="Calibri" w:hAnsi="Calibri" w:eastAsia="宋体" w:cs="Times New Roman"/>
      <w:sz w:val="21"/>
      <w:szCs w:val="24"/>
      <w:lang w:val="en-US" w:eastAsia="zh-CN" w:bidi="ar-SA"/>
    </w:rPr>
  </w:style>
  <w:style w:type="character" w:styleId="655" w:default="1">
    <w:name w:val="Default Paragraph Font"/>
    <w:uiPriority w:val="0"/>
    <w:semiHidden/>
    <w:pPr>
      <w:pBdr/>
      <w:spacing/>
      <w:ind/>
    </w:pPr>
  </w:style>
  <w:style w:type="table" w:styleId="656" w:default="1">
    <w:name w:val="Normal Table"/>
    <w:uiPriority w:val="0"/>
    <w:semiHidden/>
    <w:qFormat/>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57">
    <w:name w:val="Footer"/>
    <w:basedOn w:val="654"/>
    <w:uiPriority w:val="0"/>
    <w:pPr>
      <w:pBdr/>
      <w:tabs>
        <w:tab w:val="center" w:leader="none" w:pos="4153"/>
        <w:tab w:val="right" w:leader="none" w:pos="8306"/>
      </w:tabs>
      <w:spacing/>
      <w:ind/>
      <w:jc w:val="left"/>
    </w:pPr>
    <w:rPr>
      <w:sz w:val="18"/>
    </w:rPr>
  </w:style>
  <w:style w:type="paragraph" w:styleId="658">
    <w:name w:val="Header"/>
    <w:basedOn w:val="654"/>
    <w:uiPriority w:val="0"/>
    <w:pPr>
      <w:pBdr>
        <w:top w:val="none" w:color="000000" w:sz="0" w:space="1"/>
        <w:left w:val="none" w:color="000000" w:sz="0" w:space="4"/>
        <w:bottom w:val="none" w:color="000000" w:sz="0" w:space="1"/>
        <w:right w:val="none" w:color="000000" w:sz="0" w:space="4"/>
      </w:pBdr>
      <w:tabs>
        <w:tab w:val="center" w:leader="none" w:pos="4153"/>
        <w:tab w:val="right" w:leader="none" w:pos="8306"/>
      </w:tabs>
      <w:spacing w:line="240" w:lineRule="auto"/>
      <w:ind/>
      <w:jc w:val="both"/>
      <w:outlineLvl w:val="9"/>
    </w:pPr>
    <w:rPr>
      <w:sz w:val="18"/>
    </w:rPr>
  </w:style>
  <w:style w:type="table" w:styleId="659">
    <w:name w:val="Table Grid"/>
    <w:basedOn w:val="656"/>
    <w:uiPriority w:val="0"/>
    <w:pPr>
      <w:widowControl w:val="false"/>
      <w:pBdr/>
      <w:spacing/>
      <w:ind/>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60" w:customStyle="1">
    <w:name w:val="[Normal]"/>
    <w:uiPriority w:val="99"/>
    <w:qFormat/>
    <w:pPr>
      <w:widowControl w:val="false"/>
      <w:pBdr/>
      <w:spacing/>
      <w:ind/>
    </w:pPr>
    <w:rPr>
      <w:rFonts w:ascii="宋体" w:hAnsi="Times New Roman" w:eastAsia="宋体" w:cs="宋体"/>
      <w:sz w:val="24"/>
      <w:szCs w:val="24"/>
      <w:lang w:val="en-US" w:eastAsia="zh-CN" w:bidi="ar-SA"/>
    </w:rPr>
  </w:style>
  <w:style w:type="numbering" w:styleId="1522"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Application>ONLYOFFICE/7.5.1.23</Application>
  <DocSecurity>0</DocSecurity>
  <LinksUpToDate>false</LinksUpToDate>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匿名</cp:lastModifiedBy>
  <cp:revision>1</cp:revision>
  <dcterms:created xsi:type="dcterms:W3CDTF">2023-10-30T01:20:35Z</dcterms:created>
  <dcterms:modified xsi:type="dcterms:W3CDTF">2026-01-16T01:29:42Z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30857C8BE61142E4BFD3694A685CEC83</vt:lpwstr>
  </property>
</Properties>
</file>