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40" w:lineRule="exact"/>
        <w:rPr>
          <w:rFonts w:ascii="Times New Roman" w:hAnsi="Times New Roman" w:eastAsia="宋体" w:cs="Times New Roman"/>
          <w:bCs/>
          <w:kern w:val="2"/>
          <w:sz w:val="32"/>
          <w:szCs w:val="32"/>
        </w:rPr>
      </w:pPr>
      <w:r>
        <w:rPr>
          <w:rFonts w:hint="eastAsia" w:ascii="Times New Roman" w:hAnsi="Times New Roman" w:eastAsia="宋体" w:cs="Times New Roman"/>
          <w:bCs/>
          <w:kern w:val="2"/>
          <w:sz w:val="32"/>
          <w:szCs w:val="32"/>
        </w:rPr>
        <w:t>附件3：</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保定市徐水区工信局2019年部门</w:t>
      </w:r>
    </w:p>
    <w:p>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整体支出绩效评价自评报告</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2020年8月</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_Toc4346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一、保定市徐水区工信局基本情况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_Toc1678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13</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17</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31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31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2019年部门整体支出情况开展了绩效自评价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徐水区工信局为正科级行政单位，经费保障形式为财政拨款，下设4个股室，分别为综合股、工业运行管理、工业发展规划股、科技股，主要职责有负责监测分析工业日常运行，分析全区工业运行态势和国内外工业形式；组织全区工业发展战略、规划；组织全区工业技术改造工作；提出全区工业固定资产投资规模和方向；组织申报国家、省、市相关新型工业化产业示范基地创建工作；研究全区新型工业化的战略问题；组织研究促进工业、中小企业、民营经济发展战略，提出政策建议；拟订科技创新政策措施，提出激励企业技术我不是人政策建议；统筹推进科普、软科学工作；拟订全区促进科技与金融结合政策措施并组织实施；组织申报科研项目、前期论证、组织实施、进度审查和鉴定验收工作；指导农村科技进步和农业科技园区工作，推动科技成果推广工作；拟订引进国外智力规划和政策并组织实施。承担全区中小企业和民营经济发展的宏观指导、综合协调；会同有关部门拟订促进中小企业、民营经济发展规划和政策措施；支持中小企业创业创新，推进中小企业“专精特新”发展；承担原材料工业管理工作；承担装备工业行业管理工作；承担消费品工业行业管理工作；负责推进全区军民融合深度发展；汽车工业资源的协作生产和合理布局；承担重点外国专家服务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我单位2019年部门整体支出绩效评价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我单位2019年部门整体支出绩效评价指标体系共设置4个一级指标、7个二级指标、27个三级指标，从投入、过程、产出、效果四个方面对我单位部门整体支出情况评分定级。指标体系设定满分为100分，绩效评价分值≥90为“优”；80≤分值＜90为“良”；60≤分值＜80为“合格”；60分以下为“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我单位2019年部门整体支出综合评价得分为92分，评价等级为“优”。</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我单位2019年部门预算绩效目标合理性、绩效指标明确性、“三公经费”变动率、重点支出安排率、预算完成率、“公用经费”控制率、“三公经费”控制率、政府采购执行率、资金使用合规性、决算真实性、管理制度健全性、预决算信息公开、资产管理规范性、任务实际完成率、完成及时率、质量达标率、重点工作办结率、部门整体效益等指标完成情况较好。</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1.绩效指标方面,年初绩效指标设定职责覆盖面不够广泛；绩效指标量化设定不够全面具体。</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2.政府采购方面，采购预算编制口径不明确，没有涵盖小金额的货物和服务。</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3.项目资金使用率，部分小项目的预算编制金额不够精确，支出率小于年初预算数。</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针对此次绩效评价过程中发现的问题，改进措施如下：</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今后在设置职责活动绩效指标时，结合部门职责设定绩效目标，将绩效目标细化分解为具体的工作任务数，从而使绩效目标可量化，便于对目标实现情况进行考核。</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2.强化政府采购执行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建议严格按照《中华人民共和国政府采购法》及河北省2017年《政府采购集中采购目录和限额标准》的相关规定，执行政府采购，加快预算执行进度，提高政府采购效率。</w:t>
      </w:r>
      <w:bookmarkStart w:id="1" w:name="_Toc434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3.提高项目资金使用率</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编制项目年初预算时提高预算金额的准确度，并在执行过程中及时对项目资金进行梳理，督促项目进度和资金拨付进度，应拨付的资金及时拨付，不具备条件的资金及时交回，同时，对于按规定可以结转至下年的中央及省级项目资金，在下年的项目安排时优先考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4.提高预算项目资金安排精确率</w:t>
      </w:r>
    </w:p>
    <w:p>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201</w:t>
      </w:r>
      <w:r>
        <w:rPr>
          <w:rFonts w:hint="eastAsia" w:ascii="仿宋_GB2312" w:eastAsia="仿宋_GB2312" w:cs="DengXian-Regular"/>
          <w:sz w:val="32"/>
          <w:szCs w:val="32"/>
        </w:rPr>
        <w:t>9</w:t>
      </w:r>
      <w:r>
        <w:rPr>
          <w:rFonts w:ascii="仿宋_GB2312" w:eastAsia="仿宋_GB2312" w:cs="DengXian-Regular"/>
          <w:sz w:val="32"/>
          <w:szCs w:val="32"/>
        </w:rPr>
        <w:t>年</w:t>
      </w:r>
      <w:r>
        <w:rPr>
          <w:rFonts w:hint="eastAsia" w:ascii="仿宋_GB2312" w:eastAsia="仿宋_GB2312" w:cs="DengXian-Regular"/>
          <w:sz w:val="32"/>
          <w:szCs w:val="32"/>
        </w:rPr>
        <w:t>部分</w:t>
      </w:r>
      <w:r>
        <w:rPr>
          <w:rFonts w:ascii="仿宋_GB2312" w:eastAsia="仿宋_GB2312" w:cs="DengXian-Regular"/>
          <w:sz w:val="32"/>
          <w:szCs w:val="32"/>
        </w:rPr>
        <w:t>项目支出资金使用率较低，</w:t>
      </w:r>
      <w:r>
        <w:rPr>
          <w:rFonts w:hint="eastAsia" w:ascii="仿宋_GB2312" w:eastAsia="仿宋_GB2312" w:cs="DengXian-Regular"/>
          <w:sz w:val="32"/>
          <w:szCs w:val="32"/>
        </w:rPr>
        <w:t>今后在测算项目所需资金预算时，按照政策要求，进一步测算准确，提高资金使用率</w:t>
      </w:r>
      <w:r>
        <w:rPr>
          <w:rFonts w:ascii="仿宋_GB2312" w:eastAsia="仿宋_GB2312" w:cs="DengXian-Regular"/>
          <w:sz w:val="32"/>
          <w:szCs w:val="32"/>
        </w:rPr>
        <w:t>。</w:t>
      </w:r>
    </w:p>
    <w:p>
      <w:pPr>
        <w:pStyle w:val="3"/>
        <w:spacing w:line="540" w:lineRule="exact"/>
        <w:jc w:val="center"/>
        <w:rPr>
          <w:rFonts w:ascii="黑体" w:hAnsi="黑体"/>
          <w:b w:val="0"/>
        </w:rPr>
      </w:pPr>
      <w:r>
        <w:rPr>
          <w:rFonts w:hint="eastAsia" w:ascii="黑体" w:hAnsi="黑体"/>
          <w:b w:val="0"/>
        </w:rPr>
        <w:t>第二部分   绩效评价报告</w:t>
      </w:r>
      <w:bookmarkEnd w:id="1"/>
    </w:p>
    <w:p>
      <w:pPr>
        <w:pStyle w:val="3"/>
        <w:spacing w:before="0" w:after="0" w:line="360" w:lineRule="auto"/>
        <w:ind w:firstLine="643" w:firstLineChars="200"/>
        <w:rPr>
          <w:rFonts w:ascii="楷体" w:hAnsi="楷体" w:eastAsia="楷体" w:cs="楷体"/>
        </w:rPr>
      </w:pPr>
      <w:bookmarkStart w:id="2" w:name="_Toc492652763"/>
      <w:bookmarkStart w:id="3" w:name="_Toc427"/>
      <w:r>
        <w:rPr>
          <w:rFonts w:hint="eastAsia" w:ascii="楷体" w:hAnsi="楷体" w:eastAsia="楷体" w:cs="楷体"/>
        </w:rPr>
        <w:t>一、保定市徐水区工业和信息化局基本情况</w:t>
      </w:r>
      <w:bookmarkEnd w:id="2"/>
      <w:bookmarkEnd w:id="3"/>
      <w:bookmarkStart w:id="4" w:name="_Toc492652764"/>
    </w:p>
    <w:p>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保定市徐水区人民政府办公室关于印发《保定市徐水区工业和信息化局职能配置、内设机构和人员编制规定》的通知，工信局为区政府工作部门，正科级单位，下设4个股室。根据绩效预算管理改革的相关要求，按照“部门职责—工作活动绩效目标”的层级设立了绩效预算架构，职责活动包括支持工业转型升级、促进中小企业和民营经济发展、科技创新支撑共三部分。</w:t>
      </w:r>
      <w:bookmarkStart w:id="6" w:name="_Toc465149499"/>
      <w:bookmarkStart w:id="7" w:name="_Toc492652765"/>
    </w:p>
    <w:p>
      <w:pPr>
        <w:pStyle w:val="4"/>
        <w:spacing w:before="0" w:after="0"/>
        <w:ind w:firstLine="643" w:firstLineChars="200"/>
        <w:jc w:val="both"/>
        <w:rPr>
          <w:rFonts w:ascii="仿宋_GB2312" w:hAnsi="Tahoma" w:cs="DengXian-Regular"/>
          <w:sz w:val="32"/>
        </w:rPr>
      </w:pPr>
      <w:bookmarkStart w:id="8" w:name="_Toc7075"/>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按照2019年绩效预算编制要求，工信局设置的年度发展规划总体目标为：</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以新观点、新举措、进一步加快推进工业向高端化、智能化、绿色化发展。坚持推进产业结构向中高端迈进；以智能制造为突破口，大力推进两化深度融合；坚持推进军民融合深度发展；进一步减轻企业负担，加大对中小微企业的支持；抓科技惠民，突出服务“三农”；坚持抓班子、带队伍为根本，强化党风廉政建设，以良好的精神状态和实干的工作作风，进一步解放思想、锐意进取，持续深入推进确保全年各项任务指标圆满完成。</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1.开展高新技术企业创新工作，确保高新技术企业新增5家。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2.开展科技型中小企业培育工作，确保科技型中小企业新增65家。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3.开展科技研发平台建设工作，确保科技研发平台新增1家。</w:t>
      </w:r>
      <w:bookmarkStart w:id="9" w:name="_Toc1678"/>
      <w:bookmarkStart w:id="10" w:name="_Toc465149500"/>
      <w:bookmarkStart w:id="11" w:name="_Toc49265276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4.促进民营经济发展，推动工业转型升级，确保入统规上企业新增5家，工业增加值增加5%。</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（三）部门年初预算收入及决算收入</w:t>
      </w:r>
      <w:bookmarkEnd w:id="9"/>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区工信局年初预算收入1639.83万元，均为一般公共预算拨款，其中：财政拨款1639.83万元。预算收入按功能分类包含：科学技术支出935.3万元，社会保障和就业支出252.09万元，卫生健康支出50.8万元，商业服务业支出360万元，住房保障支出41.64万元。具体预算收入详见附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2019年区工信局决算收入1983.01万元，其中：财政拨款收入1982.81万元，其他收入0.2万元（全部为利息收入）。决算收入按功能分类包含：科学技术支出</w:t>
      </w:r>
      <w:r>
        <w:rPr>
          <w:rFonts w:hint="eastAsia" w:ascii="仿宋_GB2312" w:eastAsia="仿宋_GB2312" w:cs="DengXian-Regular"/>
          <w:color w:val="FF0000"/>
          <w:sz w:val="32"/>
          <w:szCs w:val="32"/>
        </w:rPr>
        <w:t>529.55</w:t>
      </w:r>
      <w:r>
        <w:rPr>
          <w:rFonts w:hint="eastAsia" w:ascii="仿宋_GB2312" w:eastAsia="仿宋_GB2312" w:cs="DengXian-Regular"/>
          <w:sz w:val="32"/>
          <w:szCs w:val="32"/>
        </w:rPr>
        <w:t>万元，占比26.69%；社会保障和就业支出</w:t>
      </w:r>
      <w:r>
        <w:rPr>
          <w:rFonts w:hint="eastAsia" w:ascii="仿宋_GB2312" w:eastAsia="仿宋_GB2312" w:cs="DengXian-Regular"/>
          <w:color w:val="FF0000"/>
          <w:sz w:val="32"/>
          <w:szCs w:val="32"/>
        </w:rPr>
        <w:t>490.08</w:t>
      </w:r>
      <w:r>
        <w:rPr>
          <w:rFonts w:hint="eastAsia" w:ascii="仿宋_GB2312" w:eastAsia="仿宋_GB2312" w:cs="DengXian-Regular"/>
          <w:sz w:val="32"/>
          <w:szCs w:val="32"/>
        </w:rPr>
        <w:t>万元，占比24.72%；卫生健康支出</w:t>
      </w:r>
      <w:r>
        <w:rPr>
          <w:rFonts w:hint="eastAsia" w:ascii="仿宋_GB2312" w:eastAsia="仿宋_GB2312" w:cs="DengXian-Regular"/>
          <w:color w:val="FF0000"/>
          <w:sz w:val="32"/>
          <w:szCs w:val="32"/>
        </w:rPr>
        <w:t>37.71</w:t>
      </w:r>
      <w:r>
        <w:rPr>
          <w:rFonts w:hint="eastAsia" w:ascii="仿宋_GB2312" w:eastAsia="仿宋_GB2312" w:cs="DengXian-Regular"/>
          <w:sz w:val="32"/>
          <w:szCs w:val="32"/>
        </w:rPr>
        <w:t>万元，占比1.9%；资源勘探信息等支出</w:t>
      </w:r>
      <w:r>
        <w:rPr>
          <w:rFonts w:hint="eastAsia" w:ascii="仿宋_GB2312" w:eastAsia="仿宋_GB2312" w:cs="DengXian-Regular"/>
          <w:color w:val="FF0000"/>
          <w:sz w:val="32"/>
          <w:szCs w:val="32"/>
        </w:rPr>
        <w:t>634.56</w:t>
      </w:r>
      <w:r>
        <w:rPr>
          <w:rFonts w:hint="eastAsia" w:ascii="仿宋_GB2312" w:eastAsia="仿宋_GB2312" w:cs="DengXian-Regular"/>
          <w:sz w:val="32"/>
          <w:szCs w:val="32"/>
        </w:rPr>
        <w:t>万元，占比32%；商业服务业支出</w:t>
      </w:r>
      <w:r>
        <w:rPr>
          <w:rFonts w:hint="eastAsia" w:ascii="仿宋_GB2312" w:eastAsia="仿宋_GB2312" w:cs="DengXian-Regular"/>
          <w:color w:val="FF0000"/>
          <w:sz w:val="32"/>
          <w:szCs w:val="32"/>
        </w:rPr>
        <w:t>225</w:t>
      </w:r>
      <w:r>
        <w:rPr>
          <w:rFonts w:hint="eastAsia" w:ascii="仿宋_GB2312" w:eastAsia="仿宋_GB2312" w:cs="DengXian-Regular"/>
          <w:sz w:val="32"/>
          <w:szCs w:val="32"/>
        </w:rPr>
        <w:t>万元，占比11.36%；住房保障支出</w:t>
      </w:r>
      <w:r>
        <w:rPr>
          <w:rFonts w:hint="eastAsia" w:ascii="仿宋_GB2312" w:eastAsia="仿宋_GB2312" w:cs="DengXian-Regular"/>
          <w:color w:val="FF0000"/>
          <w:sz w:val="32"/>
          <w:szCs w:val="32"/>
        </w:rPr>
        <w:t>36.11</w:t>
      </w:r>
      <w:r>
        <w:rPr>
          <w:rFonts w:hint="eastAsia" w:ascii="仿宋_GB2312" w:eastAsia="仿宋_GB2312" w:cs="DengXian-Regular"/>
          <w:sz w:val="32"/>
          <w:szCs w:val="32"/>
        </w:rPr>
        <w:t>万元，占比1.82%；其他支出（2018年新增规上企业奖励支出）</w:t>
      </w:r>
      <w:r>
        <w:rPr>
          <w:rFonts w:hint="eastAsia" w:ascii="仿宋_GB2312" w:eastAsia="仿宋_GB2312" w:cs="DengXian-Regular"/>
          <w:color w:val="FF0000"/>
          <w:sz w:val="32"/>
          <w:szCs w:val="32"/>
        </w:rPr>
        <w:t>30</w:t>
      </w:r>
      <w:r>
        <w:rPr>
          <w:rFonts w:hint="eastAsia" w:ascii="仿宋_GB2312" w:eastAsia="仿宋_GB2312" w:cs="DengXian-Regular"/>
          <w:sz w:val="32"/>
          <w:szCs w:val="32"/>
        </w:rPr>
        <w:t>万元，占比1.51%。具体决算收入详见附件。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2。决算收入结构如图1。</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图1  2019年度区</w:t>
      </w:r>
      <w:r>
        <w:rPr>
          <w:rFonts w:hint="eastAsia" w:cs="DengXian-Regular" w:asciiTheme="minorEastAsia" w:hAnsiTheme="minorEastAsia" w:eastAsiaTheme="minorEastAsia"/>
          <w:b/>
          <w:sz w:val="32"/>
          <w:szCs w:val="32"/>
        </w:rPr>
        <w:t>工信局</w:t>
      </w:r>
      <w:r>
        <w:rPr>
          <w:rFonts w:hint="eastAsia" w:asciiTheme="minorEastAsia" w:hAnsiTheme="minorEastAsia" w:eastAsiaTheme="minorEastAsia" w:cstheme="minorEastAsia"/>
          <w:b/>
          <w:bCs/>
          <w:sz w:val="32"/>
          <w:szCs w:val="32"/>
        </w:rPr>
        <w:t>决算收入结构图</w:t>
      </w:r>
    </w:p>
    <w:p>
      <w:pPr>
        <w:spacing w:after="0" w:line="360" w:lineRule="auto"/>
        <w:textAlignment w:val="baseline"/>
        <w:rPr>
          <w:rFonts w:ascii="仿宋_GB2312" w:eastAsia="仿宋_GB2312" w:cs="DengXian-Regular"/>
          <w:sz w:val="32"/>
          <w:szCs w:val="32"/>
        </w:rPr>
      </w:pPr>
      <w:r>
        <w:rPr>
          <w:rFonts w:ascii="仿宋_GB2312" w:eastAsia="仿宋_GB2312" w:cs="DengXian-Regular"/>
          <w:sz w:val="32"/>
          <w:szCs w:val="32"/>
        </w:rPr>
        <w:drawing>
          <wp:inline distT="0" distB="0" distL="0" distR="0">
            <wp:extent cx="5234940" cy="3002280"/>
            <wp:effectExtent l="19050" t="0" r="22860" b="762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工信局一般公共预算财政拨款决算收入比年初预算增加343.18万元，完成年初预算的120.92%。决算收入大于年初预算收入的主要原因在于上级追加专项资金较多。</w:t>
      </w:r>
    </w:p>
    <w:p>
      <w:pPr>
        <w:spacing w:after="0" w:line="360" w:lineRule="auto"/>
        <w:jc w:val="center"/>
        <w:rPr>
          <w:rFonts w:asciiTheme="minorEastAsia" w:hAnsiTheme="minorEastAsia" w:eastAsiaTheme="minorEastAsia" w:cstheme="minorEastAsia"/>
          <w:b/>
          <w:sz w:val="32"/>
          <w:szCs w:val="32"/>
          <w:u w:color="000000"/>
        </w:rPr>
      </w:pPr>
      <w:r>
        <w:rPr>
          <w:rFonts w:hint="eastAsia" w:asciiTheme="minorEastAsia" w:hAnsiTheme="minorEastAsia" w:eastAsiaTheme="minorEastAsia" w:cstheme="minorEastAsia"/>
          <w:b/>
          <w:sz w:val="32"/>
          <w:szCs w:val="32"/>
          <w:u w:color="000000"/>
        </w:rPr>
        <w:t>图2  2019年度区</w:t>
      </w:r>
      <w:r>
        <w:rPr>
          <w:rFonts w:hint="eastAsia" w:cs="DengXian-Regular" w:asciiTheme="minorEastAsia" w:hAnsiTheme="minorEastAsia" w:eastAsiaTheme="minorEastAsia"/>
          <w:b/>
          <w:sz w:val="32"/>
          <w:szCs w:val="32"/>
        </w:rPr>
        <w:t>工信局年初</w:t>
      </w:r>
      <w:r>
        <w:rPr>
          <w:rFonts w:hint="eastAsia" w:asciiTheme="minorEastAsia" w:hAnsiTheme="minorEastAsia" w:eastAsiaTheme="minorEastAsia" w:cstheme="minorEastAsia"/>
          <w:b/>
          <w:sz w:val="32"/>
          <w:szCs w:val="32"/>
          <w:u w:color="000000"/>
        </w:rPr>
        <w:t>预算收入与决算收入对比图</w:t>
      </w:r>
    </w:p>
    <w:p>
      <w:pPr>
        <w:spacing w:after="0" w:line="360" w:lineRule="auto"/>
        <w:rPr>
          <w:rFonts w:ascii="仿宋_GB2312" w:eastAsia="仿宋_GB2312" w:cs="Times New Roman" w:hAnsiTheme="minorEastAsia"/>
          <w:bCs/>
          <w:sz w:val="32"/>
          <w:szCs w:val="32"/>
          <w:u w:color="000000"/>
        </w:rPr>
      </w:pPr>
      <w:r>
        <w:rPr>
          <w:rFonts w:ascii="仿宋_GB2312" w:eastAsia="仿宋_GB2312" w:cs="Times New Roman" w:hAnsiTheme="minorEastAsia"/>
          <w:bCs/>
          <w:sz w:val="32"/>
          <w:szCs w:val="32"/>
          <w:u w:color="000000"/>
        </w:rPr>
        <w:drawing>
          <wp:inline distT="0" distB="0" distL="0" distR="0">
            <wp:extent cx="5265420" cy="3070860"/>
            <wp:effectExtent l="19050" t="0" r="1143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4"/>
        <w:spacing w:before="0" w:after="0"/>
        <w:ind w:firstLine="643" w:firstLineChars="200"/>
        <w:jc w:val="both"/>
        <w:rPr>
          <w:rFonts w:ascii="仿宋_GB2312" w:hAnsiTheme="minorEastAsia"/>
          <w:sz w:val="32"/>
        </w:rPr>
      </w:pPr>
      <w:bookmarkStart w:id="12" w:name="_Toc18197"/>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2019年度区工信局年初</w:t>
      </w:r>
      <w:r>
        <w:rPr>
          <w:rFonts w:hint="eastAsia" w:ascii="仿宋_GB2312" w:eastAsia="仿宋_GB2312" w:cs="Times New Roman" w:hAnsiTheme="minorEastAsia"/>
          <w:sz w:val="32"/>
          <w:szCs w:val="32"/>
          <w:u w:color="000000"/>
        </w:rPr>
        <w:t>预算支出安排1639.83万元，其中：基本支出1148.21万元，项目支出491.62万元。预算支出按功能分类包含：科学技术支出935.3万元，社会保障和就业支出252.09万元，医疗卫生与计划教育支出50.8万元，商业服务业等支出360万元，住房保障支出41.64万元。具体预算支出详见附件。</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2019年度区工信局</w:t>
      </w:r>
      <w:r>
        <w:rPr>
          <w:rFonts w:hint="eastAsia" w:ascii="仿宋_GB2312" w:eastAsia="仿宋_GB2312" w:cs="Times New Roman" w:hAnsiTheme="minorEastAsia"/>
          <w:sz w:val="32"/>
          <w:szCs w:val="32"/>
          <w:u w:color="000000"/>
        </w:rPr>
        <w:t>决算支出为1739.21万元，其中：基本支出1034.15万元，项目支出705.06万元。决算支出按功能分类包含：科学技术支出537.68万元，占比30.92%；社会保障和就业支出490.45万元，占比28.2%；医疗卫生与计划教育支出37.71万元，占比2.17%；资源勘探信息等支出382.26万元，占比21.98%；商业服务业等支出225万元，占比12.94%；住房保障支出36.11万元，占比2.08%，其他支出（2018年新增规上企业奖励支出）30万元，占比1.72%。具体决算支出详见附件。</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pPr>
        <w:spacing w:after="0" w:line="360" w:lineRule="auto"/>
        <w:jc w:val="center"/>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 xml:space="preserve">图3  </w:t>
      </w:r>
      <w:r>
        <w:rPr>
          <w:rFonts w:hint="eastAsia" w:ascii="仿宋_GB2312" w:eastAsia="仿宋_GB2312" w:cs="DengXian-Regular"/>
          <w:sz w:val="32"/>
          <w:szCs w:val="32"/>
        </w:rPr>
        <w:t>2019年度区工信局</w:t>
      </w:r>
      <w:r>
        <w:rPr>
          <w:rFonts w:hint="eastAsia" w:asciiTheme="minorEastAsia" w:hAnsiTheme="minorEastAsia" w:eastAsiaTheme="minorEastAsia" w:cstheme="minorEastAsia"/>
          <w:b/>
          <w:bCs/>
          <w:sz w:val="32"/>
          <w:szCs w:val="32"/>
          <w:u w:color="000000"/>
        </w:rPr>
        <w:t>决算支出结构图</w:t>
      </w:r>
    </w:p>
    <w:p>
      <w:pPr>
        <w:spacing w:after="0" w:line="360" w:lineRule="auto"/>
        <w:rPr>
          <w:rFonts w:ascii="仿宋_GB2312" w:eastAsia="仿宋_GB2312" w:cs="Times New Roman" w:hAnsiTheme="minorEastAsia"/>
          <w:sz w:val="32"/>
          <w:szCs w:val="32"/>
          <w:u w:color="000000"/>
        </w:rPr>
      </w:pPr>
      <w:r>
        <w:rPr>
          <w:rFonts w:ascii="仿宋_GB2312" w:eastAsia="仿宋_GB2312" w:cs="Times New Roman" w:hAnsiTheme="minorEastAsia"/>
          <w:sz w:val="32"/>
          <w:szCs w:val="32"/>
          <w:u w:color="000000"/>
        </w:rPr>
        <w:drawing>
          <wp:inline distT="0" distB="0" distL="0" distR="0">
            <wp:extent cx="4572000" cy="2743200"/>
            <wp:effectExtent l="19050" t="0" r="1905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after="0" w:line="360" w:lineRule="auto"/>
        <w:ind w:firstLine="640" w:firstLineChars="200"/>
        <w:jc w:val="both"/>
        <w:rPr>
          <w:rFonts w:ascii="仿宋" w:hAnsi="仿宋" w:eastAsia="仿宋"/>
          <w:snapToGrid w:val="0"/>
          <w:sz w:val="32"/>
          <w:szCs w:val="32"/>
        </w:rPr>
      </w:pPr>
      <w:r>
        <w:rPr>
          <w:rFonts w:hint="eastAsia" w:ascii="仿宋_GB2312" w:eastAsia="仿宋_GB2312" w:cs="DengXian-Regular"/>
          <w:sz w:val="32"/>
          <w:szCs w:val="32"/>
        </w:rPr>
        <w:t>财政拨款决算支出比年初预算增加1738.89万元。决算支出完成年初预算的106.04%。</w:t>
      </w:r>
      <w:r>
        <w:rPr>
          <w:rFonts w:hint="eastAsia" w:ascii="仿宋_GB2312" w:eastAsia="仿宋_GB2312" w:cs="Times New Roman" w:hAnsiTheme="minorEastAsia"/>
          <w:sz w:val="32"/>
          <w:szCs w:val="32"/>
          <w:u w:color="000000"/>
        </w:rPr>
        <w:t>决算支出大于预算支出的</w:t>
      </w:r>
      <w:r>
        <w:rPr>
          <w:rFonts w:hint="eastAsia" w:ascii="仿宋_GB2312" w:eastAsia="仿宋_GB2312" w:cs="DengXian-Regular"/>
          <w:sz w:val="32"/>
          <w:szCs w:val="32"/>
        </w:rPr>
        <w:t>主要原因为上级追加的专项资金支出</w:t>
      </w:r>
      <w:r>
        <w:rPr>
          <w:rFonts w:hint="eastAsia" w:ascii="仿宋" w:hAnsi="仿宋" w:eastAsia="仿宋"/>
          <w:snapToGrid w:val="0"/>
          <w:sz w:val="32"/>
          <w:szCs w:val="32"/>
        </w:rPr>
        <w:t>。预算支出与决算支出对比情况如图4。</w:t>
      </w:r>
    </w:p>
    <w:p>
      <w:pPr>
        <w:spacing w:after="0"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图4  </w:t>
      </w:r>
      <w:r>
        <w:rPr>
          <w:rFonts w:hint="eastAsia" w:cs="DengXian-Regular" w:asciiTheme="minorEastAsia" w:hAnsiTheme="minorEastAsia" w:eastAsiaTheme="minorEastAsia"/>
          <w:b/>
          <w:sz w:val="32"/>
          <w:szCs w:val="32"/>
        </w:rPr>
        <w:t>2019年度区工信局</w:t>
      </w:r>
      <w:r>
        <w:rPr>
          <w:rFonts w:hint="eastAsia" w:asciiTheme="minorEastAsia" w:hAnsiTheme="minorEastAsia" w:eastAsiaTheme="minorEastAsia" w:cstheme="minorEastAsia"/>
          <w:b/>
          <w:bCs/>
          <w:sz w:val="32"/>
          <w:szCs w:val="32"/>
        </w:rPr>
        <w:t>预算支出与决算支出对比</w:t>
      </w:r>
    </w:p>
    <w:p>
      <w:pPr>
        <w:spacing w:after="0" w:line="360" w:lineRule="auto"/>
        <w:rPr>
          <w:rFonts w:asciiTheme="minorEastAsia" w:hAnsiTheme="minorEastAsia" w:eastAsiaTheme="minorEastAsia" w:cstheme="minorEastAsia"/>
          <w:b/>
          <w:bCs/>
          <w:sz w:val="32"/>
          <w:szCs w:val="32"/>
        </w:rPr>
      </w:pPr>
      <w:r>
        <w:rPr>
          <w:rFonts w:asciiTheme="minorEastAsia" w:hAnsiTheme="minorEastAsia" w:eastAsiaTheme="minorEastAsia" w:cstheme="minorEastAsia"/>
          <w:b/>
          <w:bCs/>
          <w:sz w:val="32"/>
          <w:szCs w:val="32"/>
        </w:rPr>
        <w:drawing>
          <wp:inline distT="0" distB="0" distL="0" distR="0">
            <wp:extent cx="4975860" cy="2743200"/>
            <wp:effectExtent l="19050" t="0" r="1524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4"/>
        <w:spacing w:before="0" w:after="0"/>
        <w:ind w:firstLine="643" w:firstLineChars="200"/>
        <w:jc w:val="both"/>
        <w:rPr>
          <w:rFonts w:ascii="仿宋_GB2312" w:hAnsi="Tahoma" w:cs="DengXian-Regular"/>
          <w:sz w:val="32"/>
        </w:rPr>
      </w:pPr>
      <w:bookmarkStart w:id="13" w:name="_Toc19291"/>
      <w:bookmarkStart w:id="14" w:name="_Toc492652769"/>
      <w:bookmarkStart w:id="15" w:name="_Toc465149503"/>
      <w:r>
        <w:rPr>
          <w:rFonts w:hint="eastAsia" w:ascii="仿宋_GB2312" w:hAnsi="Tahoma" w:cs="DengXian-Regular"/>
          <w:sz w:val="32"/>
        </w:rPr>
        <w:t>（五）“三公”经费预算安排及支出情况</w:t>
      </w:r>
      <w:bookmarkEnd w:id="13"/>
      <w:bookmarkEnd w:id="14"/>
      <w:bookmarkEnd w:id="15"/>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2019年区工信局“三公”经费预算12.7万元（公务用车运行维护费12万元，公务接待费0.7万元），实际支出4.37万元（公务用车运行维护费4.37万元，公务接待费0万元），比预算减少8.33万元，节约率65.59%。2019年“三公”经费预算数与2018年预算数相比无变化，决算数与2018年实际支出相比，增加0.42万元。具体详见表1。</w:t>
      </w:r>
    </w:p>
    <w:p>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表1  </w:t>
      </w:r>
      <w:r>
        <w:rPr>
          <w:rFonts w:hint="eastAsia" w:cs="DengXian-Regular" w:asciiTheme="minorEastAsia" w:hAnsiTheme="minorEastAsia" w:eastAsiaTheme="minorEastAsia"/>
          <w:b/>
          <w:sz w:val="32"/>
          <w:szCs w:val="32"/>
        </w:rPr>
        <w:t>区工信局</w:t>
      </w:r>
      <w:r>
        <w:rPr>
          <w:rFonts w:hint="eastAsia" w:asciiTheme="minorEastAsia" w:hAnsiTheme="minorEastAsia" w:eastAsiaTheme="minorEastAsia" w:cstheme="minorEastAsia"/>
          <w:b/>
          <w:bCs/>
          <w:sz w:val="32"/>
          <w:szCs w:val="32"/>
        </w:rPr>
        <w:t>“三公”经费预算及决算明细表</w:t>
      </w:r>
    </w:p>
    <w:p>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2018年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2019年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3.86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4.37</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增支0.51</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0.7</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0.09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0.7</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减支0.09</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12.7</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3.95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4.37</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增支0.42</w:t>
            </w:r>
          </w:p>
        </w:tc>
      </w:tr>
    </w:tbl>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2019年底区工信局单位车辆合计4辆，其中机要通信用车2辆，执法执勤用车2辆，其他用车0辆。2019年公务用车购置及运维费年初预算12万元，全部为公务用车运行维护费，实际支出4.37万元，比预算减少7.63万元，节约率63.58%。2019年预算数与2018年预算相比无变化，决算数与2018年实际支出相比，增加0.42万元。</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2、公务接待：2019年区工信局单位公务接待费年初预算0.7万元，实际支出0万元，比预算减少了0.7万元，节约率100%。2019年预算数与2018年预算相比无变化，决算数与2018年实际支出相比，减少支出0.09万元。</w:t>
      </w:r>
    </w:p>
    <w:p>
      <w:pPr>
        <w:pStyle w:val="3"/>
        <w:spacing w:before="0" w:after="0" w:line="360" w:lineRule="auto"/>
        <w:ind w:firstLine="643" w:firstLineChars="200"/>
        <w:rPr>
          <w:rFonts w:ascii="黑体" w:hAnsiTheme="minorEastAsia"/>
          <w:u w:color="000000"/>
        </w:rPr>
      </w:pPr>
      <w:bookmarkStart w:id="16" w:name="_Toc492652770"/>
      <w:bookmarkStart w:id="17" w:name="_Toc20454"/>
      <w:bookmarkStart w:id="18" w:name="_Toc465149504"/>
      <w:r>
        <w:rPr>
          <w:rFonts w:hint="eastAsia" w:ascii="黑体"/>
        </w:rPr>
        <w:t>二、部门整体支出绩效评价指标体系设定情况</w:t>
      </w:r>
      <w:bookmarkEnd w:id="16"/>
      <w:bookmarkEnd w:id="17"/>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根据绩效预算管理改革的有关政策和文件规定，以绩效评价指标体系框架为指导，以部门预算文本及相关资料为基础，制定了部门整体支出绩效评价指标体系。</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工信局部门整体支出绩效评价体系）。指标体系设定满分100分，绩效评价分值≥90为“优”；80≤分值＜90为“良”；60≤分值＜80为“中”；60分以下为“差”。评价指标体系具体构成如下：</w:t>
      </w:r>
      <w:bookmarkStart w:id="19" w:name="_Toc492652771"/>
      <w:bookmarkStart w:id="20" w:name="_Toc9569"/>
    </w:p>
    <w:p>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（一）投入（18分）</w:t>
      </w:r>
      <w:bookmarkEnd w:id="19"/>
      <w:bookmarkEnd w:id="20"/>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投入指标指标分值为18分，下设2个二级指标：绩效目标设定和预算配置，5个三级指标：绩效目标合理性、绩效指标明确性、在职人员控制率、“三公”经费变动率、重点支出安排率。</w:t>
      </w:r>
    </w:p>
    <w:p>
      <w:pPr>
        <w:pStyle w:val="4"/>
        <w:spacing w:before="0" w:after="0"/>
        <w:ind w:firstLine="643" w:firstLineChars="200"/>
        <w:jc w:val="both"/>
        <w:rPr>
          <w:rFonts w:ascii="楷体" w:hAnsi="楷体" w:eastAsia="楷体"/>
          <w:sz w:val="32"/>
        </w:rPr>
      </w:pPr>
      <w:bookmarkStart w:id="21" w:name="_Toc492652772"/>
      <w:bookmarkStart w:id="22" w:name="_Toc30221"/>
      <w:r>
        <w:rPr>
          <w:rFonts w:hint="eastAsia" w:ascii="楷体" w:hAnsi="楷体" w:eastAsia="楷体"/>
          <w:kern w:val="2"/>
          <w:sz w:val="32"/>
        </w:rPr>
        <w:t>（二）过程（46分）</w:t>
      </w:r>
      <w:bookmarkEnd w:id="21"/>
      <w:bookmarkEnd w:id="22"/>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36分，下设2个二级指标：预算执行和预算管理，15个三级指标：预算调整率、支付进度率、预算完成率、结转结余率、结转结余变动率、公用经费控制率、“三公”经费控制率、政府采购执行率、管理制度健全性、资金使用合规性、预算决算信息公开性、基础信息完整性、管理制度健全性、资产管理安全性、固定资产利用率。</w:t>
      </w:r>
    </w:p>
    <w:p>
      <w:pPr>
        <w:pStyle w:val="4"/>
        <w:spacing w:before="0" w:after="0"/>
        <w:ind w:firstLine="643" w:firstLineChars="200"/>
        <w:jc w:val="both"/>
        <w:rPr>
          <w:rFonts w:ascii="楷体" w:hAnsi="楷体" w:eastAsia="楷体"/>
          <w:kern w:val="2"/>
          <w:sz w:val="32"/>
        </w:rPr>
      </w:pPr>
      <w:bookmarkStart w:id="23" w:name="_Toc24932"/>
      <w:bookmarkStart w:id="24" w:name="_Toc492652773"/>
      <w:r>
        <w:rPr>
          <w:rFonts w:hint="eastAsia" w:ascii="楷体" w:hAnsi="楷体" w:eastAsia="楷体"/>
          <w:kern w:val="2"/>
          <w:sz w:val="32"/>
        </w:rPr>
        <w:t>（三）产出（20分）</w:t>
      </w:r>
      <w:bookmarkEnd w:id="23"/>
      <w:bookmarkEnd w:id="24"/>
    </w:p>
    <w:p>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主要反映部门2019年在履职尽责过程中，目标工作任务的完成情况。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产出指标指标分值为20分，下设1个二级指标：职责履行，4个三级指标：实际完成率、完成及时率、质量达标率、重点工作办结率。</w:t>
      </w:r>
    </w:p>
    <w:p>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（四）效果（16分）</w:t>
      </w:r>
      <w:bookmarkEnd w:id="25"/>
      <w:bookmarkEnd w:id="26"/>
    </w:p>
    <w:p>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效果指标指标分值16分，下设1个二级指标：履职效益，3个三级指标：经济效益、社会效益和服务对象满意度。</w:t>
      </w:r>
    </w:p>
    <w:p>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65149505"/>
      <w:bookmarkStart w:id="30" w:name="_Toc492652776"/>
    </w:p>
    <w:p>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pPr>
        <w:spacing w:after="0" w:line="360" w:lineRule="auto"/>
        <w:ind w:firstLine="640" w:firstLineChars="200"/>
        <w:jc w:val="both"/>
        <w:textAlignment w:val="baseline"/>
        <w:rPr>
          <w:rFonts w:ascii="仿宋_GB2312" w:eastAsia="仿宋_GB2312" w:cs="DengXian-Regular"/>
          <w:sz w:val="32"/>
          <w:szCs w:val="32"/>
        </w:rPr>
      </w:pPr>
      <w:bookmarkStart w:id="32" w:name="_Toc465149506"/>
      <w:bookmarkStart w:id="33" w:name="_Toc492652777"/>
      <w:r>
        <w:rPr>
          <w:rFonts w:hint="eastAsia" w:ascii="仿宋_GB2312" w:eastAsia="仿宋_GB2312" w:cs="DengXian-Regular"/>
          <w:sz w:val="32"/>
          <w:szCs w:val="32"/>
        </w:rPr>
        <w:t>通过对区工信局2019年部门整体支出绩效评价，了解部门整体资金预算情况、实际收支情况及结转结余情况；绩效目标和指标的设置及完成情况；部门履职对社会发展所带来的直接或间接影响及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w:t>
      </w:r>
      <w:r>
        <w:rPr>
          <w:rFonts w:hint="eastAsia" w:ascii="仿宋_GB2312" w:hAnsi="仿宋_GB2312" w:eastAsia="仿宋_GB2312" w:cs="仿宋_GB2312"/>
          <w:sz w:val="32"/>
          <w:szCs w:val="32"/>
        </w:rPr>
        <w:t>〈</w:t>
      </w:r>
      <w:r>
        <w:rPr>
          <w:rFonts w:hint="eastAsia" w:ascii="仿宋_GB2312" w:eastAsia="仿宋_GB2312" w:cs="DengXian-Regular"/>
          <w:sz w:val="32"/>
          <w:szCs w:val="32"/>
        </w:rPr>
        <w:t>全面实施预算绩效管理推进工作方案</w:t>
      </w:r>
      <w:r>
        <w:rPr>
          <w:rFonts w:hint="eastAsia" w:ascii="仿宋_GB2312" w:hAnsi="仿宋_GB2312" w:eastAsia="仿宋_GB2312" w:cs="仿宋_GB2312"/>
          <w:sz w:val="32"/>
          <w:szCs w:val="32"/>
        </w:rPr>
        <w:t>〉</w:t>
      </w:r>
      <w:r>
        <w:rPr>
          <w:rFonts w:hint="eastAsia" w:ascii="仿宋_GB2312" w:eastAsia="仿宋_GB2312" w:cs="DengXian-Regular"/>
          <w:sz w:val="32"/>
          <w:szCs w:val="32"/>
        </w:rPr>
        <w:t>的通知》（徐政财字〔2019〕33号）；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7.其他与部门绩效评价工作相关的文件。</w:t>
      </w:r>
      <w:bookmarkStart w:id="80" w:name="_GoBack"/>
      <w:bookmarkEnd w:id="80"/>
      <w:bookmarkStart w:id="36" w:name="_Toc492652778"/>
    </w:p>
    <w:p>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区工信局2019年部门整体支出绩效目标和指标的设置及完成情况；资金预算情况、实际收支情况及结转结余情况；部门履职对社会发展所带来的直接或间接影响及服务对象对部门履职效果的满意程度。</w:t>
      </w:r>
    </w:p>
    <w:p>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pPr>
        <w:spacing w:after="0" w:line="360" w:lineRule="auto"/>
        <w:ind w:firstLine="640" w:firstLineChars="200"/>
        <w:jc w:val="both"/>
        <w:textAlignment w:val="baseline"/>
        <w:rPr>
          <w:rFonts w:ascii="仿宋_GB2312" w:eastAsia="仿宋_GB2312" w:cs="DengXian-Regular"/>
          <w:sz w:val="32"/>
          <w:szCs w:val="32"/>
        </w:rPr>
      </w:pPr>
      <w:bookmarkStart w:id="43" w:name="_Toc422314152"/>
      <w:bookmarkStart w:id="44" w:name="_Toc421623217"/>
      <w:bookmarkStart w:id="45" w:name="_Toc492652780"/>
      <w:bookmarkStart w:id="46" w:name="_Toc46514951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pPr>
        <w:spacing w:after="0" w:line="360" w:lineRule="auto"/>
        <w:ind w:firstLine="640" w:firstLineChars="200"/>
        <w:jc w:val="both"/>
        <w:textAlignment w:val="baseline"/>
        <w:rPr>
          <w:rFonts w:ascii="仿宋_GB2312" w:eastAsia="仿宋_GB2312" w:cs="DengXian-Regular"/>
          <w:sz w:val="32"/>
          <w:szCs w:val="32"/>
        </w:rPr>
      </w:pPr>
      <w:bookmarkStart w:id="47" w:name="_Toc421623218"/>
      <w:bookmarkStart w:id="48" w:name="_Toc422314153"/>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决算表格</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pPr>
        <w:spacing w:after="0" w:line="360" w:lineRule="auto"/>
        <w:ind w:firstLine="640" w:firstLineChars="200"/>
        <w:jc w:val="both"/>
        <w:textAlignment w:val="baseline"/>
        <w:rPr>
          <w:rFonts w:ascii="仿宋_GB2312" w:eastAsia="仿宋_GB2312" w:cs="DengXian-Regular"/>
          <w:sz w:val="32"/>
          <w:szCs w:val="32"/>
        </w:rPr>
      </w:pPr>
      <w:bookmarkStart w:id="49" w:name="_Toc422314155"/>
      <w:bookmarkStart w:id="50" w:name="_Toc421623220"/>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pPr>
        <w:spacing w:after="0" w:line="360" w:lineRule="auto"/>
        <w:ind w:firstLine="640" w:firstLineChars="200"/>
        <w:jc w:val="both"/>
        <w:textAlignment w:val="baseline"/>
        <w:rPr>
          <w:rFonts w:ascii="仿宋_GB2312" w:eastAsia="仿宋_GB2312" w:cs="DengXian-Regular"/>
          <w:sz w:val="32"/>
          <w:szCs w:val="32"/>
        </w:rPr>
      </w:pPr>
      <w:bookmarkStart w:id="51" w:name="_Toc422314156"/>
      <w:bookmarkStart w:id="52" w:name="_Toc421623221"/>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本次绩效评价工作经过了制定绩效评价实施方案、收集准备相关资料、指标体系制定、组织实施、绩效评价报告撰写五个阶段。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 制定绩效评价实施方案</w:t>
      </w:r>
    </w:p>
    <w:p>
      <w:pPr>
        <w:spacing w:line="540" w:lineRule="exact"/>
        <w:ind w:firstLine="640" w:firstLineChars="200"/>
        <w:rPr>
          <w:rFonts w:ascii="仿宋_GB2312" w:eastAsia="仿宋_GB2312" w:hAnsiTheme="minorEastAsia"/>
          <w:sz w:val="32"/>
          <w:szCs w:val="32"/>
          <w:highlight w:val="yellow"/>
        </w:rPr>
      </w:pPr>
      <w:r>
        <w:rPr>
          <w:rFonts w:hint="eastAsia" w:ascii="仿宋_GB2312" w:eastAsia="仿宋_GB2312" w:cs="DengXian-Regular"/>
          <w:sz w:val="32"/>
          <w:szCs w:val="32"/>
        </w:rPr>
        <w:t>召开股级以上领导干部会议，议定：</w:t>
      </w:r>
      <w:r>
        <w:rPr>
          <w:rFonts w:hint="eastAsia" w:ascii="仿宋_GB2312" w:hAnsi="宋体" w:eastAsia="仿宋_GB2312" w:cs="Times New Roman"/>
          <w:sz w:val="32"/>
          <w:szCs w:val="32"/>
        </w:rPr>
        <w:t>成立绩效评价工作组</w:t>
      </w:r>
      <w:r>
        <w:rPr>
          <w:rFonts w:hint="eastAsia" w:ascii="仿宋_GB2312" w:eastAsia="仿宋_GB2312" w:hAnsiTheme="minorEastAsia"/>
          <w:sz w:val="32"/>
          <w:szCs w:val="32"/>
        </w:rPr>
        <w:t>事宜</w:t>
      </w:r>
      <w:r>
        <w:rPr>
          <w:rFonts w:hint="eastAsia" w:ascii="仿宋_GB2312" w:hAnsi="宋体" w:eastAsia="仿宋_GB2312" w:cs="Times New Roman"/>
          <w:sz w:val="32"/>
          <w:szCs w:val="32"/>
        </w:rPr>
        <w:t>，</w:t>
      </w:r>
      <w:r>
        <w:rPr>
          <w:rFonts w:hint="eastAsia" w:ascii="仿宋_GB2312" w:eastAsia="仿宋_GB2312" w:hAnsiTheme="minorEastAsia"/>
          <w:sz w:val="32"/>
          <w:szCs w:val="32"/>
        </w:rPr>
        <w:t>研究制定</w:t>
      </w:r>
      <w:r>
        <w:rPr>
          <w:rFonts w:hint="eastAsia" w:ascii="仿宋_GB2312" w:hAnsi="宋体" w:eastAsia="仿宋_GB2312" w:cs="Times New Roman"/>
          <w:sz w:val="32"/>
          <w:szCs w:val="32"/>
        </w:rPr>
        <w:t>绩效评价工作方案。</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2.收集准备阶段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充分收集相关资料，主要包括“三定方案”、预决算公开表格及相关资料、相关管理制度、资金使用等相关资料，为制定绩效评价实施方案和指标体系奠定了基础。</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3.确定绩效评价实施方案和体系</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结合收集的相关资料，制定区工信局部门整体支出绩效评价体系，确定部门绩效评价实施方案。</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4.组织实施阶段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区工信局开展评价工作，包括查看预决算表格、相关资料及部门工作活动绩效目标和指标；比对预决算的调整及执行情况；核查固定资产管理的规范性；核查明细账与决算报表项目的一致性；对项目产出情况进行了解查看；随机选取服务对象进行满意度调查等。根据收集的数据、资料进行核对、比较、计算，对部门整体支出进行评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5.撰写绩效评价报告</w:t>
      </w:r>
      <w:bookmarkStart w:id="54" w:name="_Toc465149511"/>
      <w:bookmarkStart w:id="55" w:name="_Toc492652781"/>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区工信局部门整体支出绩效评价总得分为92分，综合绩效评价等级为“优”。各项得分情况如下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投入（18分）</w:t>
      </w:r>
      <w:bookmarkEnd w:id="59"/>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该一级指标包含绩效目标设定和预算配置两个二级指标，主要反映绩效目标设定是否合理、科学，绩效指标的制定是否清晰、可衡量，预算编制是否完整，“三公经费”变动、重点支出安排及在职人员控制情况。</w:t>
      </w:r>
      <w:r>
        <w:rPr>
          <w:rFonts w:hint="eastAsia" w:ascii="仿宋_GB2312" w:eastAsia="仿宋_GB2312" w:cs="Times New Roman" w:hAnsiTheme="minorEastAsia"/>
          <w:sz w:val="32"/>
          <w:szCs w:val="32"/>
          <w:u w:color="000000"/>
        </w:rPr>
        <w:tab/>
      </w: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247"/>
        <w:gridCol w:w="2410"/>
        <w:gridCol w:w="738"/>
        <w:gridCol w:w="15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247"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2410"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738"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530"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（18分）</w:t>
            </w:r>
          </w:p>
        </w:tc>
        <w:tc>
          <w:tcPr>
            <w:tcW w:w="1247" w:type="dxa"/>
            <w:vMerge w:val="restart"/>
            <w:vAlign w:val="center"/>
          </w:tcPr>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目标设定（7分）</w:t>
            </w:r>
          </w:p>
        </w:tc>
        <w:tc>
          <w:tcPr>
            <w:tcW w:w="2410"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738"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530"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247"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2410"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738"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530"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247"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（11分）</w:t>
            </w:r>
          </w:p>
        </w:tc>
        <w:tc>
          <w:tcPr>
            <w:tcW w:w="2410"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738"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p>
        </w:tc>
        <w:tc>
          <w:tcPr>
            <w:tcW w:w="1530"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247"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2410"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“三公经费”变动率</w:t>
            </w:r>
          </w:p>
        </w:tc>
        <w:tc>
          <w:tcPr>
            <w:tcW w:w="738"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530"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247"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2410"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重点支出安排率</w:t>
            </w:r>
          </w:p>
        </w:tc>
        <w:tc>
          <w:tcPr>
            <w:tcW w:w="738"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530"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806" w:type="dxa"/>
            <w:gridSpan w:val="2"/>
            <w:vAlign w:val="center"/>
          </w:tcPr>
          <w:p>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2410" w:type="dxa"/>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738"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w:t>
            </w:r>
          </w:p>
        </w:tc>
        <w:tc>
          <w:tcPr>
            <w:tcW w:w="1530"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w:t>
            </w:r>
          </w:p>
        </w:tc>
      </w:tr>
    </w:tbl>
    <w:p>
      <w:pPr>
        <w:spacing w:after="0" w:line="360" w:lineRule="auto"/>
        <w:ind w:firstLine="640" w:firstLineChars="200"/>
        <w:jc w:val="both"/>
        <w:textAlignment w:val="baseline"/>
        <w:rPr>
          <w:rFonts w:ascii="仿宋_GB2312" w:eastAsia="仿宋_GB2312" w:cs="DengXian-Regular"/>
          <w:sz w:val="32"/>
          <w:szCs w:val="32"/>
        </w:rPr>
      </w:pPr>
      <w:bookmarkStart w:id="60" w:name="_Toc464638478"/>
      <w:bookmarkStart w:id="61" w:name="_Toc465149513"/>
      <w:r>
        <w:rPr>
          <w:rFonts w:hint="eastAsia" w:ascii="仿宋_GB2312" w:eastAsia="仿宋_GB2312" w:cs="DengXian-Regular"/>
          <w:sz w:val="32"/>
          <w:szCs w:val="32"/>
        </w:rPr>
        <w:t>1.绩效目标设定（7分）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工业和信息化局职能配置、内设机构和人员编制规定》和徐水区工业和信息化局2019年预算文本—部门职责工作活动绩效目标及绩效目标一览表，评价区工信局部门职责符合“三定”方案中所赋予的职责，绩效目标设立依据充分，符合客观实际，与部门职责、工作规划和重点工作相关，工作活动和项目预算安排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（3）绩效指标明确性（4分）</w:t>
      </w:r>
    </w:p>
    <w:p>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根据区工业和信息化局2019年预算文本—部门职责工作活动绩效目标及绩效目标一览表,该指标实际得分4分。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2.预算配置（11分）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（1）在职人员控制率（1分）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该指标主要考核截至2019年底区工信局在职人员控制情况，通过在职人员控制率衡量。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工业和信息化职能配置、内设机构和人员编制规定》的通知，徐水区工信局人员编制为12人，根据区工信局2019年决算-部门基本数字表，截至2019年底，在职人员43人，在职人员控制率=（43/12）*100%=358.33%。</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（2）“三公经费”变动率（5分）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该指标主要评价编报的“三公经费”支出预算与上年度“三公经费”预算相比增减变化情况，通过“三公经费”变动率衡量。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“三公经费”变动率=（2019年“三公经费”预算金额-2018年“三公经费”预算金额）/2018年“三公经费”预算金额×100%。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根据区工信局2018年和2019年预算文本—部门“三公经费”预算表，区工信局2018年和2019年“三公经费”预算金额均为12.7万元，相比无增减变化。“三公经费”变动率=（12.7-12.7）/12.7*100%=0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（3）重点支出安排率（5分）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该指标主要评价2019年重点项目支出所占项目总支出的比重，通过重点支出安排率衡量。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重点支出安排率=（重点项目支出/项目总支出）×100%。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根据区工信局2019年项目支出决算表，区工信局2019年项目总支出705.06万元，其中重点项目支出692.06万元。重点支出安排率=（692.06/705.06）*100%=98.16%。</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bookmarkEnd w:id="60"/>
    <w:bookmarkEnd w:id="61"/>
    <w:p>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（二）过程（46分）</w:t>
      </w:r>
      <w:bookmarkEnd w:id="62"/>
    </w:p>
    <w:p>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资产管理三个二级指标，主要反映预算调整、收入支出完成情况，“三公”经费、政府采购执行情况，财务管理是否规范、资金使用是否合规、资产管理是否全面及决算的真实性。</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过程（46分）</w:t>
            </w: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（23分）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支付进度率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结转结余变动率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公用经费控制率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（13分）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资产管理安全性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固定资产利用率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pPr>
              <w:spacing w:line="420" w:lineRule="exact"/>
              <w:jc w:val="center"/>
              <w:rPr>
                <w:rFonts w:cs="宋体" w:asciiTheme="minorEastAsia" w:hAnsiTheme="minorEastAsia" w:eastAsiaTheme="minorEastAsia"/>
                <w:sz w:val="21"/>
                <w:szCs w:val="21"/>
              </w:rPr>
            </w:pP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41</w:t>
            </w:r>
          </w:p>
        </w:tc>
      </w:tr>
      <w:bookmarkEnd w:id="63"/>
    </w:tbl>
    <w:p>
      <w:pPr>
        <w:spacing w:after="0" w:line="360" w:lineRule="auto"/>
        <w:ind w:firstLine="640" w:firstLineChars="200"/>
        <w:jc w:val="both"/>
        <w:textAlignment w:val="baseline"/>
        <w:rPr>
          <w:rFonts w:ascii="仿宋_GB2312" w:eastAsia="仿宋_GB2312" w:cs="DengXian-Regular"/>
          <w:sz w:val="32"/>
          <w:szCs w:val="32"/>
        </w:rPr>
      </w:pPr>
      <w:bookmarkStart w:id="64" w:name="_Toc464638487"/>
      <w:bookmarkStart w:id="65" w:name="_Toc465149514"/>
      <w:r>
        <w:rPr>
          <w:rFonts w:hint="eastAsia" w:ascii="仿宋_GB2312" w:eastAsia="仿宋_GB2312" w:cs="DengXian-Regular"/>
          <w:sz w:val="32"/>
          <w:szCs w:val="32"/>
        </w:rPr>
        <w:t>1.预算执行（23分）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（1）预算调整率（2分）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工信局的预算指标文件，其中主要几项：徐财预指[2019]2-1173号追减上级提前下达中央外经贸发展专项资金160万元；徐财预指[2019]2-1063号追加上级下达2019年省级工业转型升级（技改）资金320万元；徐财预指[2019]2-1146号号追加上级下达2019年省级工业转型升级（技改）专项资金285万元。区工信局预算调整主要原因为上级下达的专项资金增加及机构改革部门职责划转导致的项目资金调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（2）支付进度率（1分）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该指标主要评价部门支出进度的完成情况，用以反映部门预算支出的完成程度，通过支付进度率衡量。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支付进度率=（实际支付进度/既定支付进度）×100%。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根据徐政财字【2019】76号文件，区工信局2019年9月支出进度56%，落后时间进度19个百分点。</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（3）预算完成率（1分）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该指标主要评价2019年部门实际完成的预算数完成财政部门批复的年初预算数情况，通过预算完成率衡量。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预算完成率=（预算完成数/年初预算数）*100%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根据区工信2019年预算文本及相关表格，2019年年初财政部门批复预算1639.83万元，实际完成预算1983.01万元。预算完成率=1639.83/1983.01*100%=120.93%。</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该指标实际得分1分。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（4）结转结余率（1分）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该指标主要评价部门结转结余数占支出预算数的比重，通过结转结余率来衡量。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结转结余率=（结转结余总额/支出预算数）*100%。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根据区工信局2019年部门决算总表，区工信局2019年部门总支出1739.21万元，结转结余256.17万元。结转结余率=（256.17/1739.21）*100%=14.73%。</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（5)结转结余变动率（1分）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该指标主要评价2019年结转结余资金总额较2018年结转结余资金总额增减变化情况，通过结转结余变动率来衡量。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结转结余变动率=（本年度结转结余总额-上年度结转结余总额）/上年度结转结余资金总额/100%。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根据2018年和2019年决算收支总表，区工信局2018年结转结余资金总额46.29万元，2019年结转结余资金总额256.17万元。结转结余变动率=（256.17-46.29）/46.29*100%=453.4%。</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（6）公用经费控制率（5分）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该指标主要评价公用经费是否得到有效控制，通过公用经费控制率来衡量。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公用经费控制率=（实际支出公用经费总额/预算安排公用经费总额）*100%。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根据区工信局2019年预算决算相关表格资料，公用经费年初预算68.35万元，实际支出公用经费64.78万元。公用经费控制率=（64.78/68.35）*100%=94.78%</w:t>
      </w:r>
      <w:r>
        <w:rPr>
          <w:rFonts w:ascii="Arial" w:hAnsi="Arial" w:eastAsia="仿宋_GB2312" w:cs="Arial"/>
          <w:sz w:val="32"/>
          <w:szCs w:val="32"/>
        </w:rPr>
        <w:t>≤</w:t>
      </w:r>
      <w:r>
        <w:rPr>
          <w:rFonts w:hint="eastAsia" w:ascii="仿宋_GB2312" w:eastAsia="仿宋_GB2312" w:cs="DengXian-Regular"/>
          <w:sz w:val="32"/>
          <w:szCs w:val="32"/>
        </w:rPr>
        <w:t>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（7）“三公”经费控制率（10分）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根据区工信局2019年预算文本及决算文本资料，“三公”经费年初预算数12.7万元，年末决算数4.37万元，“三公”经费控制率=（4.37/12.7）*100%=34.41%</w:t>
      </w:r>
      <w:r>
        <w:rPr>
          <w:rFonts w:ascii="Arial" w:hAnsi="Arial" w:eastAsia="仿宋_GB2312" w:cs="Arial"/>
          <w:sz w:val="32"/>
          <w:szCs w:val="32"/>
        </w:rPr>
        <w:t>≤</w:t>
      </w:r>
      <w:r>
        <w:rPr>
          <w:rFonts w:hint="eastAsia" w:ascii="仿宋_GB2312" w:eastAsia="仿宋_GB2312" w:cs="DengXian-Regular"/>
          <w:sz w:val="32"/>
          <w:szCs w:val="32"/>
        </w:rPr>
        <w:t>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该指标实际得分10分。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（8）政府采购执行率（2分）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根据区工信局2019年预算文本及决算文本相关表格，政府采购年初预算数31.47万元，年末决算数27.22万元，政府采购执行率为86.5%。</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区工信局工作制度涵盖了财务制度、专项资金管理制度、会计核算制度等相关制度，并制定了各项业务开展流程图，管理制度及业务流程比较健全规范。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（2）资金使用合规性（5分）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工信局2019年明细账、会计凭证等相关资料，区工信局资金使用符合相关会计准则和财务制度，资金拨付有完备的审批程序和手续，资金使用符合部门预算批复的用途，未发现截留、挤占、挪用财政资金的情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（3）预决算信息公开性（2分）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区工信局2019年按政府信息公开的有关要求在保定市徐水区人民政府网公开了2019年的预决算情况、部门责任清单等相关信息。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（4）基础信息完善性（4分）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根据区工信局的会计账簿、凭证及其他相关资料，区工信局会计信息资料真实完整，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3.资产管理（10分）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该指标主要评价是否制定了资产管理制度；资金管理制度是否合规、合法、完整；各项管理制度是否得到有效执行。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区工信局制定了固定资产管理制度、专项资金管理制度等各项制度，并制定了采购、报销及固定资产报废处置等各项业务流程图，管理制度全面有效执行。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（2）资产管理安全性（5分）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该指标主要评价资产保存是否完整，资产配置是否合规，资产处置是否规范，资产管理是否合规，是否账实相符，资产有偿使用及处置收入是否及时足额上缴。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区工信局建立了固定资产台账、无形资产台账，资产保存完整，资产购置手续完备，配置符合要求，资产处置合规、合法，处置收入及时上缴了财政，资产管理整体较规范。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（3）固定资产利用率（2）分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该指标主要评价部门固定资产的实际使用情况，用固定资产利用率来衡量。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固定资产利用率=（实际在用固定资产总额/所有固定资产总额）*100%。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区工信局2019年末实际使用固定资产总额为109.3万元，所有固定资产总额为139.34万元。固定资产利用率为78.44%。</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该项指标实际得分0分。</w:t>
      </w:r>
    </w:p>
    <w:bookmarkEnd w:id="64"/>
    <w:bookmarkEnd w:id="65"/>
    <w:p>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（三）产出（20分）</w:t>
      </w:r>
      <w:bookmarkEnd w:id="6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该一级指标包含责任履行一个二级指标，主要反映2019年区工信局在部门履职尽责中工作任务的完成情况。</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（20分）</w:t>
            </w:r>
          </w:p>
        </w:tc>
        <w:tc>
          <w:tcPr>
            <w:tcW w:w="1004" w:type="dxa"/>
            <w:vMerge w:val="restart"/>
            <w:tcBorders>
              <w:top w:val="single" w:color="000000" w:sz="4" w:space="0"/>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职责履行（20分）</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实际完成率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完成及时率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质量达标率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重点工作办结率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20</w:t>
            </w:r>
          </w:p>
        </w:tc>
      </w:tr>
    </w:tbl>
    <w:p>
      <w:pPr>
        <w:spacing w:after="0" w:line="360" w:lineRule="auto"/>
        <w:ind w:firstLine="640" w:firstLineChars="200"/>
        <w:jc w:val="both"/>
        <w:textAlignment w:val="baseline"/>
        <w:rPr>
          <w:rFonts w:ascii="仿宋_GB2312" w:eastAsia="仿宋_GB2312" w:cs="DengXian-Regular"/>
          <w:sz w:val="32"/>
          <w:szCs w:val="32"/>
        </w:rPr>
      </w:pPr>
      <w:bookmarkStart w:id="67" w:name="_Toc464638518"/>
      <w:bookmarkStart w:id="68" w:name="_Toc465149515"/>
      <w:r>
        <w:rPr>
          <w:rFonts w:hint="eastAsia" w:ascii="仿宋_GB2312" w:eastAsia="仿宋_GB2312" w:cs="DengXian-Regular"/>
          <w:sz w:val="32"/>
          <w:szCs w:val="32"/>
        </w:rPr>
        <w:t>1.实际完成率（5分）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该指标主要评价部门2019年履职尽责中计划工作任务完成情况。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区工信局2019年超额完成了高新技术企业培育、科技型中小企业培育、科技研发平台建设、规上企业培育及“专精特新”中小企业培育等几方面的工作，实际完成率达到95%以上。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2.完成及时率（5分）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该指标主要评价2019年区工信局部门在履职尽责中及时完成的实际工作情况。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区工信局2019年按预期计划完成了高新技术企业培育、科技型中小企业培育、科技研发平台建设、规上企业培育及“专精特新”中小企业培育等几方面的工作，及时完成率达到95%以上。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3.质量达标率（5分）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该指标主要评价2019年区工信局部门在履职尽责中质量达标的实际工作完成情况。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区工信局2019年超额完成了高新技术企业培育19家、科技型中小企业培育85家、科技研发平台建设2个、规上企业培育7家等几方面的工作，均质量达标，质量达标率达到95%以上。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4.重点工作办结率（5分）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该项指标主要评价2019年党委、政府、人大、相关部门交办或下达的工作任务。</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2019年区工信局圆满完成了人大建议、政协提案工作，重点工作办结率达到95%以上。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（16分）</w:t>
      </w:r>
      <w:bookmarkEnd w:id="69"/>
    </w:p>
    <w:p>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经济效益</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社会效益</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r>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14</w:t>
            </w:r>
          </w:p>
        </w:tc>
      </w:tr>
      <w:bookmarkEnd w:id="70"/>
    </w:tbl>
    <w:p>
      <w:pPr>
        <w:spacing w:after="0" w:line="360" w:lineRule="auto"/>
        <w:ind w:firstLine="640" w:firstLineChars="200"/>
        <w:jc w:val="both"/>
        <w:textAlignment w:val="baseline"/>
        <w:rPr>
          <w:rFonts w:ascii="仿宋_GB2312" w:eastAsia="仿宋_GB2312" w:cs="DengXian-Regular"/>
          <w:sz w:val="32"/>
          <w:szCs w:val="32"/>
        </w:rPr>
      </w:pPr>
      <w:bookmarkStart w:id="71" w:name="_Toc492652784"/>
      <w:bookmarkStart w:id="72" w:name="_Toc465149516"/>
      <w:bookmarkStart w:id="73" w:name="_Toc464638561"/>
      <w:r>
        <w:rPr>
          <w:rFonts w:hint="eastAsia" w:ascii="仿宋_GB2312" w:eastAsia="仿宋_GB2312" w:cs="DengXian-Regular"/>
          <w:sz w:val="32"/>
          <w:szCs w:val="32"/>
        </w:rPr>
        <w:t>1.经济效益（3分）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该指标主要评价部门履行职责对社会发展所带来的直接或间接的经济效益。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依据区工信局2019年绩效目标一览表等相关资料，区工信局2019年超额完成了高新技术企业培育19家、科技型中小企业培育85家、科技研发平台建设2个、规上企业培育7家等几方面的工作。工业增加值未实现正增长。</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2.社会效益（3分）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该指标主要评价部门履行职责对社会发展所带来的直接或间接的社会效益。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依据区工信局2019年绩效目标一览表等相关资料，区工信局2019年超额完成了高新技术企业培育19家、科技型中小企业培育85家、科技研发平台建设2个、规上企业培育7家等几方面的工作。激励了企业及社会公众的科技创新意识，提升了企业科技创新能力。</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3.考评满意度（10分）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针对该指标，我们随机选取了30个调查对象进行了问卷调查，具体调查情况如下：</w:t>
      </w: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总人数</w:t>
            </w:r>
          </w:p>
        </w:tc>
        <w:tc>
          <w:tcPr>
            <w:tcW w:w="881"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科技项目推荐申报工作</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2900</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50</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30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98.33</w:t>
            </w:r>
          </w:p>
        </w:tc>
      </w:tr>
      <w:tr>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科技扶贫工作</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2600</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200</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30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93.33</w:t>
            </w:r>
          </w:p>
        </w:tc>
      </w:tr>
      <w:tr>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科普宣传工作</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2900</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50</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30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98.33</w:t>
            </w:r>
          </w:p>
        </w:tc>
      </w:tr>
    </w:tbl>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经计算，总体得分为96.66分，大于90分，评价等级为“优秀”。</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该指标实际得分10分。</w:t>
      </w:r>
    </w:p>
    <w:p>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区工信局</w:t>
      </w:r>
      <w:r>
        <w:rPr>
          <w:rFonts w:hint="eastAsia" w:ascii="仿宋_GB2312" w:eastAsia="仿宋_GB2312" w:cs="Times New Roman" w:hAnsiTheme="minorEastAsia"/>
          <w:sz w:val="32"/>
          <w:szCs w:val="32"/>
          <w:u w:color="000000"/>
        </w:rPr>
        <w:t>2019年部门整体支出基本按相关要求执行预算、决算，完成了绩效目标，资金使用效益良好。通过评价，也发现一些不足之处，具体情况如下：</w:t>
      </w:r>
      <w:bookmarkStart w:id="76" w:name="_Toc20723"/>
    </w:p>
    <w:bookmarkEnd w:id="75"/>
    <w:bookmarkEnd w:id="76"/>
    <w:p>
      <w:pPr>
        <w:spacing w:after="0" w:line="360" w:lineRule="auto"/>
        <w:ind w:firstLine="640" w:firstLineChars="200"/>
        <w:jc w:val="both"/>
        <w:textAlignment w:val="baseline"/>
        <w:rPr>
          <w:rFonts w:ascii="仿宋_GB2312" w:eastAsia="仿宋_GB2312" w:cs="DengXian-Regular"/>
          <w:sz w:val="32"/>
          <w:szCs w:val="32"/>
        </w:rPr>
      </w:pPr>
      <w:bookmarkStart w:id="77" w:name="_Toc465149521"/>
      <w:r>
        <w:rPr>
          <w:rFonts w:hint="eastAsia" w:ascii="仿宋_GB2312" w:eastAsia="仿宋_GB2312" w:cs="DengXian-Regular"/>
          <w:sz w:val="32"/>
          <w:szCs w:val="32"/>
        </w:rPr>
        <w:t>1.绩效指标方面,年初绩效指标设定职责覆盖面不够广泛；绩效指标量化设定不够全面具体。</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2.政府采购方面，采购预算编制口径不明确，没有涵盖小金额的货物和服务。</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3.项目资金使用率，部分小项目的预算编制金额不够精确，支出率小于年初预算数。</w:t>
      </w:r>
    </w:p>
    <w:p>
      <w:pPr>
        <w:spacing w:after="0" w:line="360" w:lineRule="auto"/>
        <w:jc w:val="both"/>
        <w:textAlignment w:val="baseline"/>
        <w:rPr>
          <w:rFonts w:ascii="仿宋_GB2312" w:eastAsia="仿宋_GB2312" w:cs="Times New Roman" w:hAnsiTheme="minorEastAsia"/>
          <w:sz w:val="32"/>
          <w:szCs w:val="32"/>
          <w:u w:color="000000"/>
        </w:rPr>
      </w:pPr>
    </w:p>
    <w:p>
      <w:pPr>
        <w:spacing w:after="0" w:line="360" w:lineRule="auto"/>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附件：1.保定市徐水</w:t>
      </w:r>
      <w:r>
        <w:rPr>
          <w:rFonts w:hint="eastAsia" w:ascii="仿宋_GB2312" w:eastAsia="仿宋_GB2312" w:cs="DengXian-Regular"/>
          <w:sz w:val="32"/>
          <w:szCs w:val="32"/>
        </w:rPr>
        <w:t>区工信局</w:t>
      </w:r>
      <w:r>
        <w:rPr>
          <w:rFonts w:hint="eastAsia" w:ascii="仿宋_GB2312" w:eastAsia="仿宋_GB2312" w:cs="Times New Roman" w:hAnsiTheme="minorEastAsia"/>
          <w:sz w:val="32"/>
          <w:szCs w:val="32"/>
          <w:u w:color="000000"/>
        </w:rPr>
        <w:t>部门基本情况及主要职责</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2.2019年度保定市徐水区</w:t>
      </w:r>
      <w:r>
        <w:rPr>
          <w:rFonts w:hint="eastAsia" w:ascii="仿宋_GB2312" w:eastAsia="仿宋_GB2312" w:cs="DengXian-Regular"/>
          <w:sz w:val="32"/>
          <w:szCs w:val="32"/>
        </w:rPr>
        <w:t>工信局</w:t>
      </w:r>
      <w:r>
        <w:rPr>
          <w:rFonts w:hint="eastAsia" w:ascii="仿宋_GB2312" w:eastAsia="仿宋_GB2312" w:cs="Times New Roman" w:hAnsiTheme="minorEastAsia"/>
          <w:sz w:val="32"/>
          <w:szCs w:val="32"/>
          <w:u w:color="000000"/>
        </w:rPr>
        <w:t>收支预算及决算明细表</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34"/>
      <w:r>
        <w:rPr>
          <w:rFonts w:hint="eastAsia" w:ascii="仿宋_GB2312" w:eastAsia="仿宋_GB2312" w:cs="Times New Roman" w:hAnsiTheme="minorEastAsia"/>
          <w:sz w:val="32"/>
          <w:szCs w:val="32"/>
          <w:u w:color="000000"/>
        </w:rPr>
        <w:t>3.</w:t>
      </w:r>
      <w:bookmarkEnd w:id="78"/>
      <w:r>
        <w:rPr>
          <w:rFonts w:hint="eastAsia" w:ascii="仿宋_GB2312" w:eastAsia="仿宋_GB2312" w:cs="Times New Roman" w:hAnsiTheme="minorEastAsia"/>
          <w:sz w:val="32"/>
          <w:szCs w:val="32"/>
          <w:u w:color="000000"/>
        </w:rPr>
        <w:t>部门整体支出绩效评价指标体系</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9" w:name="_Toc465149544"/>
      <w:r>
        <w:rPr>
          <w:rFonts w:hint="eastAsia" w:ascii="仿宋_GB2312" w:eastAsia="仿宋_GB2312" w:cs="Times New Roman" w:hAnsiTheme="minorEastAsia"/>
          <w:sz w:val="32"/>
          <w:szCs w:val="32"/>
          <w:u w:color="000000"/>
        </w:rPr>
        <w:t>4.</w:t>
      </w:r>
      <w:bookmarkEnd w:id="79"/>
      <w:r>
        <w:rPr>
          <w:rFonts w:hint="eastAsia" w:ascii="仿宋_GB2312" w:eastAsia="仿宋_GB2312" w:cs="Times New Roman" w:hAnsiTheme="minorEastAsia"/>
          <w:sz w:val="32"/>
          <w:szCs w:val="32"/>
          <w:u w:color="000000"/>
        </w:rPr>
        <w:t>2019年徐水区</w:t>
      </w:r>
      <w:r>
        <w:rPr>
          <w:rFonts w:hint="eastAsia" w:ascii="仿宋_GB2312" w:eastAsia="仿宋_GB2312" w:cs="DengXian-Regular"/>
          <w:sz w:val="32"/>
          <w:szCs w:val="32"/>
        </w:rPr>
        <w:t>工信局</w:t>
      </w:r>
      <w:r>
        <w:rPr>
          <w:rFonts w:hint="eastAsia" w:ascii="仿宋_GB2312" w:eastAsia="仿宋_GB2312" w:cs="Times New Roman" w:hAnsiTheme="minorEastAsia"/>
          <w:sz w:val="32"/>
          <w:szCs w:val="32"/>
          <w:u w:color="000000"/>
        </w:rPr>
        <w:t>工作活动绩效目标、绩效指标一览表</w:t>
      </w:r>
      <w:bookmarkEnd w:id="77"/>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DengXian-Regular">
    <w:altName w:val="宋体"/>
    <w:panose1 w:val="00000000000000000000"/>
    <w:charset w:val="86"/>
    <w:family w:val="auto"/>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7</w:t>
    </w:r>
    <w:r>
      <w:rPr>
        <w:lang w:val="zh-CN"/>
      </w:rPr>
      <w:fldChar w:fldCharType="end"/>
    </w:r>
  </w:p>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04179"/>
    <w:rsid w:val="0000439F"/>
    <w:rsid w:val="00007CA0"/>
    <w:rsid w:val="00015C39"/>
    <w:rsid w:val="000174D3"/>
    <w:rsid w:val="000223AD"/>
    <w:rsid w:val="0002415F"/>
    <w:rsid w:val="00025620"/>
    <w:rsid w:val="0002705B"/>
    <w:rsid w:val="000317D7"/>
    <w:rsid w:val="00032B03"/>
    <w:rsid w:val="000334C2"/>
    <w:rsid w:val="0003450B"/>
    <w:rsid w:val="0003465E"/>
    <w:rsid w:val="00034910"/>
    <w:rsid w:val="0003506D"/>
    <w:rsid w:val="000409C0"/>
    <w:rsid w:val="0004123E"/>
    <w:rsid w:val="000430DB"/>
    <w:rsid w:val="00044599"/>
    <w:rsid w:val="000446E5"/>
    <w:rsid w:val="00044A25"/>
    <w:rsid w:val="00047D7B"/>
    <w:rsid w:val="000509B6"/>
    <w:rsid w:val="00050A62"/>
    <w:rsid w:val="000516BA"/>
    <w:rsid w:val="00051DBC"/>
    <w:rsid w:val="00052010"/>
    <w:rsid w:val="00061096"/>
    <w:rsid w:val="000612A2"/>
    <w:rsid w:val="00063117"/>
    <w:rsid w:val="0006350D"/>
    <w:rsid w:val="00072BF5"/>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64D"/>
    <w:rsid w:val="000F4432"/>
    <w:rsid w:val="000F465E"/>
    <w:rsid w:val="000F5E8C"/>
    <w:rsid w:val="001000B2"/>
    <w:rsid w:val="00104C6C"/>
    <w:rsid w:val="0010560E"/>
    <w:rsid w:val="0010612A"/>
    <w:rsid w:val="00106FF7"/>
    <w:rsid w:val="00107111"/>
    <w:rsid w:val="001073D6"/>
    <w:rsid w:val="00107819"/>
    <w:rsid w:val="001136A4"/>
    <w:rsid w:val="0011574B"/>
    <w:rsid w:val="00116132"/>
    <w:rsid w:val="00117B9C"/>
    <w:rsid w:val="00117E7D"/>
    <w:rsid w:val="00120EA6"/>
    <w:rsid w:val="00122196"/>
    <w:rsid w:val="0012439D"/>
    <w:rsid w:val="0012587C"/>
    <w:rsid w:val="00132DE1"/>
    <w:rsid w:val="0013567B"/>
    <w:rsid w:val="0013591D"/>
    <w:rsid w:val="00141DE8"/>
    <w:rsid w:val="00144105"/>
    <w:rsid w:val="00145B4E"/>
    <w:rsid w:val="001544E1"/>
    <w:rsid w:val="001551CE"/>
    <w:rsid w:val="001614DA"/>
    <w:rsid w:val="00164732"/>
    <w:rsid w:val="00164FE1"/>
    <w:rsid w:val="001703D7"/>
    <w:rsid w:val="001719D0"/>
    <w:rsid w:val="00172245"/>
    <w:rsid w:val="0017403C"/>
    <w:rsid w:val="00174241"/>
    <w:rsid w:val="00176E7D"/>
    <w:rsid w:val="001804B7"/>
    <w:rsid w:val="001827F5"/>
    <w:rsid w:val="00182873"/>
    <w:rsid w:val="00183C43"/>
    <w:rsid w:val="00185652"/>
    <w:rsid w:val="0018615D"/>
    <w:rsid w:val="00187750"/>
    <w:rsid w:val="00190292"/>
    <w:rsid w:val="001926B8"/>
    <w:rsid w:val="0019341A"/>
    <w:rsid w:val="001952EC"/>
    <w:rsid w:val="001A0F7A"/>
    <w:rsid w:val="001A1677"/>
    <w:rsid w:val="001A51CE"/>
    <w:rsid w:val="001A5FD3"/>
    <w:rsid w:val="001B0380"/>
    <w:rsid w:val="001B04A4"/>
    <w:rsid w:val="001B2403"/>
    <w:rsid w:val="001B30D5"/>
    <w:rsid w:val="001B382A"/>
    <w:rsid w:val="001B5C88"/>
    <w:rsid w:val="001B6CE6"/>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36F8"/>
    <w:rsid w:val="001F6236"/>
    <w:rsid w:val="00200051"/>
    <w:rsid w:val="00202D5A"/>
    <w:rsid w:val="00205F02"/>
    <w:rsid w:val="0021307B"/>
    <w:rsid w:val="002142B8"/>
    <w:rsid w:val="002161F4"/>
    <w:rsid w:val="00216E75"/>
    <w:rsid w:val="00221907"/>
    <w:rsid w:val="00222FA8"/>
    <w:rsid w:val="0022532A"/>
    <w:rsid w:val="002261E1"/>
    <w:rsid w:val="00227AFB"/>
    <w:rsid w:val="00235741"/>
    <w:rsid w:val="00236B18"/>
    <w:rsid w:val="002401EA"/>
    <w:rsid w:val="00241B9D"/>
    <w:rsid w:val="002439D4"/>
    <w:rsid w:val="002447F8"/>
    <w:rsid w:val="00245CB2"/>
    <w:rsid w:val="00246A44"/>
    <w:rsid w:val="00250BAC"/>
    <w:rsid w:val="00260245"/>
    <w:rsid w:val="0026252A"/>
    <w:rsid w:val="00262BB1"/>
    <w:rsid w:val="00263D3A"/>
    <w:rsid w:val="002643BE"/>
    <w:rsid w:val="00265325"/>
    <w:rsid w:val="00266E84"/>
    <w:rsid w:val="002715FC"/>
    <w:rsid w:val="002736FD"/>
    <w:rsid w:val="00274CFA"/>
    <w:rsid w:val="00275677"/>
    <w:rsid w:val="00275A3F"/>
    <w:rsid w:val="0028068C"/>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70AE"/>
    <w:rsid w:val="002F0C41"/>
    <w:rsid w:val="002F5B6A"/>
    <w:rsid w:val="002F5BF5"/>
    <w:rsid w:val="002F5ECA"/>
    <w:rsid w:val="002F6A14"/>
    <w:rsid w:val="00306572"/>
    <w:rsid w:val="003079C7"/>
    <w:rsid w:val="0031030E"/>
    <w:rsid w:val="003169F3"/>
    <w:rsid w:val="0032078D"/>
    <w:rsid w:val="00321CE0"/>
    <w:rsid w:val="0032231F"/>
    <w:rsid w:val="00323B43"/>
    <w:rsid w:val="00325BCC"/>
    <w:rsid w:val="003309A3"/>
    <w:rsid w:val="003345BC"/>
    <w:rsid w:val="00343662"/>
    <w:rsid w:val="0035365E"/>
    <w:rsid w:val="00355403"/>
    <w:rsid w:val="003569A8"/>
    <w:rsid w:val="00361FFF"/>
    <w:rsid w:val="00362340"/>
    <w:rsid w:val="003653A5"/>
    <w:rsid w:val="00366971"/>
    <w:rsid w:val="00367629"/>
    <w:rsid w:val="00367DF7"/>
    <w:rsid w:val="00370AFA"/>
    <w:rsid w:val="0037120F"/>
    <w:rsid w:val="0037242E"/>
    <w:rsid w:val="003743E9"/>
    <w:rsid w:val="00376B15"/>
    <w:rsid w:val="0038005F"/>
    <w:rsid w:val="003803CC"/>
    <w:rsid w:val="00382949"/>
    <w:rsid w:val="00391AE3"/>
    <w:rsid w:val="00396D4C"/>
    <w:rsid w:val="003A02BE"/>
    <w:rsid w:val="003A1765"/>
    <w:rsid w:val="003A3C32"/>
    <w:rsid w:val="003A4D02"/>
    <w:rsid w:val="003A4D52"/>
    <w:rsid w:val="003A536E"/>
    <w:rsid w:val="003A67DE"/>
    <w:rsid w:val="003B6DEC"/>
    <w:rsid w:val="003B79D3"/>
    <w:rsid w:val="003C2B92"/>
    <w:rsid w:val="003D126B"/>
    <w:rsid w:val="003D1D33"/>
    <w:rsid w:val="003D22C9"/>
    <w:rsid w:val="003D28AC"/>
    <w:rsid w:val="003D37D8"/>
    <w:rsid w:val="003D5FB6"/>
    <w:rsid w:val="003D6240"/>
    <w:rsid w:val="003D7B2A"/>
    <w:rsid w:val="003E266C"/>
    <w:rsid w:val="003E3C05"/>
    <w:rsid w:val="003E5C31"/>
    <w:rsid w:val="003F282F"/>
    <w:rsid w:val="00400E89"/>
    <w:rsid w:val="00401AB4"/>
    <w:rsid w:val="00402CA2"/>
    <w:rsid w:val="00402D95"/>
    <w:rsid w:val="00403ADD"/>
    <w:rsid w:val="00407629"/>
    <w:rsid w:val="004108EE"/>
    <w:rsid w:val="00410F1A"/>
    <w:rsid w:val="00412678"/>
    <w:rsid w:val="00412A31"/>
    <w:rsid w:val="004200B9"/>
    <w:rsid w:val="00426133"/>
    <w:rsid w:val="004300B1"/>
    <w:rsid w:val="00430AF8"/>
    <w:rsid w:val="0043148F"/>
    <w:rsid w:val="0043354D"/>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0C4A"/>
    <w:rsid w:val="00472C49"/>
    <w:rsid w:val="00474DE3"/>
    <w:rsid w:val="00477959"/>
    <w:rsid w:val="004817CC"/>
    <w:rsid w:val="00486217"/>
    <w:rsid w:val="00486A56"/>
    <w:rsid w:val="00494D73"/>
    <w:rsid w:val="004A19C4"/>
    <w:rsid w:val="004A6EA4"/>
    <w:rsid w:val="004B146A"/>
    <w:rsid w:val="004B1E69"/>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31BA"/>
    <w:rsid w:val="00507211"/>
    <w:rsid w:val="00507934"/>
    <w:rsid w:val="0051171B"/>
    <w:rsid w:val="00512D1D"/>
    <w:rsid w:val="005131A5"/>
    <w:rsid w:val="00513F3B"/>
    <w:rsid w:val="00515160"/>
    <w:rsid w:val="00516D5A"/>
    <w:rsid w:val="005170FB"/>
    <w:rsid w:val="0052300D"/>
    <w:rsid w:val="00523B77"/>
    <w:rsid w:val="0052474C"/>
    <w:rsid w:val="00525074"/>
    <w:rsid w:val="00525520"/>
    <w:rsid w:val="005319EE"/>
    <w:rsid w:val="00531BE2"/>
    <w:rsid w:val="00532838"/>
    <w:rsid w:val="005421AC"/>
    <w:rsid w:val="00544C1A"/>
    <w:rsid w:val="0054540D"/>
    <w:rsid w:val="00546D1B"/>
    <w:rsid w:val="0055027D"/>
    <w:rsid w:val="00554FA1"/>
    <w:rsid w:val="00556934"/>
    <w:rsid w:val="005607DF"/>
    <w:rsid w:val="00564377"/>
    <w:rsid w:val="00564538"/>
    <w:rsid w:val="00566A89"/>
    <w:rsid w:val="00567E07"/>
    <w:rsid w:val="00570810"/>
    <w:rsid w:val="005771F7"/>
    <w:rsid w:val="00577B7B"/>
    <w:rsid w:val="00583F7F"/>
    <w:rsid w:val="0058600B"/>
    <w:rsid w:val="00587913"/>
    <w:rsid w:val="00593428"/>
    <w:rsid w:val="00593B65"/>
    <w:rsid w:val="005A15D6"/>
    <w:rsid w:val="005A1FD8"/>
    <w:rsid w:val="005A317D"/>
    <w:rsid w:val="005A53D8"/>
    <w:rsid w:val="005A79F9"/>
    <w:rsid w:val="005B71CF"/>
    <w:rsid w:val="005C3594"/>
    <w:rsid w:val="005C46B7"/>
    <w:rsid w:val="005C7C8B"/>
    <w:rsid w:val="005D5617"/>
    <w:rsid w:val="005D6591"/>
    <w:rsid w:val="005D6869"/>
    <w:rsid w:val="005D7446"/>
    <w:rsid w:val="005E22D9"/>
    <w:rsid w:val="005E5F88"/>
    <w:rsid w:val="005F06F5"/>
    <w:rsid w:val="005F399E"/>
    <w:rsid w:val="005F46C0"/>
    <w:rsid w:val="005F471D"/>
    <w:rsid w:val="005F720A"/>
    <w:rsid w:val="005F7467"/>
    <w:rsid w:val="005F78E7"/>
    <w:rsid w:val="006007F3"/>
    <w:rsid w:val="0060402C"/>
    <w:rsid w:val="006061BD"/>
    <w:rsid w:val="0061252A"/>
    <w:rsid w:val="006135B3"/>
    <w:rsid w:val="006138D4"/>
    <w:rsid w:val="00614DD4"/>
    <w:rsid w:val="00616C03"/>
    <w:rsid w:val="00616F30"/>
    <w:rsid w:val="006215A2"/>
    <w:rsid w:val="006218EE"/>
    <w:rsid w:val="00621F7D"/>
    <w:rsid w:val="00622AD1"/>
    <w:rsid w:val="00623267"/>
    <w:rsid w:val="00625428"/>
    <w:rsid w:val="0062670B"/>
    <w:rsid w:val="00630B86"/>
    <w:rsid w:val="00630F5B"/>
    <w:rsid w:val="00634C66"/>
    <w:rsid w:val="006352D1"/>
    <w:rsid w:val="00636E1A"/>
    <w:rsid w:val="00642BA5"/>
    <w:rsid w:val="006434E0"/>
    <w:rsid w:val="00647816"/>
    <w:rsid w:val="00650C90"/>
    <w:rsid w:val="0065172D"/>
    <w:rsid w:val="0065287D"/>
    <w:rsid w:val="0065671B"/>
    <w:rsid w:val="00656A5A"/>
    <w:rsid w:val="00663A42"/>
    <w:rsid w:val="0066418E"/>
    <w:rsid w:val="0066469F"/>
    <w:rsid w:val="0067780F"/>
    <w:rsid w:val="00686C30"/>
    <w:rsid w:val="00690FA3"/>
    <w:rsid w:val="0069331D"/>
    <w:rsid w:val="0069435E"/>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D1900"/>
    <w:rsid w:val="006E0A3D"/>
    <w:rsid w:val="006E27F1"/>
    <w:rsid w:val="006E5BC8"/>
    <w:rsid w:val="006E7CBA"/>
    <w:rsid w:val="006F222F"/>
    <w:rsid w:val="006F37F4"/>
    <w:rsid w:val="006F7B69"/>
    <w:rsid w:val="0070241F"/>
    <w:rsid w:val="007024A9"/>
    <w:rsid w:val="00703C96"/>
    <w:rsid w:val="007130D7"/>
    <w:rsid w:val="00713E98"/>
    <w:rsid w:val="00715591"/>
    <w:rsid w:val="00715AE8"/>
    <w:rsid w:val="0072516F"/>
    <w:rsid w:val="0073034D"/>
    <w:rsid w:val="00731ADC"/>
    <w:rsid w:val="007330F2"/>
    <w:rsid w:val="00733DB0"/>
    <w:rsid w:val="00735043"/>
    <w:rsid w:val="00740444"/>
    <w:rsid w:val="0074285A"/>
    <w:rsid w:val="00744577"/>
    <w:rsid w:val="007452CF"/>
    <w:rsid w:val="00746055"/>
    <w:rsid w:val="00746DA9"/>
    <w:rsid w:val="00747086"/>
    <w:rsid w:val="007515E2"/>
    <w:rsid w:val="00756D66"/>
    <w:rsid w:val="00761D80"/>
    <w:rsid w:val="0076364A"/>
    <w:rsid w:val="007645E4"/>
    <w:rsid w:val="00766FC5"/>
    <w:rsid w:val="00770E5B"/>
    <w:rsid w:val="00772930"/>
    <w:rsid w:val="00776E20"/>
    <w:rsid w:val="007814AF"/>
    <w:rsid w:val="007825F0"/>
    <w:rsid w:val="00787F88"/>
    <w:rsid w:val="0079721A"/>
    <w:rsid w:val="007A095C"/>
    <w:rsid w:val="007A0AF8"/>
    <w:rsid w:val="007A283A"/>
    <w:rsid w:val="007A65C8"/>
    <w:rsid w:val="007A6B16"/>
    <w:rsid w:val="007A7AC4"/>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2092"/>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298"/>
    <w:rsid w:val="00863CA2"/>
    <w:rsid w:val="00864A80"/>
    <w:rsid w:val="008655ED"/>
    <w:rsid w:val="00866942"/>
    <w:rsid w:val="00871B0D"/>
    <w:rsid w:val="00871B14"/>
    <w:rsid w:val="008735A1"/>
    <w:rsid w:val="00875962"/>
    <w:rsid w:val="00880325"/>
    <w:rsid w:val="00882ABD"/>
    <w:rsid w:val="008844A4"/>
    <w:rsid w:val="008857CC"/>
    <w:rsid w:val="00885D32"/>
    <w:rsid w:val="00892528"/>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09E2"/>
    <w:rsid w:val="008F27DB"/>
    <w:rsid w:val="008F5B6F"/>
    <w:rsid w:val="009002A3"/>
    <w:rsid w:val="0090038C"/>
    <w:rsid w:val="009007EC"/>
    <w:rsid w:val="00900EF5"/>
    <w:rsid w:val="00901EE5"/>
    <w:rsid w:val="0090343B"/>
    <w:rsid w:val="0090421D"/>
    <w:rsid w:val="00906447"/>
    <w:rsid w:val="0091349D"/>
    <w:rsid w:val="009141C7"/>
    <w:rsid w:val="00914C59"/>
    <w:rsid w:val="009160EA"/>
    <w:rsid w:val="00920597"/>
    <w:rsid w:val="00921E42"/>
    <w:rsid w:val="0092287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9C3"/>
    <w:rsid w:val="0097578E"/>
    <w:rsid w:val="00976E55"/>
    <w:rsid w:val="009814B0"/>
    <w:rsid w:val="00984D41"/>
    <w:rsid w:val="009852BB"/>
    <w:rsid w:val="009853C4"/>
    <w:rsid w:val="0098547C"/>
    <w:rsid w:val="00985AD5"/>
    <w:rsid w:val="009860B4"/>
    <w:rsid w:val="00986724"/>
    <w:rsid w:val="0098718E"/>
    <w:rsid w:val="00994269"/>
    <w:rsid w:val="0099439A"/>
    <w:rsid w:val="00994737"/>
    <w:rsid w:val="009957C4"/>
    <w:rsid w:val="009A0F00"/>
    <w:rsid w:val="009A37AE"/>
    <w:rsid w:val="009A4059"/>
    <w:rsid w:val="009A47EF"/>
    <w:rsid w:val="009B101F"/>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F69B0"/>
    <w:rsid w:val="00A0310D"/>
    <w:rsid w:val="00A073F4"/>
    <w:rsid w:val="00A07BBE"/>
    <w:rsid w:val="00A16439"/>
    <w:rsid w:val="00A21057"/>
    <w:rsid w:val="00A217CE"/>
    <w:rsid w:val="00A21E86"/>
    <w:rsid w:val="00A22DFB"/>
    <w:rsid w:val="00A305E3"/>
    <w:rsid w:val="00A33233"/>
    <w:rsid w:val="00A353F1"/>
    <w:rsid w:val="00A357B0"/>
    <w:rsid w:val="00A35B22"/>
    <w:rsid w:val="00A42B99"/>
    <w:rsid w:val="00A479B6"/>
    <w:rsid w:val="00A50D3C"/>
    <w:rsid w:val="00A532E3"/>
    <w:rsid w:val="00A54D9C"/>
    <w:rsid w:val="00A57200"/>
    <w:rsid w:val="00A57865"/>
    <w:rsid w:val="00A617CD"/>
    <w:rsid w:val="00A62B31"/>
    <w:rsid w:val="00A64850"/>
    <w:rsid w:val="00A65003"/>
    <w:rsid w:val="00A65202"/>
    <w:rsid w:val="00A723C3"/>
    <w:rsid w:val="00A73299"/>
    <w:rsid w:val="00A74836"/>
    <w:rsid w:val="00A7536B"/>
    <w:rsid w:val="00A80356"/>
    <w:rsid w:val="00A816B6"/>
    <w:rsid w:val="00A82D81"/>
    <w:rsid w:val="00A96E79"/>
    <w:rsid w:val="00AA2033"/>
    <w:rsid w:val="00AA4A07"/>
    <w:rsid w:val="00AA6230"/>
    <w:rsid w:val="00AB632D"/>
    <w:rsid w:val="00AC5444"/>
    <w:rsid w:val="00AC70E1"/>
    <w:rsid w:val="00AD1D29"/>
    <w:rsid w:val="00AD328E"/>
    <w:rsid w:val="00AD5147"/>
    <w:rsid w:val="00AE0837"/>
    <w:rsid w:val="00AE0A39"/>
    <w:rsid w:val="00AE11C8"/>
    <w:rsid w:val="00AE355C"/>
    <w:rsid w:val="00AE4EFC"/>
    <w:rsid w:val="00AE5731"/>
    <w:rsid w:val="00AE7127"/>
    <w:rsid w:val="00AE7F83"/>
    <w:rsid w:val="00AF6BA2"/>
    <w:rsid w:val="00AF7801"/>
    <w:rsid w:val="00B00EC1"/>
    <w:rsid w:val="00B019E2"/>
    <w:rsid w:val="00B020ED"/>
    <w:rsid w:val="00B036CB"/>
    <w:rsid w:val="00B130D5"/>
    <w:rsid w:val="00B13566"/>
    <w:rsid w:val="00B13A54"/>
    <w:rsid w:val="00B14220"/>
    <w:rsid w:val="00B16868"/>
    <w:rsid w:val="00B17251"/>
    <w:rsid w:val="00B2159A"/>
    <w:rsid w:val="00B21D32"/>
    <w:rsid w:val="00B313B2"/>
    <w:rsid w:val="00B32FA4"/>
    <w:rsid w:val="00B34A43"/>
    <w:rsid w:val="00B36912"/>
    <w:rsid w:val="00B404A0"/>
    <w:rsid w:val="00B4256A"/>
    <w:rsid w:val="00B432AB"/>
    <w:rsid w:val="00B54D75"/>
    <w:rsid w:val="00B57214"/>
    <w:rsid w:val="00B60C2A"/>
    <w:rsid w:val="00B65FC0"/>
    <w:rsid w:val="00B707DD"/>
    <w:rsid w:val="00B719F4"/>
    <w:rsid w:val="00B738D8"/>
    <w:rsid w:val="00B73995"/>
    <w:rsid w:val="00B74DBC"/>
    <w:rsid w:val="00B75E08"/>
    <w:rsid w:val="00B76684"/>
    <w:rsid w:val="00B7698F"/>
    <w:rsid w:val="00B800A8"/>
    <w:rsid w:val="00B85F5F"/>
    <w:rsid w:val="00B86395"/>
    <w:rsid w:val="00B86E2B"/>
    <w:rsid w:val="00B91DEC"/>
    <w:rsid w:val="00B92A56"/>
    <w:rsid w:val="00B931F8"/>
    <w:rsid w:val="00B95DB0"/>
    <w:rsid w:val="00B9722F"/>
    <w:rsid w:val="00B97741"/>
    <w:rsid w:val="00BA0721"/>
    <w:rsid w:val="00BA1883"/>
    <w:rsid w:val="00BA227D"/>
    <w:rsid w:val="00BA4C84"/>
    <w:rsid w:val="00BC09FC"/>
    <w:rsid w:val="00BC0DD5"/>
    <w:rsid w:val="00BC60E6"/>
    <w:rsid w:val="00BE66AA"/>
    <w:rsid w:val="00BE73B9"/>
    <w:rsid w:val="00BF444F"/>
    <w:rsid w:val="00BF77F5"/>
    <w:rsid w:val="00C01D8A"/>
    <w:rsid w:val="00C023EF"/>
    <w:rsid w:val="00C15415"/>
    <w:rsid w:val="00C16FE4"/>
    <w:rsid w:val="00C172EB"/>
    <w:rsid w:val="00C22F98"/>
    <w:rsid w:val="00C2363B"/>
    <w:rsid w:val="00C26560"/>
    <w:rsid w:val="00C3062F"/>
    <w:rsid w:val="00C3172B"/>
    <w:rsid w:val="00C32E7A"/>
    <w:rsid w:val="00C408D9"/>
    <w:rsid w:val="00C42DB9"/>
    <w:rsid w:val="00C447FD"/>
    <w:rsid w:val="00C44B90"/>
    <w:rsid w:val="00C51434"/>
    <w:rsid w:val="00C51743"/>
    <w:rsid w:val="00C51A61"/>
    <w:rsid w:val="00C55E20"/>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93A3D"/>
    <w:rsid w:val="00C94F0A"/>
    <w:rsid w:val="00CA3203"/>
    <w:rsid w:val="00CA34EC"/>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7178"/>
    <w:rsid w:val="00D11C0B"/>
    <w:rsid w:val="00D11EE9"/>
    <w:rsid w:val="00D13F47"/>
    <w:rsid w:val="00D14E66"/>
    <w:rsid w:val="00D17631"/>
    <w:rsid w:val="00D17CD3"/>
    <w:rsid w:val="00D21B22"/>
    <w:rsid w:val="00D24AEB"/>
    <w:rsid w:val="00D24AFD"/>
    <w:rsid w:val="00D27902"/>
    <w:rsid w:val="00D27984"/>
    <w:rsid w:val="00D31D50"/>
    <w:rsid w:val="00D323E9"/>
    <w:rsid w:val="00D34F5B"/>
    <w:rsid w:val="00D35023"/>
    <w:rsid w:val="00D403B8"/>
    <w:rsid w:val="00D45C1B"/>
    <w:rsid w:val="00D45E14"/>
    <w:rsid w:val="00D5138C"/>
    <w:rsid w:val="00D51C9A"/>
    <w:rsid w:val="00D5318C"/>
    <w:rsid w:val="00D53371"/>
    <w:rsid w:val="00D53BD5"/>
    <w:rsid w:val="00D55621"/>
    <w:rsid w:val="00D6000E"/>
    <w:rsid w:val="00D713D6"/>
    <w:rsid w:val="00D72DAF"/>
    <w:rsid w:val="00D75BB9"/>
    <w:rsid w:val="00D76276"/>
    <w:rsid w:val="00D77919"/>
    <w:rsid w:val="00D8083C"/>
    <w:rsid w:val="00D85F8D"/>
    <w:rsid w:val="00D87F81"/>
    <w:rsid w:val="00D90E39"/>
    <w:rsid w:val="00D97E89"/>
    <w:rsid w:val="00DA1391"/>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DE79D5"/>
    <w:rsid w:val="00E00A5F"/>
    <w:rsid w:val="00E05D64"/>
    <w:rsid w:val="00E07ABB"/>
    <w:rsid w:val="00E07D8F"/>
    <w:rsid w:val="00E13762"/>
    <w:rsid w:val="00E14E2F"/>
    <w:rsid w:val="00E1552D"/>
    <w:rsid w:val="00E1640B"/>
    <w:rsid w:val="00E317A6"/>
    <w:rsid w:val="00E3190E"/>
    <w:rsid w:val="00E31F05"/>
    <w:rsid w:val="00E32285"/>
    <w:rsid w:val="00E333B4"/>
    <w:rsid w:val="00E34295"/>
    <w:rsid w:val="00E3667E"/>
    <w:rsid w:val="00E4228D"/>
    <w:rsid w:val="00E4254E"/>
    <w:rsid w:val="00E4608C"/>
    <w:rsid w:val="00E502A2"/>
    <w:rsid w:val="00E521B6"/>
    <w:rsid w:val="00E52931"/>
    <w:rsid w:val="00E53ACE"/>
    <w:rsid w:val="00E5519B"/>
    <w:rsid w:val="00E55FEE"/>
    <w:rsid w:val="00E57BD3"/>
    <w:rsid w:val="00E57D38"/>
    <w:rsid w:val="00E60CA7"/>
    <w:rsid w:val="00E65332"/>
    <w:rsid w:val="00E65F77"/>
    <w:rsid w:val="00E670CD"/>
    <w:rsid w:val="00E67EA9"/>
    <w:rsid w:val="00E72A5C"/>
    <w:rsid w:val="00E7727F"/>
    <w:rsid w:val="00E83519"/>
    <w:rsid w:val="00E91889"/>
    <w:rsid w:val="00E91F0F"/>
    <w:rsid w:val="00E944E2"/>
    <w:rsid w:val="00E95C54"/>
    <w:rsid w:val="00E96103"/>
    <w:rsid w:val="00EA027D"/>
    <w:rsid w:val="00EB22CF"/>
    <w:rsid w:val="00EB3414"/>
    <w:rsid w:val="00EB39DD"/>
    <w:rsid w:val="00EB40E4"/>
    <w:rsid w:val="00EB67BA"/>
    <w:rsid w:val="00EC16F8"/>
    <w:rsid w:val="00EC2CF2"/>
    <w:rsid w:val="00EC306F"/>
    <w:rsid w:val="00EC408E"/>
    <w:rsid w:val="00EC41F2"/>
    <w:rsid w:val="00EC4EB3"/>
    <w:rsid w:val="00EC5617"/>
    <w:rsid w:val="00EC75DE"/>
    <w:rsid w:val="00EC7C9E"/>
    <w:rsid w:val="00ED230D"/>
    <w:rsid w:val="00ED2440"/>
    <w:rsid w:val="00EE1C0B"/>
    <w:rsid w:val="00EE59D0"/>
    <w:rsid w:val="00EE7FF3"/>
    <w:rsid w:val="00EF26BF"/>
    <w:rsid w:val="00EF4861"/>
    <w:rsid w:val="00EF50C7"/>
    <w:rsid w:val="00EF5E19"/>
    <w:rsid w:val="00EF779D"/>
    <w:rsid w:val="00EF7E82"/>
    <w:rsid w:val="00F00F0F"/>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406BB"/>
    <w:rsid w:val="00F44AD0"/>
    <w:rsid w:val="00F50379"/>
    <w:rsid w:val="00F54747"/>
    <w:rsid w:val="00F55102"/>
    <w:rsid w:val="00F57115"/>
    <w:rsid w:val="00F6298B"/>
    <w:rsid w:val="00F63B02"/>
    <w:rsid w:val="00F65350"/>
    <w:rsid w:val="00F65C21"/>
    <w:rsid w:val="00F700A6"/>
    <w:rsid w:val="00F760D1"/>
    <w:rsid w:val="00F8151A"/>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D151D"/>
    <w:rsid w:val="00FD2208"/>
    <w:rsid w:val="00FD2EC4"/>
    <w:rsid w:val="00FD63D3"/>
    <w:rsid w:val="00FD717D"/>
    <w:rsid w:val="00FE44CF"/>
    <w:rsid w:val="00FF1239"/>
    <w:rsid w:val="00FF1AC1"/>
    <w:rsid w:val="00FF5DE3"/>
    <w:rsid w:val="00FF62F7"/>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E866AF"/>
    <w:rsid w:val="130C55D8"/>
    <w:rsid w:val="13244A23"/>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433A60"/>
    <w:rsid w:val="26694CDB"/>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C341C52"/>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Char"/>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Char"/>
    <w:basedOn w:val="24"/>
    <w:link w:val="3"/>
    <w:qFormat/>
    <w:uiPriority w:val="99"/>
    <w:rPr>
      <w:rFonts w:ascii="Arial" w:hAnsi="Arial" w:eastAsia="黑体" w:cs="Times New Roman"/>
      <w:b/>
      <w:bCs/>
      <w:kern w:val="2"/>
      <w:sz w:val="32"/>
      <w:szCs w:val="32"/>
    </w:rPr>
  </w:style>
  <w:style w:type="character" w:customStyle="1" w:styleId="33">
    <w:name w:val="标题 3 Char"/>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Char"/>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Char"/>
    <w:basedOn w:val="24"/>
    <w:link w:val="6"/>
    <w:qFormat/>
    <w:uiPriority w:val="0"/>
    <w:rPr>
      <w:rFonts w:ascii="Times New Roman" w:hAnsi="Times New Roman" w:eastAsia="宋体" w:cs="Times New Roman"/>
      <w:b/>
      <w:bCs/>
      <w:kern w:val="2"/>
      <w:sz w:val="28"/>
      <w:szCs w:val="28"/>
    </w:rPr>
  </w:style>
  <w:style w:type="character" w:customStyle="1" w:styleId="36">
    <w:name w:val="标题 6 Char"/>
    <w:basedOn w:val="24"/>
    <w:link w:val="7"/>
    <w:qFormat/>
    <w:uiPriority w:val="0"/>
    <w:rPr>
      <w:rFonts w:asciiTheme="majorHAnsi" w:hAnsiTheme="majorHAnsi" w:eastAsiaTheme="majorEastAsia" w:cstheme="majorBidi"/>
      <w:b/>
      <w:bCs/>
      <w:kern w:val="2"/>
      <w:sz w:val="24"/>
      <w:szCs w:val="24"/>
    </w:rPr>
  </w:style>
  <w:style w:type="character" w:customStyle="1" w:styleId="37">
    <w:name w:val="页眉 Char"/>
    <w:basedOn w:val="24"/>
    <w:link w:val="15"/>
    <w:qFormat/>
    <w:uiPriority w:val="99"/>
    <w:rPr>
      <w:rFonts w:ascii="Tahoma" w:hAnsi="Tahoma"/>
      <w:sz w:val="18"/>
      <w:szCs w:val="18"/>
    </w:rPr>
  </w:style>
  <w:style w:type="character" w:customStyle="1" w:styleId="38">
    <w:name w:val="页脚 Char"/>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Char"/>
    <w:basedOn w:val="24"/>
    <w:link w:val="9"/>
    <w:qFormat/>
    <w:uiPriority w:val="99"/>
    <w:rPr>
      <w:rFonts w:ascii="Tahoma" w:hAnsi="Tahoma"/>
    </w:rPr>
  </w:style>
  <w:style w:type="character" w:customStyle="1" w:styleId="42">
    <w:name w:val="批注主题 Char"/>
    <w:basedOn w:val="41"/>
    <w:link w:val="22"/>
    <w:qFormat/>
    <w:uiPriority w:val="99"/>
    <w:rPr>
      <w:rFonts w:ascii="Times New Roman" w:hAnsi="Times New Roman" w:eastAsia="宋体" w:cs="Times New Roman"/>
      <w:b/>
      <w:bCs/>
      <w:kern w:val="2"/>
      <w:sz w:val="21"/>
      <w:szCs w:val="24"/>
    </w:rPr>
  </w:style>
  <w:style w:type="character" w:customStyle="1" w:styleId="43">
    <w:name w:val="文档结构图 Char"/>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Char"/>
    <w:basedOn w:val="24"/>
    <w:link w:val="10"/>
    <w:qFormat/>
    <w:uiPriority w:val="99"/>
    <w:rPr>
      <w:rFonts w:ascii="Times New Roman" w:hAnsi="Times New Roman" w:eastAsia="宋体" w:cs="Times New Roman"/>
      <w:kern w:val="2"/>
      <w:sz w:val="21"/>
      <w:szCs w:val="24"/>
    </w:rPr>
  </w:style>
  <w:style w:type="character" w:customStyle="1" w:styleId="45">
    <w:name w:val="纯文本 Char"/>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Char"/>
    <w:basedOn w:val="24"/>
    <w:link w:val="13"/>
    <w:qFormat/>
    <w:uiPriority w:val="99"/>
    <w:rPr>
      <w:rFonts w:ascii="Times New Roman" w:hAnsi="Times New Roman" w:eastAsia="宋体" w:cs="Times New Roman"/>
      <w:kern w:val="2"/>
      <w:sz w:val="18"/>
      <w:szCs w:val="18"/>
    </w:rPr>
  </w:style>
  <w:style w:type="character" w:customStyle="1" w:styleId="47">
    <w:name w:val="脚注文本 Char"/>
    <w:basedOn w:val="24"/>
    <w:link w:val="17"/>
    <w:qFormat/>
    <w:uiPriority w:val="99"/>
    <w:rPr>
      <w:rFonts w:ascii="Times New Roman" w:hAnsi="Times New Roman" w:eastAsia="宋体" w:cs="Times New Roman"/>
      <w:kern w:val="2"/>
      <w:sz w:val="18"/>
      <w:szCs w:val="18"/>
    </w:rPr>
  </w:style>
  <w:style w:type="character" w:customStyle="1" w:styleId="48">
    <w:name w:val="HTML 预设格式 Char"/>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Char"/>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1151;&#33021;&#20998;&#31867;&#25910;&#20837;&#21344;&#276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1151;&#33021;&#20998;&#31867;&#25910;&#20837;&#21344;&#2760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1151;&#33021;&#20998;&#31867;&#25910;&#20837;&#21344;&#2760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1151;&#33021;&#20998;&#31867;&#25910;&#20837;&#21344;&#276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26.69%</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24.72%</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1.9%</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32%</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extLst>
            </c:dLbl>
            <c:dLbl>
              <c:idx val="4"/>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11.36%</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extLst>
            </c:dLbl>
            <c:dLbl>
              <c:idx val="5"/>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1.82%</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extLst>
            </c:dLbl>
            <c:dLbl>
              <c:idx val="6"/>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1.51%</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决算功能分类收入划分!$B$4:$B$10</c:f>
              <c:strCache>
                <c:ptCount val="7"/>
                <c:pt idx="0">
                  <c:v>科学技术支出</c:v>
                </c:pt>
                <c:pt idx="1">
                  <c:v>社会保障和就业支出</c:v>
                </c:pt>
                <c:pt idx="2">
                  <c:v>卫生健康支出</c:v>
                </c:pt>
                <c:pt idx="3">
                  <c:v>资源勘探信息等支出</c:v>
                </c:pt>
                <c:pt idx="4">
                  <c:v>商业服务业支出</c:v>
                </c:pt>
                <c:pt idx="5">
                  <c:v>住房保障支出</c:v>
                </c:pt>
                <c:pt idx="6">
                  <c:v>其他支出</c:v>
                </c:pt>
              </c:strCache>
            </c:strRef>
          </c:cat>
          <c:val>
            <c:numRef>
              <c:f>决算功能分类收入划分!$C$4:$C$10</c:f>
              <c:numCache>
                <c:formatCode>General</c:formatCode>
                <c:ptCount val="7"/>
                <c:pt idx="0">
                  <c:v>529.549999999999</c:v>
                </c:pt>
                <c:pt idx="1">
                  <c:v>490.08</c:v>
                </c:pt>
                <c:pt idx="2">
                  <c:v>37.71</c:v>
                </c:pt>
                <c:pt idx="3">
                  <c:v>634.559999999999</c:v>
                </c:pt>
                <c:pt idx="4">
                  <c:v>225</c:v>
                </c:pt>
                <c:pt idx="5">
                  <c:v>36.11</c:v>
                </c:pt>
                <c:pt idx="6">
                  <c:v>30</c:v>
                </c:pt>
              </c:numCache>
            </c:numRef>
          </c:val>
        </c:ser>
        <c:ser>
          <c:idx val="1"/>
          <c:order val="1"/>
          <c:explosion val="0"/>
          <c:dPt>
            <c:idx val="0"/>
            <c:bubble3D val="0"/>
          </c:dPt>
          <c:dPt>
            <c:idx val="1"/>
            <c:bubble3D val="0"/>
          </c:dPt>
          <c:dPt>
            <c:idx val="2"/>
            <c:bubble3D val="0"/>
          </c:dPt>
          <c:dPt>
            <c:idx val="3"/>
            <c:bubble3D val="0"/>
          </c:dPt>
          <c:dPt>
            <c:idx val="4"/>
            <c:bubble3D val="0"/>
          </c:dPt>
          <c:dPt>
            <c:idx val="5"/>
            <c:bubble3D val="0"/>
          </c:dPt>
          <c:dPt>
            <c:idx val="6"/>
            <c:bubble3D val="0"/>
          </c:dPt>
          <c:dLbls>
            <c:delete val="1"/>
          </c:dLbls>
          <c:cat>
            <c:strRef>
              <c:f>决算功能分类收入划分!$B$4:$B$10</c:f>
              <c:strCache>
                <c:ptCount val="7"/>
                <c:pt idx="0">
                  <c:v>科学技术支出</c:v>
                </c:pt>
                <c:pt idx="1">
                  <c:v>社会保障和就业支出</c:v>
                </c:pt>
                <c:pt idx="2">
                  <c:v>卫生健康支出</c:v>
                </c:pt>
                <c:pt idx="3">
                  <c:v>资源勘探信息等支出</c:v>
                </c:pt>
                <c:pt idx="4">
                  <c:v>商业服务业支出</c:v>
                </c:pt>
                <c:pt idx="5">
                  <c:v>住房保障支出</c:v>
                </c:pt>
                <c:pt idx="6">
                  <c:v>其他支出</c:v>
                </c:pt>
              </c:strCache>
            </c:strRef>
          </c:cat>
          <c:val>
            <c:numRef>
              <c:f>决算功能分类收入划分!$D$4:$D$10</c:f>
              <c:numCache>
                <c:formatCode>General</c:formatCode>
                <c:ptCount val="7"/>
                <c:pt idx="0">
                  <c:v>26.69</c:v>
                </c:pt>
                <c:pt idx="1">
                  <c:v>24.72</c:v>
                </c:pt>
                <c:pt idx="2">
                  <c:v>1.9</c:v>
                </c:pt>
                <c:pt idx="3">
                  <c:v>32</c:v>
                </c:pt>
                <c:pt idx="4">
                  <c:v>11.36</c:v>
                </c:pt>
                <c:pt idx="5">
                  <c:v>1.82</c:v>
                </c:pt>
                <c:pt idx="6">
                  <c:v>1.51</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solidFill>
        <a:schemeClr val="tx2">
          <a:lumMod val="60000"/>
          <a:lumOff val="40000"/>
        </a:schemeClr>
      </a:solidFill>
      <a:prstDash val="solid"/>
      <a:round/>
    </a:ln>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年初预算、决算收入对比!$C$3</c:f>
              <c:strCache>
                <c:ptCount val="1"/>
                <c:pt idx="0">
                  <c:v>年初预算数</c:v>
                </c:pt>
              </c:strCache>
            </c:strRef>
          </c:tx>
          <c:invertIfNegative val="0"/>
          <c:dLbls>
            <c:dLbl>
              <c:idx val="2"/>
              <c:layout>
                <c:manualLayout>
                  <c:x val="-0.0142450142450143"/>
                  <c:y val="-0.028949545078577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7.46158793144036e-17"/>
                  <c:y val="-0.037220843672456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年初预算、决算收入对比!$B$4:$B$10</c:f>
              <c:strCache>
                <c:ptCount val="7"/>
                <c:pt idx="0">
                  <c:v>科学技术支出</c:v>
                </c:pt>
                <c:pt idx="1">
                  <c:v>社会保障和就业支出</c:v>
                </c:pt>
                <c:pt idx="2">
                  <c:v>卫生健康支出</c:v>
                </c:pt>
                <c:pt idx="3">
                  <c:v>资源勘探信息等支出</c:v>
                </c:pt>
                <c:pt idx="4">
                  <c:v>商业服务业支出</c:v>
                </c:pt>
                <c:pt idx="5">
                  <c:v>住房保障支出</c:v>
                </c:pt>
                <c:pt idx="6">
                  <c:v>其他支出</c:v>
                </c:pt>
              </c:strCache>
            </c:strRef>
          </c:cat>
          <c:val>
            <c:numRef>
              <c:f>年初预算、决算收入对比!$C$4:$C$10</c:f>
              <c:numCache>
                <c:formatCode>General</c:formatCode>
                <c:ptCount val="7"/>
                <c:pt idx="0">
                  <c:v>935.3</c:v>
                </c:pt>
                <c:pt idx="1">
                  <c:v>252.09</c:v>
                </c:pt>
                <c:pt idx="2">
                  <c:v>50.8</c:v>
                </c:pt>
                <c:pt idx="3">
                  <c:v>0</c:v>
                </c:pt>
                <c:pt idx="4">
                  <c:v>360</c:v>
                </c:pt>
                <c:pt idx="5">
                  <c:v>41.64</c:v>
                </c:pt>
                <c:pt idx="6">
                  <c:v>0</c:v>
                </c:pt>
              </c:numCache>
            </c:numRef>
          </c:val>
        </c:ser>
        <c:ser>
          <c:idx val="1"/>
          <c:order val="1"/>
          <c:tx>
            <c:strRef>
              <c:f>年初预算、决算收入对比!$D$3</c:f>
              <c:strCache>
                <c:ptCount val="1"/>
                <c:pt idx="0">
                  <c:v>决算数</c:v>
                </c:pt>
              </c:strCache>
            </c:strRef>
          </c:tx>
          <c:invertIfNegative val="0"/>
          <c:dLbls>
            <c:dLbl>
              <c:idx val="4"/>
              <c:layout>
                <c:manualLayout>
                  <c:x val="0.0122100122100121"/>
                  <c:y val="-0.0041356492969396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142450142450143"/>
                  <c:y val="0.012406947890818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年初预算、决算收入对比!$B$4:$B$10</c:f>
              <c:strCache>
                <c:ptCount val="7"/>
                <c:pt idx="0">
                  <c:v>科学技术支出</c:v>
                </c:pt>
                <c:pt idx="1">
                  <c:v>社会保障和就业支出</c:v>
                </c:pt>
                <c:pt idx="2">
                  <c:v>卫生健康支出</c:v>
                </c:pt>
                <c:pt idx="3">
                  <c:v>资源勘探信息等支出</c:v>
                </c:pt>
                <c:pt idx="4">
                  <c:v>商业服务业支出</c:v>
                </c:pt>
                <c:pt idx="5">
                  <c:v>住房保障支出</c:v>
                </c:pt>
                <c:pt idx="6">
                  <c:v>其他支出</c:v>
                </c:pt>
              </c:strCache>
            </c:strRef>
          </c:cat>
          <c:val>
            <c:numRef>
              <c:f>年初预算、决算收入对比!$D$4:$D$10</c:f>
              <c:numCache>
                <c:formatCode>General</c:formatCode>
                <c:ptCount val="7"/>
                <c:pt idx="0">
                  <c:v>529.549999999999</c:v>
                </c:pt>
                <c:pt idx="1">
                  <c:v>490.08</c:v>
                </c:pt>
                <c:pt idx="2">
                  <c:v>37.71</c:v>
                </c:pt>
                <c:pt idx="3">
                  <c:v>634.559999999999</c:v>
                </c:pt>
                <c:pt idx="4">
                  <c:v>225</c:v>
                </c:pt>
                <c:pt idx="5">
                  <c:v>36.11</c:v>
                </c:pt>
                <c:pt idx="6">
                  <c:v>30</c:v>
                </c:pt>
              </c:numCache>
            </c:numRef>
          </c:val>
        </c:ser>
        <c:dLbls>
          <c:showLegendKey val="0"/>
          <c:showVal val="1"/>
          <c:showCatName val="0"/>
          <c:showSerName val="0"/>
          <c:showPercent val="0"/>
          <c:showBubbleSize val="0"/>
        </c:dLbls>
        <c:gapWidth val="150"/>
        <c:axId val="69369216"/>
        <c:axId val="115325184"/>
      </c:barChart>
      <c:catAx>
        <c:axId val="6936921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5325184"/>
        <c:crosses val="autoZero"/>
        <c:auto val="1"/>
        <c:lblAlgn val="ctr"/>
        <c:lblOffset val="100"/>
        <c:noMultiLvlLbl val="0"/>
      </c:catAx>
      <c:valAx>
        <c:axId val="11532518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936921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2019</a:t>
            </a:r>
            <a:r>
              <a:rPr lang="zh-CN" altLang="en-US"/>
              <a:t>年度支出决算结构图</a:t>
            </a:r>
            <a:endParaRPr lang="zh-CN" altLang="en-US"/>
          </a:p>
        </c:rich>
      </c:tx>
      <c:layout/>
      <c:overlay val="0"/>
    </c:title>
    <c:autoTitleDeleted val="0"/>
    <c:plotArea>
      <c:layout/>
      <c:pieChart>
        <c:varyColors val="1"/>
        <c:ser>
          <c:idx val="0"/>
          <c:order val="0"/>
          <c:tx>
            <c:strRef>
              <c:f>决算功能分类支出划分!$C$3</c:f>
              <c:strCache>
                <c:ptCount val="1"/>
                <c:pt idx="0">
                  <c:v>金额万元</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30.92%</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28.2%</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2.17%</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21.98%</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extLst>
            </c:dLbl>
            <c:dLbl>
              <c:idx val="4"/>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12.94%</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extLst>
            </c:dLbl>
            <c:dLbl>
              <c:idx val="5"/>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2.07%</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extLst>
            </c:dLbl>
            <c:dLbl>
              <c:idx val="6"/>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1.72%</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决算功能分类支出划分!$B$4:$B$10</c:f>
              <c:strCache>
                <c:ptCount val="7"/>
                <c:pt idx="0">
                  <c:v>科学技术支出</c:v>
                </c:pt>
                <c:pt idx="1">
                  <c:v>社会保障和就业支出</c:v>
                </c:pt>
                <c:pt idx="2">
                  <c:v>卫生健康支出</c:v>
                </c:pt>
                <c:pt idx="3">
                  <c:v>资源勘探信息等支出</c:v>
                </c:pt>
                <c:pt idx="4">
                  <c:v>商业服务业支出</c:v>
                </c:pt>
                <c:pt idx="5">
                  <c:v>住房保障支出</c:v>
                </c:pt>
                <c:pt idx="6">
                  <c:v>其他支出</c:v>
                </c:pt>
              </c:strCache>
            </c:strRef>
          </c:cat>
          <c:val>
            <c:numRef>
              <c:f>决算功能分类支出划分!$C$4:$C$10</c:f>
              <c:numCache>
                <c:formatCode>General</c:formatCode>
                <c:ptCount val="7"/>
                <c:pt idx="0">
                  <c:v>537.68</c:v>
                </c:pt>
                <c:pt idx="1">
                  <c:v>490.45</c:v>
                </c:pt>
                <c:pt idx="2">
                  <c:v>37.71</c:v>
                </c:pt>
                <c:pt idx="3">
                  <c:v>382.26</c:v>
                </c:pt>
                <c:pt idx="4">
                  <c:v>225</c:v>
                </c:pt>
                <c:pt idx="5">
                  <c:v>36.11</c:v>
                </c:pt>
                <c:pt idx="6">
                  <c:v>30</c:v>
                </c:pt>
              </c:numCache>
            </c:numRef>
          </c:val>
        </c:ser>
        <c:ser>
          <c:idx val="1"/>
          <c:order val="1"/>
          <c:tx>
            <c:strRef>
              <c:f>决算功能分类支出划分!$D$3</c:f>
              <c:strCache>
                <c:ptCount val="1"/>
                <c:pt idx="0">
                  <c:v>占比%</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delete val="1"/>
          </c:dLbls>
          <c:cat>
            <c:strRef>
              <c:f>决算功能分类支出划分!$B$4:$B$10</c:f>
              <c:strCache>
                <c:ptCount val="7"/>
                <c:pt idx="0">
                  <c:v>科学技术支出</c:v>
                </c:pt>
                <c:pt idx="1">
                  <c:v>社会保障和就业支出</c:v>
                </c:pt>
                <c:pt idx="2">
                  <c:v>卫生健康支出</c:v>
                </c:pt>
                <c:pt idx="3">
                  <c:v>资源勘探信息等支出</c:v>
                </c:pt>
                <c:pt idx="4">
                  <c:v>商业服务业支出</c:v>
                </c:pt>
                <c:pt idx="5">
                  <c:v>住房保障支出</c:v>
                </c:pt>
                <c:pt idx="6">
                  <c:v>其他支出</c:v>
                </c:pt>
              </c:strCache>
            </c:strRef>
          </c:cat>
          <c:val>
            <c:numRef>
              <c:f>决算功能分类支出划分!$D$4:$D$10</c:f>
              <c:numCache>
                <c:formatCode>General</c:formatCode>
                <c:ptCount val="7"/>
                <c:pt idx="0">
                  <c:v>30.92</c:v>
                </c:pt>
                <c:pt idx="1">
                  <c:v>28.2</c:v>
                </c:pt>
                <c:pt idx="2">
                  <c:v>2.17</c:v>
                </c:pt>
                <c:pt idx="3">
                  <c:v>21.98</c:v>
                </c:pt>
                <c:pt idx="4">
                  <c:v>12.94</c:v>
                </c:pt>
                <c:pt idx="5">
                  <c:v>2.07</c:v>
                </c:pt>
                <c:pt idx="6">
                  <c:v>1.72</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年初预算、决算支出对比!$C$3</c:f>
              <c:strCache>
                <c:ptCount val="1"/>
                <c:pt idx="0">
                  <c:v>年初预算数</c:v>
                </c:pt>
              </c:strCache>
            </c:strRef>
          </c:tx>
          <c:invertIfNegative val="0"/>
          <c:dLbls>
            <c:dLbl>
              <c:idx val="2"/>
              <c:layout>
                <c:manualLayout>
                  <c:x val="-0.0111111111111111"/>
                  <c:y val="-0.032407407407407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25"/>
                  <c:y val="-0.0046296296296296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
                  <c:y val="-0.027777777777777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年初预算、决算支出对比!$B$4:$B$10</c:f>
              <c:strCache>
                <c:ptCount val="7"/>
                <c:pt idx="0">
                  <c:v>科学技术支出</c:v>
                </c:pt>
                <c:pt idx="1">
                  <c:v>社会保障和就业支出</c:v>
                </c:pt>
                <c:pt idx="2">
                  <c:v>卫生健康支出</c:v>
                </c:pt>
                <c:pt idx="3">
                  <c:v>资源勘探信息等支出</c:v>
                </c:pt>
                <c:pt idx="4">
                  <c:v>商业服务业支出</c:v>
                </c:pt>
                <c:pt idx="5">
                  <c:v>住房保障支出</c:v>
                </c:pt>
                <c:pt idx="6">
                  <c:v>其他支出</c:v>
                </c:pt>
              </c:strCache>
            </c:strRef>
          </c:cat>
          <c:val>
            <c:numRef>
              <c:f>年初预算、决算支出对比!$C$4:$C$10</c:f>
              <c:numCache>
                <c:formatCode>General</c:formatCode>
                <c:ptCount val="7"/>
                <c:pt idx="0">
                  <c:v>935.3</c:v>
                </c:pt>
                <c:pt idx="1">
                  <c:v>252.09</c:v>
                </c:pt>
                <c:pt idx="2">
                  <c:v>50.8</c:v>
                </c:pt>
                <c:pt idx="3">
                  <c:v>0</c:v>
                </c:pt>
                <c:pt idx="4">
                  <c:v>360</c:v>
                </c:pt>
                <c:pt idx="5">
                  <c:v>41.64</c:v>
                </c:pt>
                <c:pt idx="6">
                  <c:v>0</c:v>
                </c:pt>
              </c:numCache>
            </c:numRef>
          </c:val>
        </c:ser>
        <c:ser>
          <c:idx val="1"/>
          <c:order val="1"/>
          <c:tx>
            <c:strRef>
              <c:f>年初预算、决算支出对比!$D$3</c:f>
              <c:strCache>
                <c:ptCount val="1"/>
                <c:pt idx="0">
                  <c:v>决算数</c:v>
                </c:pt>
              </c:strCache>
            </c:strRef>
          </c:tx>
          <c:invertIfNegative val="0"/>
          <c:dLbls>
            <c:dLbl>
              <c:idx val="0"/>
              <c:layout>
                <c:manualLayout>
                  <c:x val="0.0277777777777779"/>
                  <c:y val="-0.018518518518518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11111111111111"/>
                  <c:y val="0.013888888888888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277777777777779"/>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138888888888889"/>
                  <c:y val="4.24377813600671e-1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277777777777779"/>
                  <c:y val="0.013888888888888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年初预算、决算支出对比!$B$4:$B$10</c:f>
              <c:strCache>
                <c:ptCount val="7"/>
                <c:pt idx="0">
                  <c:v>科学技术支出</c:v>
                </c:pt>
                <c:pt idx="1">
                  <c:v>社会保障和就业支出</c:v>
                </c:pt>
                <c:pt idx="2">
                  <c:v>卫生健康支出</c:v>
                </c:pt>
                <c:pt idx="3">
                  <c:v>资源勘探信息等支出</c:v>
                </c:pt>
                <c:pt idx="4">
                  <c:v>商业服务业支出</c:v>
                </c:pt>
                <c:pt idx="5">
                  <c:v>住房保障支出</c:v>
                </c:pt>
                <c:pt idx="6">
                  <c:v>其他支出</c:v>
                </c:pt>
              </c:strCache>
            </c:strRef>
          </c:cat>
          <c:val>
            <c:numRef>
              <c:f>年初预算、决算支出对比!$D$4:$D$10</c:f>
              <c:numCache>
                <c:formatCode>General</c:formatCode>
                <c:ptCount val="7"/>
                <c:pt idx="0">
                  <c:v>537.68</c:v>
                </c:pt>
                <c:pt idx="1">
                  <c:v>490.45</c:v>
                </c:pt>
                <c:pt idx="2">
                  <c:v>37.71</c:v>
                </c:pt>
                <c:pt idx="3">
                  <c:v>382.26</c:v>
                </c:pt>
                <c:pt idx="4">
                  <c:v>225</c:v>
                </c:pt>
                <c:pt idx="5">
                  <c:v>36.12</c:v>
                </c:pt>
                <c:pt idx="6">
                  <c:v>30</c:v>
                </c:pt>
              </c:numCache>
            </c:numRef>
          </c:val>
        </c:ser>
        <c:dLbls>
          <c:showLegendKey val="0"/>
          <c:showVal val="1"/>
          <c:showCatName val="0"/>
          <c:showSerName val="0"/>
          <c:showPercent val="0"/>
          <c:showBubbleSize val="0"/>
        </c:dLbls>
        <c:gapWidth val="150"/>
        <c:axId val="64715008"/>
        <c:axId val="64729088"/>
      </c:barChart>
      <c:catAx>
        <c:axId val="6471500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4729088"/>
        <c:crosses val="autoZero"/>
        <c:auto val="1"/>
        <c:lblAlgn val="ctr"/>
        <c:lblOffset val="100"/>
        <c:noMultiLvlLbl val="0"/>
      </c:catAx>
      <c:valAx>
        <c:axId val="647290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471500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B4D874-34D0-4CFB-8273-CA9BB86421C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2302</Words>
  <Characters>13127</Characters>
  <Lines>109</Lines>
  <Paragraphs>30</Paragraphs>
  <TotalTime>1319</TotalTime>
  <ScaleCrop>false</ScaleCrop>
  <LinksUpToDate>false</LinksUpToDate>
  <CharactersWithSpaces>15399</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LENOVO</cp:lastModifiedBy>
  <cp:lastPrinted>2020-09-01T08:31:00Z</cp:lastPrinted>
  <dcterms:modified xsi:type="dcterms:W3CDTF">2026-01-16T00:58:37Z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