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8428EC">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3F22C498">
      <w:pPr>
        <w:widowControl w:val="0"/>
        <w:adjustRightInd/>
        <w:snapToGrid/>
        <w:spacing w:after="0" w:line="480" w:lineRule="auto"/>
        <w:jc w:val="center"/>
        <w:rPr>
          <w:rFonts w:ascii="黑体" w:hAnsi="黑体" w:eastAsia="黑体" w:cs="Times New Roman"/>
          <w:bCs/>
          <w:kern w:val="2"/>
          <w:sz w:val="48"/>
          <w:szCs w:val="48"/>
        </w:rPr>
      </w:pPr>
    </w:p>
    <w:p w14:paraId="33DCD369">
      <w:pPr>
        <w:widowControl w:val="0"/>
        <w:adjustRightInd/>
        <w:snapToGrid/>
        <w:spacing w:after="0" w:line="480" w:lineRule="auto"/>
        <w:jc w:val="center"/>
        <w:rPr>
          <w:rFonts w:ascii="黑体" w:hAnsi="黑体" w:eastAsia="黑体" w:cs="Times New Roman"/>
          <w:bCs/>
          <w:kern w:val="2"/>
          <w:sz w:val="48"/>
          <w:szCs w:val="48"/>
        </w:rPr>
      </w:pPr>
      <w:r>
        <w:rPr>
          <w:rFonts w:hint="eastAsia" w:ascii="黑体" w:hAnsi="黑体" w:eastAsia="黑体" w:cs="Times New Roman"/>
          <w:bCs/>
          <w:kern w:val="2"/>
          <w:sz w:val="48"/>
          <w:szCs w:val="48"/>
        </w:rPr>
        <w:t>保定市徐水区崔庄</w:t>
      </w:r>
      <w:r>
        <w:rPr>
          <w:rFonts w:ascii="黑体" w:hAnsi="黑体" w:eastAsia="黑体" w:cs="Times New Roman"/>
          <w:bCs/>
          <w:kern w:val="2"/>
          <w:sz w:val="48"/>
          <w:szCs w:val="48"/>
        </w:rPr>
        <w:t>镇</w:t>
      </w:r>
      <w:r>
        <w:rPr>
          <w:rFonts w:hint="eastAsia" w:ascii="黑体" w:hAnsi="黑体" w:eastAsia="黑体" w:cs="Times New Roman"/>
          <w:bCs/>
          <w:kern w:val="2"/>
          <w:sz w:val="48"/>
          <w:szCs w:val="48"/>
        </w:rPr>
        <w:t>2022年部门</w:t>
      </w:r>
    </w:p>
    <w:p w14:paraId="39A734F8">
      <w:pPr>
        <w:widowControl w:val="0"/>
        <w:adjustRightInd/>
        <w:snapToGrid/>
        <w:spacing w:after="0" w:line="480" w:lineRule="auto"/>
        <w:jc w:val="center"/>
        <w:rPr>
          <w:rFonts w:ascii="黑体" w:hAnsi="黑体" w:eastAsia="黑体" w:cs="Times New Roman"/>
          <w:bCs/>
          <w:kern w:val="2"/>
          <w:sz w:val="48"/>
          <w:szCs w:val="48"/>
        </w:rPr>
      </w:pPr>
      <w:r>
        <w:rPr>
          <w:rFonts w:hint="eastAsia" w:ascii="黑体" w:hAnsi="黑体" w:eastAsia="黑体" w:cs="Times New Roman"/>
          <w:bCs/>
          <w:kern w:val="2"/>
          <w:sz w:val="48"/>
          <w:szCs w:val="48"/>
        </w:rPr>
        <w:t>整体支出绩效评价自评报告</w:t>
      </w:r>
    </w:p>
    <w:p w14:paraId="5EA7CF0E">
      <w:pPr>
        <w:widowControl w:val="0"/>
        <w:adjustRightInd/>
        <w:snapToGrid/>
        <w:spacing w:after="0" w:line="480" w:lineRule="auto"/>
        <w:jc w:val="center"/>
        <w:rPr>
          <w:rFonts w:ascii="黑体" w:hAnsi="黑体" w:eastAsia="黑体" w:cs="Times New Roman"/>
          <w:bCs/>
          <w:kern w:val="2"/>
          <w:sz w:val="32"/>
          <w:szCs w:val="32"/>
        </w:rPr>
      </w:pPr>
      <w:r>
        <w:rPr>
          <w:rFonts w:hint="eastAsia" w:ascii="黑体" w:hAnsi="黑体" w:eastAsia="黑体" w:cs="Times New Roman"/>
          <w:bCs/>
          <w:kern w:val="2"/>
          <w:sz w:val="32"/>
          <w:szCs w:val="32"/>
        </w:rPr>
        <w:t>　</w:t>
      </w:r>
    </w:p>
    <w:p w14:paraId="66BF386E">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50E4C6D3">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73AC77F2">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3A828350">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3BF46C67">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2AEF8B2E">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42BB1C6F">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1F3E950F">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3EE925E8">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11601DBC">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2F6170B7">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482DF7E5">
      <w:pPr>
        <w:widowControl w:val="0"/>
        <w:adjustRightInd/>
        <w:snapToGrid/>
        <w:spacing w:after="0" w:line="540" w:lineRule="exact"/>
        <w:ind w:firstLine="720" w:firstLineChars="200"/>
        <w:jc w:val="center"/>
        <w:rPr>
          <w:rFonts w:cs="Times New Roman" w:asciiTheme="minorEastAsia" w:hAnsiTheme="minorEastAsia" w:eastAsiaTheme="minorEastAsia"/>
          <w:bCs/>
          <w:kern w:val="2"/>
          <w:sz w:val="36"/>
          <w:szCs w:val="36"/>
        </w:rPr>
      </w:pPr>
      <w:r>
        <w:rPr>
          <w:rFonts w:hint="eastAsia" w:cs="Times New Roman" w:asciiTheme="minorEastAsia" w:hAnsiTheme="minorEastAsia" w:eastAsiaTheme="minorEastAsia"/>
          <w:bCs/>
          <w:kern w:val="2"/>
          <w:sz w:val="36"/>
          <w:szCs w:val="36"/>
        </w:rPr>
        <w:t>202</w:t>
      </w:r>
      <w:r>
        <w:rPr>
          <w:rFonts w:cs="Times New Roman" w:asciiTheme="minorEastAsia" w:hAnsiTheme="minorEastAsia" w:eastAsiaTheme="minorEastAsia"/>
          <w:bCs/>
          <w:kern w:val="2"/>
          <w:sz w:val="36"/>
          <w:szCs w:val="36"/>
        </w:rPr>
        <w:t>3</w:t>
      </w:r>
      <w:r>
        <w:rPr>
          <w:rFonts w:hint="eastAsia" w:cs="Times New Roman" w:asciiTheme="minorEastAsia" w:hAnsiTheme="minorEastAsia" w:eastAsiaTheme="minorEastAsia"/>
          <w:bCs/>
          <w:kern w:val="2"/>
          <w:sz w:val="36"/>
          <w:szCs w:val="36"/>
        </w:rPr>
        <w:t>年</w:t>
      </w:r>
      <w:r>
        <w:rPr>
          <w:rFonts w:cs="Times New Roman" w:asciiTheme="minorEastAsia" w:hAnsiTheme="minorEastAsia" w:eastAsiaTheme="minorEastAsia"/>
          <w:bCs/>
          <w:kern w:val="2"/>
          <w:sz w:val="36"/>
          <w:szCs w:val="36"/>
        </w:rPr>
        <w:t>8</w:t>
      </w:r>
      <w:r>
        <w:rPr>
          <w:rFonts w:hint="eastAsia" w:cs="Times New Roman" w:asciiTheme="minorEastAsia" w:hAnsiTheme="minorEastAsia" w:eastAsiaTheme="minorEastAsia"/>
          <w:bCs/>
          <w:kern w:val="2"/>
          <w:sz w:val="36"/>
          <w:szCs w:val="36"/>
        </w:rPr>
        <w:t>月</w:t>
      </w:r>
    </w:p>
    <w:p w14:paraId="268BD6BF">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5DBA2CF6">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4A5BAF76">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sdt>
      <w:sdtPr>
        <w:rPr>
          <w:rFonts w:ascii="Tahoma" w:hAnsi="Tahoma" w:eastAsia="微软雅黑" w:cstheme="minorBidi"/>
          <w:b w:val="0"/>
          <w:bCs w:val="0"/>
          <w:color w:val="auto"/>
          <w:sz w:val="22"/>
          <w:szCs w:val="22"/>
          <w:lang w:val="zh-CN"/>
        </w:rPr>
        <w:id w:val="8905895"/>
        <w:docPartObj>
          <w:docPartGallery w:val="Table of Contents"/>
          <w:docPartUnique/>
        </w:docPartObj>
      </w:sdtPr>
      <w:sdtEndPr>
        <w:rPr>
          <w:rFonts w:ascii="Tahoma" w:hAnsi="Tahoma" w:eastAsia="微软雅黑" w:cstheme="minorBidi"/>
          <w:b w:val="0"/>
          <w:bCs w:val="0"/>
          <w:color w:val="auto"/>
          <w:sz w:val="22"/>
          <w:szCs w:val="22"/>
          <w:lang w:val="en-US"/>
        </w:rPr>
      </w:sdtEndPr>
      <w:sdtContent>
        <w:p w14:paraId="3A671065">
          <w:pPr>
            <w:pStyle w:val="71"/>
            <w:ind w:firstLine="440" w:firstLineChars="200"/>
            <w:jc w:val="center"/>
            <w:rPr>
              <w:color w:val="auto"/>
              <w:sz w:val="44"/>
              <w:szCs w:val="44"/>
              <w:lang w:val="zh-CN"/>
            </w:rPr>
          </w:pPr>
          <w:r>
            <w:rPr>
              <w:color w:val="auto"/>
              <w:sz w:val="44"/>
              <w:szCs w:val="44"/>
              <w:lang w:val="zh-CN"/>
            </w:rPr>
            <w:t>目</w:t>
          </w:r>
          <w:r>
            <w:rPr>
              <w:rFonts w:hint="eastAsia"/>
              <w:color w:val="auto"/>
              <w:sz w:val="44"/>
              <w:szCs w:val="44"/>
              <w:lang w:val="zh-CN"/>
            </w:rPr>
            <w:t xml:space="preserve">    </w:t>
          </w:r>
          <w:r>
            <w:rPr>
              <w:color w:val="auto"/>
              <w:sz w:val="44"/>
              <w:szCs w:val="44"/>
              <w:lang w:val="zh-CN"/>
            </w:rPr>
            <w:t>录</w:t>
          </w:r>
        </w:p>
        <w:p w14:paraId="1EECB3F5">
          <w:pPr>
            <w:pStyle w:val="18"/>
            <w:tabs>
              <w:tab w:val="right" w:leader="dot" w:pos="8312"/>
            </w:tabs>
            <w:spacing w:line="312" w:lineRule="auto"/>
            <w:ind w:left="0" w:leftChars="0"/>
            <w:rPr>
              <w:rFonts w:asciiTheme="majorEastAsia" w:hAnsiTheme="majorEastAsia" w:eastAsiaTheme="majorEastAsia" w:cstheme="majorEastAsia"/>
              <w:b/>
              <w:bCs/>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TOC \o "1-3" \h \z \u </w:instrText>
          </w:r>
          <w:r>
            <w:rPr>
              <w:rFonts w:asciiTheme="minorEastAsia" w:hAnsiTheme="minorEastAsia" w:eastAsiaTheme="minorEastAsia"/>
              <w:sz w:val="24"/>
            </w:rPr>
            <w:fldChar w:fldCharType="separate"/>
          </w:r>
          <w:r>
            <w:fldChar w:fldCharType="begin"/>
          </w:r>
          <w:r>
            <w:instrText xml:space="preserve"> HYPERLINK \l "_Toc25184" </w:instrText>
          </w:r>
          <w:r>
            <w:fldChar w:fldCharType="separate"/>
          </w:r>
          <w:r>
            <w:rPr>
              <w:rFonts w:hint="eastAsia" w:asciiTheme="majorEastAsia" w:hAnsiTheme="majorEastAsia" w:eastAsiaTheme="majorEastAsia" w:cstheme="majorEastAsia"/>
              <w:b/>
              <w:bCs/>
              <w:sz w:val="24"/>
            </w:rPr>
            <w:t>第一部分   摘  要</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_Toc25184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79C0797E">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"_Toc4346" </w:instrText>
          </w:r>
          <w:r>
            <w:fldChar w:fldCharType="separate"/>
          </w:r>
          <w:r>
            <w:rPr>
              <w:rFonts w:hint="eastAsia" w:asciiTheme="majorEastAsia" w:hAnsiTheme="majorEastAsia" w:eastAsiaTheme="majorEastAsia" w:cstheme="majorEastAsia"/>
              <w:b/>
              <w:bCs/>
              <w:sz w:val="24"/>
            </w:rPr>
            <w:t>第二部分   绩效评价报告</w:t>
          </w:r>
          <w:r>
            <w:rPr>
              <w:rFonts w:hint="eastAsia" w:asciiTheme="majorEastAsia" w:hAnsiTheme="majorEastAsia" w:eastAsiaTheme="majorEastAsia" w:cstheme="majorEastAsia"/>
              <w:b/>
              <w:bCs/>
              <w:sz w:val="24"/>
            </w:rPr>
            <w:tab/>
          </w:r>
          <w:r>
            <w:rPr>
              <w:rFonts w:asciiTheme="majorEastAsia" w:hAnsiTheme="majorEastAsia" w:eastAsiaTheme="majorEastAsia" w:cstheme="majorEastAsia"/>
              <w:b/>
              <w:bCs/>
              <w:sz w:val="24"/>
            </w:rPr>
            <w:t>6</w:t>
          </w:r>
          <w:r>
            <w:rPr>
              <w:rFonts w:asciiTheme="majorEastAsia" w:hAnsiTheme="majorEastAsia" w:eastAsiaTheme="majorEastAsia" w:cstheme="majorEastAsia"/>
              <w:b/>
              <w:bCs/>
              <w:sz w:val="24"/>
            </w:rPr>
            <w:fldChar w:fldCharType="end"/>
          </w:r>
        </w:p>
        <w:p w14:paraId="6801DF84">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"_Toc427" </w:instrText>
          </w:r>
          <w:r>
            <w:fldChar w:fldCharType="separate"/>
          </w:r>
          <w:r>
            <w:rPr>
              <w:rFonts w:hint="eastAsia" w:asciiTheme="majorEastAsia" w:hAnsiTheme="majorEastAsia" w:eastAsiaTheme="majorEastAsia" w:cstheme="majorEastAsia"/>
              <w:b/>
              <w:bCs/>
              <w:sz w:val="24"/>
            </w:rPr>
            <w:t>一、保定市徐水区崔庄</w:t>
          </w:r>
          <w:r>
            <w:rPr>
              <w:rFonts w:asciiTheme="majorEastAsia" w:hAnsiTheme="majorEastAsia" w:eastAsiaTheme="majorEastAsia" w:cstheme="majorEastAsia"/>
              <w:b/>
              <w:bCs/>
              <w:sz w:val="24"/>
            </w:rPr>
            <w:t>镇</w:t>
          </w:r>
          <w:r>
            <w:rPr>
              <w:rFonts w:hint="eastAsia" w:asciiTheme="majorEastAsia" w:hAnsiTheme="majorEastAsia" w:eastAsiaTheme="majorEastAsia" w:cstheme="majorEastAsia"/>
              <w:b/>
              <w:bCs/>
              <w:sz w:val="24"/>
            </w:rPr>
            <w:t>基本情况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_Toc427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6</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2AE8B7D3">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"_Toc11473" </w:instrText>
          </w:r>
          <w:r>
            <w:fldChar w:fldCharType="separate"/>
          </w:r>
          <w:r>
            <w:rPr>
              <w:rFonts w:hint="eastAsia" w:asciiTheme="majorEastAsia" w:hAnsiTheme="majorEastAsia" w:eastAsiaTheme="majorEastAsia" w:cstheme="majorEastAsia"/>
              <w:sz w:val="24"/>
            </w:rPr>
            <w:t>（一）部门职责和工作活动</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_Toc11473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3CE0F092">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"_Toc7075" </w:instrText>
          </w:r>
          <w:r>
            <w:fldChar w:fldCharType="separate"/>
          </w:r>
          <w:r>
            <w:rPr>
              <w:rFonts w:hint="eastAsia" w:asciiTheme="majorEastAsia" w:hAnsiTheme="majorEastAsia" w:eastAsiaTheme="majorEastAsia" w:cstheme="majorEastAsia"/>
              <w:sz w:val="24"/>
            </w:rPr>
            <w:t>（二）部门年度发展规划总体目标和职责分类绩效目标</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_Toc7075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1C79DF7E">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"_Toc1678" </w:instrText>
          </w:r>
          <w:r>
            <w:fldChar w:fldCharType="separate"/>
          </w:r>
          <w:r>
            <w:rPr>
              <w:rFonts w:hint="eastAsia" w:asciiTheme="majorEastAsia" w:hAnsiTheme="majorEastAsia" w:eastAsiaTheme="majorEastAsia" w:cstheme="majorEastAsia"/>
              <w:sz w:val="24"/>
            </w:rPr>
            <w:t>（三）部门预算收入及决算收入</w:t>
          </w:r>
          <w:r>
            <w:rPr>
              <w:rFonts w:hint="eastAsia" w:asciiTheme="majorEastAsia" w:hAnsiTheme="majorEastAsia" w:eastAsiaTheme="majorEastAsia" w:cstheme="majorEastAsia"/>
              <w:sz w:val="24"/>
            </w:rPr>
            <w:tab/>
          </w:r>
          <w:r>
            <w:rPr>
              <w:rFonts w:asciiTheme="majorEastAsia" w:hAnsiTheme="majorEastAsia" w:eastAsiaTheme="majorEastAsia" w:cstheme="majorEastAsia"/>
              <w:sz w:val="24"/>
            </w:rPr>
            <w:t>11</w:t>
          </w:r>
          <w:r>
            <w:rPr>
              <w:rFonts w:asciiTheme="majorEastAsia" w:hAnsiTheme="majorEastAsia" w:eastAsiaTheme="majorEastAsia" w:cstheme="majorEastAsia"/>
              <w:sz w:val="24"/>
            </w:rPr>
            <w:fldChar w:fldCharType="end"/>
          </w:r>
        </w:p>
        <w:p w14:paraId="0A7F9F12">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"_Toc18197" </w:instrText>
          </w:r>
          <w:r>
            <w:fldChar w:fldCharType="separate"/>
          </w:r>
          <w:r>
            <w:rPr>
              <w:rFonts w:hint="eastAsia" w:asciiTheme="majorEastAsia" w:hAnsiTheme="majorEastAsia" w:eastAsiaTheme="majorEastAsia" w:cstheme="majorEastAsia"/>
              <w:sz w:val="24"/>
            </w:rPr>
            <w:t>（四）预算支出及决算支出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_Toc18197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5D063527">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"_Toc19291" </w:instrText>
          </w:r>
          <w:r>
            <w:fldChar w:fldCharType="separate"/>
          </w:r>
          <w:r>
            <w:rPr>
              <w:rFonts w:hint="eastAsia" w:asciiTheme="majorEastAsia" w:hAnsiTheme="majorEastAsia" w:eastAsiaTheme="majorEastAsia" w:cstheme="majorEastAsia"/>
              <w:sz w:val="24"/>
            </w:rPr>
            <w:t>（五）“三公”经费预算安排及支出情况</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_Toc19291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5231FB2C">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"_Toc20454" </w:instrText>
          </w:r>
          <w:r>
            <w:fldChar w:fldCharType="separate"/>
          </w:r>
          <w:r>
            <w:rPr>
              <w:rFonts w:hint="eastAsia" w:asciiTheme="majorEastAsia" w:hAnsiTheme="majorEastAsia" w:eastAsiaTheme="majorEastAsia" w:cstheme="majorEastAsia"/>
              <w:b/>
              <w:bCs/>
              <w:sz w:val="24"/>
            </w:rPr>
            <w:t>二、部门整体支出绩效评价指标体系设定情况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_Toc20454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14</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627DB74D">
          <w:pPr>
            <w:pStyle w:val="18"/>
            <w:tabs>
              <w:tab w:val="right" w:leader="dot" w:pos="8312"/>
            </w:tabs>
            <w:spacing w:line="312" w:lineRule="auto"/>
            <w:ind w:left="0" w:leftChars="0" w:firstLine="300" w:firstLineChars="100"/>
            <w:rPr>
              <w:rFonts w:asciiTheme="majorEastAsia" w:hAnsiTheme="majorEastAsia" w:eastAsiaTheme="majorEastAsia" w:cstheme="majorEastAsia"/>
              <w:sz w:val="24"/>
            </w:rPr>
          </w:pPr>
          <w:r>
            <w:fldChar w:fldCharType="begin"/>
          </w:r>
          <w:r>
            <w:instrText xml:space="preserve"> HYPERLINK \l "_Toc9569"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_Toc9569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14</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0BEDE988">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"_Toc30221"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_Toc30221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4124B0BE">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"_Toc24932"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_Toc24932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379D348D">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"_Toc21821"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_Toc21821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24F5E2A9">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"_Toc11842" </w:instrText>
          </w:r>
          <w:r>
            <w:fldChar w:fldCharType="separate"/>
          </w:r>
          <w:r>
            <w:rPr>
              <w:rFonts w:hint="eastAsia" w:asciiTheme="majorEastAsia" w:hAnsiTheme="majorEastAsia" w:eastAsiaTheme="majorEastAsia" w:cstheme="majorEastAsia"/>
              <w:b/>
              <w:bCs/>
              <w:sz w:val="24"/>
            </w:rPr>
            <w:t>三、综合绩效评价工作情况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_Toc11842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16</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08053448">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"_Toc17138" </w:instrText>
          </w:r>
          <w:r>
            <w:fldChar w:fldCharType="separate"/>
          </w:r>
          <w:r>
            <w:rPr>
              <w:rFonts w:hint="eastAsia" w:asciiTheme="majorEastAsia" w:hAnsiTheme="majorEastAsia" w:eastAsiaTheme="majorEastAsia" w:cstheme="majorEastAsia"/>
              <w:sz w:val="24"/>
            </w:rPr>
            <w:t>（一）绩效评价目的</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_Toc17138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4AB35B30">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"_Toc11607" </w:instrText>
          </w:r>
          <w:r>
            <w:fldChar w:fldCharType="separate"/>
          </w:r>
          <w:r>
            <w:rPr>
              <w:rFonts w:hint="eastAsia" w:asciiTheme="majorEastAsia" w:hAnsiTheme="majorEastAsia" w:eastAsiaTheme="majorEastAsia" w:cstheme="majorEastAsia"/>
              <w:sz w:val="24"/>
            </w:rPr>
            <w:t>（二）绩效评价依据</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_Toc11607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5DBE20A5">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"_Toc7609" </w:instrText>
          </w:r>
          <w:r>
            <w:fldChar w:fldCharType="separate"/>
          </w:r>
          <w:r>
            <w:rPr>
              <w:rFonts w:hint="eastAsia" w:asciiTheme="majorEastAsia" w:hAnsiTheme="majorEastAsia" w:eastAsiaTheme="majorEastAsia" w:cstheme="majorEastAsia"/>
              <w:sz w:val="24"/>
            </w:rPr>
            <w:t>（三）绩效评价内容</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_Toc7609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61F73C78">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"_Toc789" </w:instrText>
          </w:r>
          <w:r>
            <w:fldChar w:fldCharType="separate"/>
          </w:r>
          <w:r>
            <w:rPr>
              <w:rFonts w:hint="eastAsia" w:asciiTheme="majorEastAsia" w:hAnsiTheme="majorEastAsia" w:eastAsiaTheme="majorEastAsia" w:cstheme="majorEastAsia"/>
              <w:sz w:val="24"/>
            </w:rPr>
            <w:t>（四）绩效评价原则</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_Toc789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64D7C253">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"_Toc8171" </w:instrText>
          </w:r>
          <w:r>
            <w:fldChar w:fldCharType="separate"/>
          </w:r>
          <w:r>
            <w:rPr>
              <w:rFonts w:hint="eastAsia" w:asciiTheme="majorEastAsia" w:hAnsiTheme="majorEastAsia" w:eastAsiaTheme="majorEastAsia" w:cstheme="majorEastAsia"/>
              <w:sz w:val="24"/>
            </w:rPr>
            <w:t>（五）绩效评价方法</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_Toc8171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18</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4446D839">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"_Toc20821" </w:instrText>
          </w:r>
          <w:r>
            <w:fldChar w:fldCharType="separate"/>
          </w:r>
          <w:r>
            <w:rPr>
              <w:rFonts w:hint="eastAsia" w:asciiTheme="majorEastAsia" w:hAnsiTheme="majorEastAsia" w:eastAsiaTheme="majorEastAsia" w:cstheme="majorEastAsia"/>
              <w:sz w:val="24"/>
            </w:rPr>
            <w:t>（六）绩效评价工作过程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_Toc20821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18</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6CE1D606">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"_Toc6467" </w:instrText>
          </w:r>
          <w:r>
            <w:fldChar w:fldCharType="separate"/>
          </w:r>
          <w:r>
            <w:rPr>
              <w:rFonts w:hint="eastAsia" w:asciiTheme="majorEastAsia" w:hAnsiTheme="majorEastAsia" w:eastAsiaTheme="majorEastAsia" w:cstheme="majorEastAsia"/>
              <w:b/>
              <w:bCs/>
              <w:sz w:val="24"/>
            </w:rPr>
            <w:t>四、绩效评价评分情况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_Toc6467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20</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2EDCA3C9">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"_Toc4390"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_Toc4390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20</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61841662">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"_Toc19940"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_Toc19940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235B8891">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"_Toc12330"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_Toc12330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28</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0992E9C9">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"_Toc28363"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_Toc28363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30</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641F85F4">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"_Toc13757" </w:instrText>
          </w:r>
          <w:r>
            <w:fldChar w:fldCharType="separate"/>
          </w:r>
          <w:r>
            <w:rPr>
              <w:rFonts w:hint="eastAsia" w:asciiTheme="majorEastAsia" w:hAnsiTheme="majorEastAsia" w:eastAsiaTheme="majorEastAsia" w:cstheme="majorEastAsia"/>
              <w:b/>
              <w:bCs/>
              <w:sz w:val="24"/>
            </w:rPr>
            <w:t>五、绩效评价发现的问题</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_Toc13757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31</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2862DBDA">
          <w:pPr>
            <w:pStyle w:val="18"/>
            <w:tabs>
              <w:tab w:val="right" w:leader="dot" w:pos="8312"/>
            </w:tabs>
            <w:spacing w:line="312" w:lineRule="auto"/>
            <w:ind w:left="0" w:leftChars="0"/>
            <w:rPr>
              <w:b/>
              <w:bCs/>
            </w:rPr>
          </w:pPr>
          <w:r>
            <w:fldChar w:fldCharType="begin"/>
          </w:r>
          <w:r>
            <w:instrText xml:space="preserve"> HYPERLINK \l "_Toc20723" </w:instrText>
          </w:r>
          <w:r>
            <w:fldChar w:fldCharType="separate"/>
          </w:r>
          <w:r>
            <w:rPr>
              <w:rFonts w:hint="eastAsia" w:asciiTheme="majorEastAsia" w:hAnsiTheme="majorEastAsia" w:eastAsiaTheme="majorEastAsia" w:cstheme="majorEastAsia"/>
              <w:b/>
              <w:bCs/>
              <w:sz w:val="24"/>
            </w:rPr>
            <w:t>六、绩效评价意见及建议</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_Toc20723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31</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7398F77C">
          <w:pPr>
            <w:spacing w:line="312" w:lineRule="auto"/>
            <w:ind w:firstLine="440" w:firstLineChars="200"/>
            <w:jc w:val="both"/>
            <w:sectPr>
              <w:footerReference r:id="rId4" w:type="default"/>
              <w:pgSz w:w="11906" w:h="16838"/>
              <w:pgMar w:top="1440" w:right="1797" w:bottom="1191" w:left="1797" w:header="709" w:footer="709" w:gutter="0"/>
              <w:pgNumType w:start="1"/>
              <w:cols w:space="708" w:num="1"/>
              <w:docGrid w:linePitch="360" w:charSpace="0"/>
            </w:sectPr>
          </w:pPr>
          <w:r>
            <w:rPr>
              <w:rFonts w:asciiTheme="minorEastAsia" w:hAnsiTheme="minorEastAsia" w:eastAsiaTheme="minorEastAsia"/>
              <w:szCs w:val="24"/>
            </w:rPr>
            <w:fldChar w:fldCharType="end"/>
          </w:r>
        </w:p>
      </w:sdtContent>
    </w:sdt>
    <w:p w14:paraId="4E5B4037">
      <w:pPr>
        <w:pStyle w:val="3"/>
        <w:spacing w:line="540" w:lineRule="exact"/>
        <w:jc w:val="center"/>
        <w:rPr>
          <w:rFonts w:ascii="黑体" w:hAnsi="黑体"/>
          <w:b w:val="0"/>
        </w:rPr>
      </w:pPr>
      <w:bookmarkStart w:id="0" w:name="_Toc25184"/>
      <w:r>
        <w:rPr>
          <w:rFonts w:hint="eastAsia" w:ascii="黑体" w:hAnsi="黑体"/>
          <w:b w:val="0"/>
        </w:rPr>
        <w:t>第一部分   摘  要</w:t>
      </w:r>
      <w:bookmarkEnd w:id="0"/>
    </w:p>
    <w:p w14:paraId="1DBB54A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为深入贯彻落实中共中央国务院《关于全面实施预算绩效管理的意见》、中共河北省委河北省人民政府《关于全面实施预算绩效管理的实施意见》、河北省财政厅《全面实施预算绩效管理推进工作方案》的精神，进一步加强和规范预算绩效运行监控工作，确保绩效目标如期保质保量实现，提高预算执行效率和财政资金使用效益，我单位对2022年部门整体支出情况开展了绩效自评价工作。</w:t>
      </w:r>
    </w:p>
    <w:p w14:paraId="36AC2A6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保定市徐水区崔庄镇人民政府为正科级行政单位，经费保障形式为财政拨款，主要职能,主要包括：</w:t>
      </w:r>
    </w:p>
    <w:p w14:paraId="05E32B5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（1）执行本级代表大会的决议和上级国家行政机关的决定和命令，发布决定和命令；</w:t>
      </w:r>
    </w:p>
    <w:p w14:paraId="7702DA2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（2）制定并落实本行政区域内的经济发展计划，加强公共设施的建设和管理，发展各项服务事业；</w:t>
      </w:r>
    </w:p>
    <w:p w14:paraId="437929A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（3）加强水利建设、土地使用管理和环境综合整治，合理利用自然资源，保护、改善生态和生活环境；</w:t>
      </w:r>
    </w:p>
    <w:p w14:paraId="1A3F806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（4）依法管理镇财政，执行本级预算；</w:t>
      </w:r>
    </w:p>
    <w:p w14:paraId="112E952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（5）管理和发展文化、教育、科学、广播、体育、卫生等事业；</w:t>
      </w:r>
    </w:p>
    <w:p w14:paraId="431C3AC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（6）保护社会主义的全民所有财产和劳动群众的集体所有财产，保护公民个人所有的合法财产，保护公民的人身权利、民主权利和其他权利，保护各种经济的合法权益；</w:t>
      </w:r>
    </w:p>
    <w:p w14:paraId="2D06CC3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（7）组织实施社会主义与民主法制教育，协调公安、司法行政工作，调解民事纠纷，维护社会秩序；</w:t>
      </w:r>
    </w:p>
    <w:p w14:paraId="78D4319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(8）推行计划生育政策，控制人口增长，保护妇女、儿童和老人的合法权益；</w:t>
      </w:r>
    </w:p>
    <w:p w14:paraId="7F804E9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(9)管理民政事务工作，发展社会福利事业，做好社会保障工作，办理兵役事项；</w:t>
      </w:r>
    </w:p>
    <w:p w14:paraId="7854E38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(10)办理上级人民政府交办的其他事项。</w:t>
      </w:r>
    </w:p>
    <w:p w14:paraId="6BA9B40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是制定科学合理的评价方法、评价标准和指标体系，对财政资金的使用及产生的效益进行客观、公正的评价。通过部门整体支出绩效评价工作了解部门绩效目标和指标的设置及完成情况；部门整体资金预算情况、实际收支及结转结余情况；部门履职对社会发展所带来的直接或间接影响及服务对象对部门履职效果的满意程度，促使相关部门根据绩效评价过程中发现的问题，及时整改并总结经验，提高部门管理水平，牢固树立预算绩效理念，强化部门支出责任，提高预算执行效率和财政资金使用效益。</w:t>
      </w:r>
    </w:p>
    <w:p w14:paraId="686CE98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评价工作经过了前期准备、绩效评价实施方案和指标体系制定、组织实施、绩效评价报告撰写四个阶段。</w:t>
      </w:r>
    </w:p>
    <w:p w14:paraId="3547D0A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中共河北省委河北省人民政府《关于全面实施预算绩效管理的实施意见》的相关规定，以河北省财政厅《全面实施预算绩效管理推进工作方案》、《保定市徐水区部门预算绩效运行监控工作规程》中的相关工作要求作为评价标准，采取定量和定性评价相结合的方法，对资料进行审核、分析，实事求是、客观公正地完成了保</w:t>
      </w:r>
      <w:r>
        <w:rPr>
          <w:rFonts w:ascii="仿宋_GB2312" w:eastAsia="仿宋_GB2312" w:cs="DengXian-Regular"/>
          <w:sz w:val="32"/>
          <w:szCs w:val="32"/>
        </w:rPr>
        <w:t>定市徐</w:t>
      </w:r>
      <w:r>
        <w:rPr>
          <w:rFonts w:hint="eastAsia" w:ascii="仿宋_GB2312" w:eastAsia="仿宋_GB2312" w:cs="DengXian-Regular"/>
          <w:sz w:val="32"/>
          <w:szCs w:val="32"/>
        </w:rPr>
        <w:t>水</w:t>
      </w:r>
      <w:r>
        <w:rPr>
          <w:rFonts w:ascii="仿宋_GB2312" w:eastAsia="仿宋_GB2312" w:cs="DengXian-Regular"/>
          <w:sz w:val="32"/>
          <w:szCs w:val="32"/>
        </w:rPr>
        <w:t>区崔庄镇</w:t>
      </w:r>
      <w:r>
        <w:rPr>
          <w:rFonts w:hint="eastAsia" w:ascii="仿宋_GB2312" w:eastAsia="仿宋_GB2312" w:cs="DengXian-Regular"/>
          <w:sz w:val="32"/>
          <w:szCs w:val="32"/>
        </w:rPr>
        <w:t>2022年部门整体支出绩效评价工作。</w:t>
      </w:r>
    </w:p>
    <w:p w14:paraId="1F1CBD7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保</w:t>
      </w:r>
      <w:r>
        <w:rPr>
          <w:rFonts w:ascii="仿宋_GB2312" w:eastAsia="仿宋_GB2312" w:cs="DengXian-Regular"/>
          <w:sz w:val="32"/>
          <w:szCs w:val="32"/>
        </w:rPr>
        <w:t>定市徐</w:t>
      </w:r>
      <w:r>
        <w:rPr>
          <w:rFonts w:hint="eastAsia" w:ascii="仿宋_GB2312" w:eastAsia="仿宋_GB2312" w:cs="DengXian-Regular"/>
          <w:sz w:val="32"/>
          <w:szCs w:val="32"/>
        </w:rPr>
        <w:t>水</w:t>
      </w:r>
      <w:r>
        <w:rPr>
          <w:rFonts w:ascii="仿宋_GB2312" w:eastAsia="仿宋_GB2312" w:cs="DengXian-Regular"/>
          <w:sz w:val="32"/>
          <w:szCs w:val="32"/>
        </w:rPr>
        <w:t>区崔庄镇</w:t>
      </w:r>
      <w:r>
        <w:rPr>
          <w:rFonts w:hint="eastAsia" w:ascii="仿宋_GB2312" w:eastAsia="仿宋_GB2312" w:cs="DengXian-Regular"/>
          <w:sz w:val="32"/>
          <w:szCs w:val="32"/>
        </w:rPr>
        <w:t>2022年部门整体支出绩效评价指标体系共设置4个一级指标、7个二级指标、2</w:t>
      </w:r>
      <w:r>
        <w:rPr>
          <w:rFonts w:ascii="仿宋_GB2312" w:eastAsia="仿宋_GB2312" w:cs="DengXian-Regular"/>
          <w:sz w:val="32"/>
          <w:szCs w:val="32"/>
        </w:rPr>
        <w:t>0</w:t>
      </w:r>
      <w:r>
        <w:rPr>
          <w:rFonts w:hint="eastAsia" w:ascii="仿宋_GB2312" w:eastAsia="仿宋_GB2312" w:cs="DengXian-Regular"/>
          <w:sz w:val="32"/>
          <w:szCs w:val="32"/>
        </w:rPr>
        <w:t>个三级指标，从投入、过程、产出、效果四个方面对保</w:t>
      </w:r>
      <w:r>
        <w:rPr>
          <w:rFonts w:ascii="仿宋_GB2312" w:eastAsia="仿宋_GB2312" w:cs="DengXian-Regular"/>
          <w:sz w:val="32"/>
          <w:szCs w:val="32"/>
        </w:rPr>
        <w:t>定市徐</w:t>
      </w:r>
      <w:r>
        <w:rPr>
          <w:rFonts w:hint="eastAsia" w:ascii="仿宋_GB2312" w:eastAsia="仿宋_GB2312" w:cs="DengXian-Regular"/>
          <w:sz w:val="32"/>
          <w:szCs w:val="32"/>
        </w:rPr>
        <w:t>水</w:t>
      </w:r>
      <w:r>
        <w:rPr>
          <w:rFonts w:ascii="仿宋_GB2312" w:eastAsia="仿宋_GB2312" w:cs="DengXian-Regular"/>
          <w:sz w:val="32"/>
          <w:szCs w:val="32"/>
        </w:rPr>
        <w:t>区崔庄镇</w:t>
      </w:r>
      <w:r>
        <w:rPr>
          <w:rFonts w:hint="eastAsia" w:ascii="仿宋_GB2312" w:eastAsia="仿宋_GB2312" w:cs="DengXian-Regular"/>
          <w:sz w:val="32"/>
          <w:szCs w:val="32"/>
        </w:rPr>
        <w:t>部门整体支出情况评分定级。指标体系设定满分为100分，绩效评价分值≥90为“优”；80≤分值＜90为“良”；60≤分值＜80为“合格”；60分以下为“差”。</w:t>
      </w:r>
    </w:p>
    <w:p w14:paraId="2C9D181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保</w:t>
      </w:r>
      <w:r>
        <w:rPr>
          <w:rFonts w:ascii="仿宋_GB2312" w:eastAsia="仿宋_GB2312" w:cs="DengXian-Regular"/>
          <w:sz w:val="32"/>
          <w:szCs w:val="32"/>
        </w:rPr>
        <w:t>定市徐</w:t>
      </w:r>
      <w:r>
        <w:rPr>
          <w:rFonts w:hint="eastAsia" w:ascii="仿宋_GB2312" w:eastAsia="仿宋_GB2312" w:cs="DengXian-Regular"/>
          <w:sz w:val="32"/>
          <w:szCs w:val="32"/>
        </w:rPr>
        <w:t>水</w:t>
      </w:r>
      <w:r>
        <w:rPr>
          <w:rFonts w:ascii="仿宋_GB2312" w:eastAsia="仿宋_GB2312" w:cs="DengXian-Regular"/>
          <w:sz w:val="32"/>
          <w:szCs w:val="32"/>
        </w:rPr>
        <w:t>区崔庄镇</w:t>
      </w:r>
      <w:r>
        <w:rPr>
          <w:rFonts w:hint="eastAsia" w:ascii="仿宋_GB2312" w:eastAsia="仿宋_GB2312" w:cs="DengXian-Regular"/>
          <w:sz w:val="32"/>
          <w:szCs w:val="32"/>
        </w:rPr>
        <w:t>2022年部门整体支出综合评价得分为</w:t>
      </w:r>
      <w:r>
        <w:rPr>
          <w:rFonts w:ascii="仿宋_GB2312" w:eastAsia="仿宋_GB2312" w:cs="DengXian-Regular"/>
          <w:sz w:val="32"/>
          <w:szCs w:val="32"/>
        </w:rPr>
        <w:t>93.5</w:t>
      </w:r>
      <w:r>
        <w:rPr>
          <w:rFonts w:hint="eastAsia" w:ascii="仿宋_GB2312" w:eastAsia="仿宋_GB2312" w:cs="DengXian-Regular"/>
          <w:sz w:val="32"/>
          <w:szCs w:val="32"/>
        </w:rPr>
        <w:t>分，评价等级为“优”。</w:t>
      </w:r>
    </w:p>
    <w:p w14:paraId="21B1AAA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经评价，保</w:t>
      </w:r>
      <w:r>
        <w:rPr>
          <w:rFonts w:ascii="仿宋_GB2312" w:eastAsia="仿宋_GB2312" w:cs="DengXian-Regular"/>
          <w:sz w:val="32"/>
          <w:szCs w:val="32"/>
        </w:rPr>
        <w:t>定市徐</w:t>
      </w:r>
      <w:r>
        <w:rPr>
          <w:rFonts w:hint="eastAsia" w:ascii="仿宋_GB2312" w:eastAsia="仿宋_GB2312" w:cs="DengXian-Regular"/>
          <w:sz w:val="32"/>
          <w:szCs w:val="32"/>
        </w:rPr>
        <w:t>水</w:t>
      </w:r>
      <w:r>
        <w:rPr>
          <w:rFonts w:ascii="仿宋_GB2312" w:eastAsia="仿宋_GB2312" w:cs="DengXian-Regular"/>
          <w:sz w:val="32"/>
          <w:szCs w:val="32"/>
        </w:rPr>
        <w:t>区崔庄镇</w:t>
      </w:r>
      <w:r>
        <w:rPr>
          <w:rFonts w:hint="eastAsia" w:ascii="仿宋_GB2312" w:eastAsia="仿宋_GB2312" w:cs="DengXian-Regular"/>
          <w:sz w:val="32"/>
          <w:szCs w:val="32"/>
        </w:rPr>
        <w:t>2022年部门预算编制完整性、项目预算细化率、收入完成率、财政拨款支出完成率、“三公经费”控制率、资金使用合规性、决算真实性、管理制度健全性、预决算信息公开、资产管理规范性、绩效自评覆盖率、绩效评价优等率、结转结余率、部门整体效益等指标完成情况较好。</w:t>
      </w:r>
    </w:p>
    <w:p w14:paraId="37ECBE6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通过本次绩效评价工作，发现我单位在以下几个方面存在一些不足之处，具体如下：</w:t>
      </w:r>
    </w:p>
    <w:p w14:paraId="105076C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1.绩效指标方面</w:t>
      </w:r>
    </w:p>
    <w:p w14:paraId="79E9FE4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2.预算调整率</w:t>
      </w:r>
    </w:p>
    <w:p w14:paraId="20CC839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3.管理制度健全性</w:t>
      </w:r>
    </w:p>
    <w:p w14:paraId="60E03E18">
      <w:pPr>
        <w:spacing w:after="0" w:line="360" w:lineRule="auto"/>
        <w:ind w:firstLine="640" w:firstLineChars="200"/>
        <w:jc w:val="both"/>
        <w:textAlignment w:val="baseline"/>
        <w:rPr>
          <w:rFonts w:ascii="仿宋_GB2312" w:eastAsia="仿宋_GB2312" w:cs="DengXian-Regular"/>
          <w:sz w:val="32"/>
          <w:szCs w:val="32"/>
        </w:rPr>
      </w:pPr>
      <w:r>
        <w:rPr>
          <w:rFonts w:ascii="仿宋_GB2312" w:eastAsia="仿宋_GB2312" w:cs="DengXian-Regular"/>
          <w:sz w:val="32"/>
          <w:szCs w:val="32"/>
        </w:rPr>
        <w:t>4.</w:t>
      </w:r>
      <w:r>
        <w:rPr>
          <w:rFonts w:hint="eastAsia" w:ascii="仿宋_GB2312" w:eastAsia="仿宋_GB2312" w:cs="DengXian-Regular"/>
          <w:sz w:val="32"/>
          <w:szCs w:val="32"/>
        </w:rPr>
        <w:t>部分基础数据信息方面</w:t>
      </w:r>
    </w:p>
    <w:p w14:paraId="15BB188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针对此次绩效评价过程中发现的问题，我们建议：</w:t>
      </w:r>
    </w:p>
    <w:p w14:paraId="45A9C06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1.增强绩效指标设置的明确性</w:t>
      </w:r>
    </w:p>
    <w:p w14:paraId="1C46E77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工作活动、预算项目绩效指标应当清晰、可评价、可衡量。建议在设置职责活动绩效指标时，将绩效目标细化分解为具体的工作任务数，从而使绩效目标可量化，便于对目标实现情况进行考核。</w:t>
      </w:r>
    </w:p>
    <w:p w14:paraId="672A94F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2.提高预算编制质量</w:t>
      </w:r>
    </w:p>
    <w:p w14:paraId="67A1FF0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部门预算编制工作要全面反映和体现部门职责，根据具体情况及时调整预算的编制，缩小预算与决算差额，减少中期预算追加，提高预算编制质量，发挥预算约束作用。</w:t>
      </w:r>
    </w:p>
    <w:p w14:paraId="4CC0AE7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w:t>
      </w:r>
      <w:bookmarkStart w:id="1" w:name="_Toc4346"/>
      <w:r>
        <w:rPr>
          <w:rFonts w:ascii="仿宋_GB2312" w:eastAsia="仿宋_GB2312" w:cs="DengXian-Regular"/>
          <w:sz w:val="32"/>
          <w:szCs w:val="32"/>
        </w:rPr>
        <w:t>完善基础信息管理</w:t>
      </w:r>
    </w:p>
    <w:p w14:paraId="16F1002B">
      <w:pPr>
        <w:spacing w:after="0" w:line="360" w:lineRule="auto"/>
        <w:ind w:firstLine="640" w:firstLineChars="200"/>
        <w:jc w:val="both"/>
        <w:textAlignment w:val="baseline"/>
        <w:rPr>
          <w:rFonts w:ascii="仿宋_GB2312" w:eastAsia="仿宋_GB2312" w:cs="DengXian-Regular"/>
          <w:sz w:val="32"/>
          <w:szCs w:val="32"/>
        </w:rPr>
      </w:pPr>
      <w:r>
        <w:rPr>
          <w:rFonts w:ascii="仿宋_GB2312" w:eastAsia="仿宋_GB2312" w:cs="DengXian-Regular"/>
          <w:sz w:val="32"/>
          <w:szCs w:val="32"/>
        </w:rPr>
        <w:t>建议严格按照档案管理的相关规定对基础数据信息档案资料及时归档保存，保证项目资料的完整性和可查阅性。</w:t>
      </w:r>
    </w:p>
    <w:p w14:paraId="36A0204D">
      <w:pPr>
        <w:spacing w:after="0" w:line="360" w:lineRule="auto"/>
        <w:ind w:firstLine="640" w:firstLineChars="200"/>
        <w:jc w:val="both"/>
        <w:textAlignment w:val="baseline"/>
        <w:rPr>
          <w:rFonts w:ascii="仿宋_GB2312" w:eastAsia="仿宋_GB2312" w:cs="DengXian-Regular"/>
          <w:sz w:val="32"/>
          <w:szCs w:val="32"/>
        </w:rPr>
      </w:pPr>
      <w:r>
        <w:rPr>
          <w:rFonts w:ascii="仿宋_GB2312" w:eastAsia="仿宋_GB2312" w:cs="DengXian-Regular"/>
          <w:sz w:val="32"/>
          <w:szCs w:val="32"/>
        </w:rPr>
        <w:t>4</w:t>
      </w:r>
      <w:r>
        <w:rPr>
          <w:rFonts w:hint="eastAsia" w:ascii="仿宋_GB2312" w:eastAsia="仿宋_GB2312" w:cs="DengXian-Regular"/>
          <w:sz w:val="32"/>
          <w:szCs w:val="32"/>
        </w:rPr>
        <w:t>.预算安排建议</w:t>
      </w:r>
    </w:p>
    <w:p w14:paraId="38040A0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日常经费方面：由</w:t>
      </w:r>
      <w:r>
        <w:rPr>
          <w:rFonts w:ascii="仿宋_GB2312" w:eastAsia="仿宋_GB2312" w:cs="DengXian-Regular"/>
          <w:sz w:val="32"/>
          <w:szCs w:val="32"/>
        </w:rPr>
        <w:t>于我</w:t>
      </w:r>
      <w:r>
        <w:rPr>
          <w:rFonts w:hint="eastAsia" w:ascii="仿宋_GB2312" w:eastAsia="仿宋_GB2312" w:cs="DengXian-Regular"/>
          <w:sz w:val="32"/>
          <w:szCs w:val="32"/>
        </w:rPr>
        <w:t>镇</w:t>
      </w:r>
      <w:r>
        <w:rPr>
          <w:rFonts w:ascii="仿宋_GB2312" w:eastAsia="仿宋_GB2312" w:cs="DengXian-Regular"/>
          <w:sz w:val="32"/>
          <w:szCs w:val="32"/>
        </w:rPr>
        <w:t>紧邻雄安</w:t>
      </w:r>
      <w:r>
        <w:rPr>
          <w:rFonts w:hint="eastAsia" w:ascii="仿宋_GB2312" w:eastAsia="仿宋_GB2312" w:cs="DengXian-Regular"/>
          <w:sz w:val="32"/>
          <w:szCs w:val="32"/>
        </w:rPr>
        <w:t>新区</w:t>
      </w:r>
      <w:r>
        <w:rPr>
          <w:rFonts w:ascii="仿宋_GB2312" w:eastAsia="仿宋_GB2312" w:cs="DengXian-Regular"/>
          <w:sz w:val="32"/>
          <w:szCs w:val="32"/>
        </w:rPr>
        <w:t>，</w:t>
      </w:r>
      <w:r>
        <w:rPr>
          <w:rFonts w:hint="eastAsia" w:ascii="仿宋_GB2312" w:eastAsia="仿宋_GB2312" w:cs="DengXian-Regular"/>
          <w:sz w:val="32"/>
          <w:szCs w:val="32"/>
        </w:rPr>
        <w:t>雄忻高铁建设、禁烧环保、土地违占督查</w:t>
      </w:r>
      <w:r>
        <w:rPr>
          <w:rFonts w:ascii="仿宋_GB2312" w:eastAsia="仿宋_GB2312" w:cs="DengXian-Regular"/>
          <w:sz w:val="32"/>
          <w:szCs w:val="32"/>
        </w:rPr>
        <w:t>等中心工作日益增多，建议2023年预算根据</w:t>
      </w:r>
      <w:r>
        <w:rPr>
          <w:rFonts w:hint="eastAsia" w:ascii="仿宋_GB2312" w:eastAsia="仿宋_GB2312" w:cs="DengXian-Regular"/>
          <w:sz w:val="32"/>
          <w:szCs w:val="32"/>
        </w:rPr>
        <w:t>202</w:t>
      </w:r>
      <w:r>
        <w:rPr>
          <w:rFonts w:ascii="仿宋_GB2312" w:eastAsia="仿宋_GB2312" w:cs="DengXian-Regular"/>
          <w:sz w:val="32"/>
          <w:szCs w:val="32"/>
        </w:rPr>
        <w:t>2</w:t>
      </w:r>
      <w:r>
        <w:rPr>
          <w:rFonts w:hint="eastAsia" w:ascii="仿宋_GB2312" w:eastAsia="仿宋_GB2312" w:cs="DengXian-Regular"/>
          <w:sz w:val="32"/>
          <w:szCs w:val="32"/>
        </w:rPr>
        <w:t>年实际发生专</w:t>
      </w:r>
      <w:r>
        <w:rPr>
          <w:rFonts w:ascii="仿宋_GB2312" w:eastAsia="仿宋_GB2312" w:cs="DengXian-Regular"/>
          <w:sz w:val="32"/>
          <w:szCs w:val="32"/>
        </w:rPr>
        <w:t>项工作支出，增加专项工作</w:t>
      </w:r>
      <w:r>
        <w:rPr>
          <w:rFonts w:hint="eastAsia" w:ascii="仿宋_GB2312" w:eastAsia="仿宋_GB2312" w:cs="DengXian-Regular"/>
          <w:sz w:val="32"/>
          <w:szCs w:val="32"/>
        </w:rPr>
        <w:t>经费预算。</w:t>
      </w:r>
    </w:p>
    <w:p w14:paraId="0E01A981">
      <w:pPr>
        <w:pStyle w:val="3"/>
        <w:spacing w:line="540" w:lineRule="exact"/>
        <w:jc w:val="center"/>
        <w:rPr>
          <w:rFonts w:ascii="黑体" w:hAnsi="黑体"/>
          <w:b w:val="0"/>
        </w:rPr>
      </w:pPr>
    </w:p>
    <w:p w14:paraId="70D0701C"/>
    <w:p w14:paraId="0769CF7F"/>
    <w:p w14:paraId="0149EF37"/>
    <w:p w14:paraId="0C6ACDAD"/>
    <w:p w14:paraId="78611E44"/>
    <w:p w14:paraId="40D319CA"/>
    <w:p w14:paraId="7D913F02"/>
    <w:p w14:paraId="482B2DC1"/>
    <w:p w14:paraId="3B873309"/>
    <w:p w14:paraId="4CBDA5A7"/>
    <w:p w14:paraId="2288D927"/>
    <w:p w14:paraId="76FF6CB4"/>
    <w:p w14:paraId="3FFA36CB"/>
    <w:p w14:paraId="7D14D7E5"/>
    <w:p w14:paraId="23AB5757"/>
    <w:p w14:paraId="7F4274DA">
      <w:pPr>
        <w:pStyle w:val="3"/>
        <w:spacing w:line="540" w:lineRule="exact"/>
        <w:jc w:val="center"/>
        <w:rPr>
          <w:rFonts w:ascii="黑体" w:hAnsi="黑体"/>
          <w:b w:val="0"/>
        </w:rPr>
      </w:pPr>
    </w:p>
    <w:p w14:paraId="3389BDA4">
      <w:pPr>
        <w:pStyle w:val="3"/>
        <w:spacing w:line="540" w:lineRule="exact"/>
        <w:jc w:val="center"/>
        <w:rPr>
          <w:rFonts w:ascii="黑体" w:hAnsi="黑体"/>
          <w:b w:val="0"/>
        </w:rPr>
      </w:pPr>
      <w:r>
        <w:rPr>
          <w:rFonts w:hint="eastAsia" w:ascii="黑体" w:hAnsi="黑体"/>
          <w:b w:val="0"/>
        </w:rPr>
        <w:t>第二部分   绩效评价报告</w:t>
      </w:r>
      <w:bookmarkEnd w:id="1"/>
    </w:p>
    <w:p w14:paraId="463D0C87">
      <w:pPr>
        <w:pStyle w:val="3"/>
        <w:spacing w:before="0" w:after="0" w:line="360" w:lineRule="auto"/>
        <w:ind w:firstLine="643" w:firstLineChars="200"/>
        <w:rPr>
          <w:rFonts w:ascii="楷体" w:hAnsi="楷体" w:eastAsia="楷体" w:cs="楷体"/>
        </w:rPr>
      </w:pPr>
      <w:bookmarkStart w:id="2" w:name="_Toc492652763"/>
      <w:bookmarkStart w:id="3" w:name="_Toc427"/>
      <w:r>
        <w:rPr>
          <w:rFonts w:hint="eastAsia" w:ascii="楷体" w:hAnsi="楷体" w:eastAsia="楷体" w:cs="楷体"/>
        </w:rPr>
        <w:t>一、保定市徐水区崔</w:t>
      </w:r>
      <w:r>
        <w:rPr>
          <w:rFonts w:ascii="楷体" w:hAnsi="楷体" w:eastAsia="楷体" w:cs="楷体"/>
        </w:rPr>
        <w:t>庄镇</w:t>
      </w:r>
      <w:r>
        <w:rPr>
          <w:rFonts w:hint="eastAsia" w:ascii="楷体" w:hAnsi="楷体" w:eastAsia="楷体" w:cs="楷体"/>
        </w:rPr>
        <w:t>单位基本情况</w:t>
      </w:r>
      <w:bookmarkEnd w:id="2"/>
      <w:bookmarkEnd w:id="3"/>
      <w:bookmarkStart w:id="4" w:name="_Toc492652764"/>
    </w:p>
    <w:p w14:paraId="2F16699E">
      <w:pPr>
        <w:pStyle w:val="4"/>
        <w:spacing w:before="0" w:after="0"/>
        <w:ind w:firstLine="643" w:firstLineChars="200"/>
        <w:jc w:val="both"/>
        <w:rPr>
          <w:rFonts w:ascii="仿宋_GB2312" w:hAnsi="Tahoma" w:cs="DengXian-Regular"/>
          <w:sz w:val="32"/>
        </w:rPr>
      </w:pPr>
      <w:bookmarkStart w:id="5" w:name="_Toc11473"/>
      <w:r>
        <w:rPr>
          <w:rFonts w:hint="eastAsia" w:ascii="仿宋_GB2312" w:hAnsi="Tahoma" w:cs="DengXian-Regular"/>
          <w:sz w:val="32"/>
        </w:rPr>
        <w:t>（一）部门职责和工作活动</w:t>
      </w:r>
      <w:bookmarkEnd w:id="4"/>
      <w:bookmarkEnd w:id="5"/>
    </w:p>
    <w:p w14:paraId="09DE8C52">
      <w:pPr>
        <w:spacing w:line="360" w:lineRule="auto"/>
        <w:ind w:firstLine="640" w:firstLineChars="200"/>
        <w:rPr>
          <w:rFonts w:ascii="仿宋" w:hAnsi="仿宋" w:eastAsia="仿宋"/>
          <w:sz w:val="32"/>
          <w:szCs w:val="32"/>
        </w:rPr>
      </w:pPr>
      <w:bookmarkStart w:id="6" w:name="_Toc465149499"/>
      <w:bookmarkStart w:id="7" w:name="_Toc492652765"/>
      <w:r>
        <w:rPr>
          <w:rFonts w:hint="eastAsia" w:ascii="仿宋" w:hAnsi="仿宋" w:eastAsia="仿宋"/>
          <w:sz w:val="32"/>
          <w:szCs w:val="32"/>
        </w:rPr>
        <w:t>根据《保定市徐水区崔庄镇人民政府职能配置、内设机构和人员编制规定》，</w:t>
      </w:r>
      <w:r>
        <w:rPr>
          <w:rFonts w:ascii="仿宋" w:hAnsi="仿宋" w:eastAsia="仿宋"/>
          <w:sz w:val="32"/>
          <w:szCs w:val="32"/>
        </w:rPr>
        <w:t xml:space="preserve"> 保定市徐水区崔庄镇人民政府的主要职责是：</w:t>
      </w:r>
    </w:p>
    <w:p w14:paraId="39B9E8ED">
      <w:pPr>
        <w:spacing w:line="360" w:lineRule="auto"/>
        <w:ind w:firstLine="640" w:firstLineChars="200"/>
        <w:rPr>
          <w:rFonts w:ascii="仿宋" w:hAnsi="仿宋" w:eastAsia="仿宋"/>
          <w:sz w:val="32"/>
          <w:szCs w:val="32"/>
        </w:rPr>
      </w:pPr>
      <w:r>
        <w:rPr>
          <w:rFonts w:hint="eastAsia" w:ascii="仿宋" w:hAnsi="仿宋" w:eastAsia="仿宋"/>
          <w:sz w:val="32"/>
          <w:szCs w:val="32"/>
        </w:rPr>
        <w:t>（一）负责党委、人大、政府交办的各项日常工作和纪检监察、组织、宣传、统一战线、人事编制、工青妇及各部门、各方面的综合协调工作。督促检查有关工作的落实。</w:t>
      </w:r>
    </w:p>
    <w:p w14:paraId="2C299C59">
      <w:pPr>
        <w:spacing w:line="360" w:lineRule="auto"/>
        <w:ind w:firstLine="640" w:firstLineChars="200"/>
        <w:rPr>
          <w:rFonts w:ascii="仿宋" w:hAnsi="仿宋" w:eastAsia="仿宋"/>
          <w:sz w:val="32"/>
          <w:szCs w:val="32"/>
        </w:rPr>
      </w:pPr>
      <w:r>
        <w:rPr>
          <w:rFonts w:hint="eastAsia" w:ascii="仿宋" w:hAnsi="仿宋" w:eastAsia="仿宋"/>
          <w:sz w:val="32"/>
          <w:szCs w:val="32"/>
        </w:rPr>
        <w:t>（二）负责谋划发展思路、创优发展环境、推进农业产业化、促进农民增收、抓好项目建设、服务辖区企业、加强基础设施建设、国有资产管理、搞好统计工作，协调与经济发展相关的其他工作。负责本级财政预决算、收支和村级财务监督检查等工作。</w:t>
      </w:r>
    </w:p>
    <w:p w14:paraId="535FCA6A">
      <w:pPr>
        <w:spacing w:line="360" w:lineRule="auto"/>
        <w:ind w:firstLine="640" w:firstLineChars="200"/>
        <w:rPr>
          <w:rFonts w:ascii="仿宋" w:hAnsi="仿宋" w:eastAsia="仿宋"/>
          <w:sz w:val="32"/>
          <w:szCs w:val="32"/>
        </w:rPr>
      </w:pPr>
      <w:r>
        <w:rPr>
          <w:rFonts w:hint="eastAsia" w:ascii="仿宋" w:hAnsi="仿宋" w:eastAsia="仿宋"/>
          <w:sz w:val="32"/>
          <w:szCs w:val="32"/>
        </w:rPr>
        <w:t>（三）负责民政优抚、扶贫开发、民族宗教、劳动和社会保障、科教文卫、安全行产等工作。负责本镇农村社会化发展，负责村镇基础设施、交通等规划、建设、管理工作，负责国土资源、环境保护等工作。负责落实人口计划，开展和推动人口和计划生育各项工作，贯彻实施计划生育条例和法规。协调与社会事务相关的其他工作。</w:t>
      </w:r>
    </w:p>
    <w:p w14:paraId="1CE5144F">
      <w:pPr>
        <w:spacing w:line="360" w:lineRule="auto"/>
        <w:ind w:firstLine="640" w:firstLineChars="200"/>
        <w:rPr>
          <w:rFonts w:ascii="仿宋" w:hAnsi="仿宋" w:eastAsia="仿宋"/>
          <w:sz w:val="32"/>
          <w:szCs w:val="32"/>
        </w:rPr>
      </w:pPr>
      <w:r>
        <w:rPr>
          <w:rFonts w:hint="eastAsia" w:ascii="仿宋" w:hAnsi="仿宋" w:eastAsia="仿宋"/>
          <w:sz w:val="32"/>
          <w:szCs w:val="32"/>
        </w:rPr>
        <w:t>（四）负责来信来访、协调法庭、公安等部门工作，负责辖区内社会治安综合治理和法制宣传等工作，调解民事纠纷，维护社会稳定。</w:t>
      </w:r>
    </w:p>
    <w:p w14:paraId="1B48DF56">
      <w:pPr>
        <w:spacing w:line="360" w:lineRule="auto"/>
        <w:ind w:firstLine="640" w:firstLineChars="200"/>
        <w:rPr>
          <w:rFonts w:ascii="仿宋" w:hAnsi="仿宋" w:eastAsia="仿宋"/>
          <w:sz w:val="32"/>
          <w:szCs w:val="32"/>
        </w:rPr>
      </w:pPr>
      <w:r>
        <w:rPr>
          <w:rFonts w:hint="eastAsia" w:ascii="仿宋" w:hAnsi="仿宋" w:eastAsia="仿宋"/>
          <w:sz w:val="32"/>
          <w:szCs w:val="32"/>
        </w:rPr>
        <w:t>（五）负责计划生育技术服务；负责生育指导和避孕咨询；负责婚前咨询和新婚保健；负责计划生育技术人员与婚前保健服务人员培训；负责计划生育科学研究等。</w:t>
      </w:r>
    </w:p>
    <w:p w14:paraId="55ACA867">
      <w:pPr>
        <w:spacing w:line="360" w:lineRule="auto"/>
        <w:ind w:firstLine="640" w:firstLineChars="200"/>
        <w:rPr>
          <w:rFonts w:ascii="仿宋" w:hAnsi="仿宋" w:eastAsia="仿宋"/>
          <w:sz w:val="32"/>
          <w:szCs w:val="32"/>
        </w:rPr>
      </w:pPr>
      <w:r>
        <w:rPr>
          <w:rFonts w:hint="eastAsia" w:ascii="仿宋" w:hAnsi="仿宋" w:eastAsia="仿宋"/>
          <w:sz w:val="32"/>
          <w:szCs w:val="32"/>
        </w:rPr>
        <w:t>（六）开展科技宣传等各种形式的文体活动，推动健康向上的农村文化，发展广播电影电视事业，进一步丰富农村业余文化生活，建设好农村社会主义文化阵地，在建设农村物质文明的同时、建设好农村精神文明。</w:t>
      </w:r>
    </w:p>
    <w:p w14:paraId="5BC5602B">
      <w:pPr>
        <w:pStyle w:val="4"/>
        <w:spacing w:before="0" w:after="0"/>
        <w:ind w:firstLine="643" w:firstLineChars="200"/>
        <w:jc w:val="both"/>
        <w:rPr>
          <w:rFonts w:ascii="仿宋_GB2312" w:hAnsi="Tahoma" w:cs="DengXian-Regular"/>
          <w:sz w:val="32"/>
        </w:rPr>
      </w:pPr>
      <w:bookmarkStart w:id="8" w:name="_Toc7075"/>
      <w:r>
        <w:rPr>
          <w:rFonts w:hint="eastAsia" w:ascii="仿宋_GB2312" w:hAnsi="Tahoma" w:cs="DengXian-Regular"/>
          <w:sz w:val="32"/>
        </w:rPr>
        <w:t>（二）</w:t>
      </w:r>
      <w:bookmarkEnd w:id="6"/>
      <w:r>
        <w:rPr>
          <w:rFonts w:hint="eastAsia" w:ascii="仿宋_GB2312" w:hAnsi="Tahoma" w:cs="DengXian-Regular"/>
          <w:sz w:val="32"/>
        </w:rPr>
        <w:t>部门年度发展规划总体目标和职责分类绩效目标</w:t>
      </w:r>
      <w:bookmarkEnd w:id="7"/>
      <w:bookmarkEnd w:id="8"/>
    </w:p>
    <w:p w14:paraId="3E0728E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按照2022年绩效预算编制要求，崔</w:t>
      </w:r>
      <w:r>
        <w:rPr>
          <w:rFonts w:ascii="仿宋_GB2312" w:eastAsia="仿宋_GB2312" w:cs="DengXian-Regular"/>
          <w:sz w:val="32"/>
          <w:szCs w:val="32"/>
        </w:rPr>
        <w:t>庄镇</w:t>
      </w:r>
      <w:r>
        <w:rPr>
          <w:rFonts w:hint="eastAsia" w:ascii="仿宋_GB2312" w:eastAsia="仿宋_GB2312" w:cs="DengXian-Regular"/>
          <w:sz w:val="32"/>
          <w:szCs w:val="32"/>
        </w:rPr>
        <w:t>设置的年度发展规划总体目标为：</w:t>
      </w:r>
    </w:p>
    <w:p w14:paraId="33B963F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紧紧围绕全区中心工作和区委重要部署，民主表决，科学决策，坚持以人为本，把维护群众利益、落实精准扶贫政策，改善民生作为乡镇工作的着力点。制定、落实镇经济发展规划；组织实施社会主义法制与民主教育；维护社会秩序稳定；加强公共设施建设和管理，保护、改善生态和群众生活环境，保护群众人身权利和财产安全，保障群众合法权益；管理民政事务工作，发展好社会福利工作，做好社会保障工作，为建设社会主义新农村，努力开创我镇工作新局面。</w:t>
      </w:r>
    </w:p>
    <w:p w14:paraId="6A3BBA3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职责分类绩效目标为：</w:t>
      </w:r>
    </w:p>
    <w:p w14:paraId="10649E04">
      <w:pPr>
        <w:spacing w:after="0" w:line="360" w:lineRule="auto"/>
        <w:ind w:firstLine="640" w:firstLineChars="200"/>
        <w:jc w:val="both"/>
        <w:textAlignment w:val="baseline"/>
        <w:rPr>
          <w:rFonts w:ascii="仿宋_GB2312" w:eastAsia="仿宋_GB2312" w:cs="DengXian-Regular"/>
          <w:sz w:val="32"/>
          <w:szCs w:val="32"/>
        </w:rPr>
      </w:pPr>
      <w:bookmarkStart w:id="9" w:name="_Toc1678"/>
      <w:bookmarkStart w:id="10" w:name="_Toc465149500"/>
      <w:bookmarkStart w:id="11" w:name="_Toc492652766"/>
      <w:r>
        <w:rPr>
          <w:rFonts w:hint="eastAsia" w:ascii="仿宋_GB2312" w:eastAsia="仿宋_GB2312" w:cs="DengXian-Regular"/>
          <w:sz w:val="32"/>
          <w:szCs w:val="32"/>
        </w:rPr>
        <w:t>2022年崔庄镇政府根据镇政府职责和区政府的有关预算安排，我镇围绕政法综治稳定和国家安全、社会管理与服务、城乡建设管理、交通运输基础设施建设、农村文化建设、政务管理、环境污染综合防治、自然生态保护、安全生产综合监督管理、防灾减灾等活动项目支出进行预算编制，相关活动的开展为我镇的社会安定、经济发展创造了良好的环境，奠定了稳固的基础。</w:t>
      </w:r>
    </w:p>
    <w:p w14:paraId="7F0EA97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（一）政法综治稳定和国家安全</w:t>
      </w:r>
    </w:p>
    <w:p w14:paraId="7088F66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1、协调维护社会稳定和国家安全。建立纪检保障长效机制，及时拨付资金，加强乡镇纪检部门履职能力，保障乡镇纪委充分履职。</w:t>
      </w:r>
    </w:p>
    <w:p w14:paraId="5162A18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2、涉法涉诉信访工作。完善纠纷排查机制，对镇内矛盾纠纷随时排查化解，强化接访中心建设，切实提高接访中心吸附力。积极推进涉法涉诉信访工作改革，把涉法涉诉信访问题的解决导入法治轨道。</w:t>
      </w:r>
    </w:p>
    <w:p w14:paraId="4FDB30C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（二）社会管理与服务</w:t>
      </w:r>
    </w:p>
    <w:p w14:paraId="26EB046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建立就业扶贫岗位长效机制，聘用一批建档立卡人员为简单服务岗位人员，通过就业扶贫带动建档立卡贫困人口增收脱贫；通过服务群众专项经费，保障村综合服务站日常运转，提升基层工作质量；通过村党组织活动经费，保障村党组织日常活动，定期集中培训，提高农村党员的综合素质；按时完成饮水工程，解决村民饮水困难问题，保障村民饮水安全；及时拨付资金，建立健全基层群众自治组织，搞好服务保障，保障村级组织正常运转。</w:t>
      </w:r>
    </w:p>
    <w:p w14:paraId="2113DF0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（三）城乡建设管理</w:t>
      </w:r>
    </w:p>
    <w:p w14:paraId="125F9E3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 xml:space="preserve">水处理厂占地补偿工作，及时将占地补偿兑付到农户手中，提高农户满意度，加强乡镇基础设施建设，改善城区居民生活环境。解决影响群众生活和健康较为直接的饮用水安全保障、生活垃圾和污水治理、改善环境重点、敏感区域的农村人居和生态环境质量。解决农村区域性突出环境问题。  </w:t>
      </w:r>
    </w:p>
    <w:p w14:paraId="794607F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（四）交通运输基础设施建设。</w:t>
      </w:r>
    </w:p>
    <w:p w14:paraId="0EAD447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改善人居生活环境，提高交通运输能力，提高村民生活满意度，改善投资环境。</w:t>
      </w:r>
    </w:p>
    <w:p w14:paraId="28291F4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（五）农村文化建设。</w:t>
      </w:r>
    </w:p>
    <w:p w14:paraId="4CA2365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 xml:space="preserve">公共文化设施达标，机构和队伍健全，实现公共文化资源共享，形成城乡一体公共文化服务网络；公共文化产品生产和服务能力提高，基本公共文化服务标准化、均等化水平不断提高。   </w:t>
      </w:r>
    </w:p>
    <w:p w14:paraId="060BAD5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（六）政务管理。</w:t>
      </w:r>
    </w:p>
    <w:p w14:paraId="0906384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搞好服务保障，为广大干部职工提供安全、快捷、细致、周到的工作环境；加强财务管理，确保资金安全，提高财政资金使用效益；聘用一批建档立卡人员，通过就业扶贫带动建档立卡贫困人口增收脱贫；及时落实待遇资金，保障工役制人员的合法权益；及时落实资金，保障再就业退役军人福利，促进社会稳定；加强乡镇人大履职能力，保障乡镇人大工作及时开展；保障基层共青团建设发展资金需求，为基层青年教育创造良好环境。</w:t>
      </w:r>
    </w:p>
    <w:p w14:paraId="4EAABD4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（七）环境污染综合。</w:t>
      </w:r>
    </w:p>
    <w:p w14:paraId="072D69A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加强大气污染防治，推动辖区内环境空气质量改善，为雄安新建设保驾护航。</w:t>
      </w:r>
    </w:p>
    <w:p w14:paraId="743AD8F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（八）自然生态保护。</w:t>
      </w:r>
    </w:p>
    <w:p w14:paraId="10A3AAB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对接雄安新区，环保达标，解决农村区域性突出环境问题。</w:t>
      </w:r>
    </w:p>
    <w:p w14:paraId="71D926E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（九）安全生产综合监督管理。</w:t>
      </w:r>
    </w:p>
    <w:p w14:paraId="32B5CEB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加强基层安全生产保障能力的建设，确保满足安全生产工作的实际需要，进一步加大安全生产延生到基层，掌握全区的安全生产动态。</w:t>
      </w:r>
    </w:p>
    <w:p w14:paraId="03C762C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（十）防灾减灾救灾</w:t>
      </w:r>
    </w:p>
    <w:p w14:paraId="132607A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实施城乡地震安全建设常态化，提高防震减灾宣传效果，提升社会公众防震避险意识和技能。汛期防汛工作负责乡镇防汛抗旱组织管理、应急调度，指导水利行业信息建设，建设应急度汛、抗旱应急、灾害防治项目，支付基层防汛抗旱组织建设，储备管理防汛抗旱物资，提高乡镇抗御水旱灾害能力。</w:t>
      </w:r>
    </w:p>
    <w:p w14:paraId="350129F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（三）部门预算收入及决算收入</w:t>
      </w:r>
      <w:bookmarkEnd w:id="9"/>
    </w:p>
    <w:p w14:paraId="08B42328">
      <w:pPr>
        <w:spacing w:line="360" w:lineRule="auto"/>
        <w:ind w:firstLine="640" w:firstLineChars="200"/>
        <w:rPr>
          <w:rFonts w:ascii="仿宋_GB2312" w:eastAsia="仿宋_GB2312" w:cs="DengXian-Regular"/>
          <w:sz w:val="32"/>
          <w:szCs w:val="32"/>
        </w:rPr>
      </w:pPr>
      <w:r>
        <w:rPr>
          <w:rFonts w:hint="eastAsia" w:ascii="仿宋_GB2312" w:eastAsia="仿宋_GB2312" w:cs="DengXian-Regular"/>
          <w:sz w:val="32"/>
          <w:szCs w:val="32"/>
        </w:rPr>
        <w:t>2022年崔</w:t>
      </w:r>
      <w:r>
        <w:rPr>
          <w:rFonts w:ascii="仿宋_GB2312" w:eastAsia="仿宋_GB2312" w:cs="DengXian-Regular"/>
          <w:sz w:val="32"/>
          <w:szCs w:val="32"/>
        </w:rPr>
        <w:t>庄镇</w:t>
      </w:r>
      <w:r>
        <w:rPr>
          <w:rFonts w:hint="eastAsia" w:ascii="仿宋_GB2312" w:eastAsia="仿宋_GB2312" w:cs="DengXian-Regular"/>
          <w:sz w:val="32"/>
          <w:szCs w:val="32"/>
        </w:rPr>
        <w:t>预算收入</w:t>
      </w:r>
      <w:r>
        <w:rPr>
          <w:rFonts w:ascii="仿宋" w:hAnsi="仿宋" w:eastAsia="仿宋"/>
          <w:sz w:val="32"/>
          <w:szCs w:val="32"/>
        </w:rPr>
        <w:t>4106.17万元,其中：一般公共预算收入2588.16万元，基金预算收入1517.50万元，财政专户收入0万元，其他来源收入0.3万元</w:t>
      </w:r>
      <w:r>
        <w:rPr>
          <w:rFonts w:hint="eastAsia" w:ascii="仿宋" w:hAnsi="仿宋" w:eastAsia="仿宋"/>
          <w:sz w:val="32"/>
          <w:szCs w:val="32"/>
        </w:rPr>
        <w:t>，上年结转结余收入</w:t>
      </w:r>
      <w:r>
        <w:rPr>
          <w:rFonts w:ascii="仿宋" w:hAnsi="仿宋" w:eastAsia="仿宋"/>
          <w:sz w:val="32"/>
          <w:szCs w:val="32"/>
        </w:rPr>
        <w:t>0.2</w:t>
      </w:r>
      <w:r>
        <w:rPr>
          <w:rFonts w:hint="eastAsia" w:ascii="仿宋" w:hAnsi="仿宋" w:eastAsia="仿宋"/>
          <w:sz w:val="32"/>
          <w:szCs w:val="32"/>
        </w:rPr>
        <w:t>万元</w:t>
      </w:r>
      <w:r>
        <w:rPr>
          <w:rFonts w:ascii="仿宋" w:hAnsi="仿宋" w:eastAsia="仿宋"/>
          <w:sz w:val="32"/>
          <w:szCs w:val="32"/>
        </w:rPr>
        <w:t>。</w:t>
      </w:r>
      <w:r>
        <w:rPr>
          <w:rFonts w:hint="eastAsia" w:ascii="仿宋_GB2312" w:eastAsia="仿宋_GB2312" w:cs="DengXian-Regular"/>
          <w:sz w:val="32"/>
          <w:szCs w:val="32"/>
        </w:rPr>
        <w:t>预算收入按功能分类包含：一般公共服务支出 1884</w:t>
      </w:r>
      <w:r>
        <w:rPr>
          <w:rFonts w:ascii="仿宋_GB2312" w:eastAsia="仿宋_GB2312" w:cs="DengXian-Regular"/>
          <w:sz w:val="32"/>
          <w:szCs w:val="32"/>
        </w:rPr>
        <w:t>.</w:t>
      </w:r>
      <w:r>
        <w:rPr>
          <w:rFonts w:hint="eastAsia" w:ascii="仿宋_GB2312" w:eastAsia="仿宋_GB2312" w:cs="DengXian-Regular"/>
          <w:sz w:val="32"/>
          <w:szCs w:val="32"/>
        </w:rPr>
        <w:t>6</w:t>
      </w:r>
      <w:r>
        <w:rPr>
          <w:rFonts w:ascii="仿宋_GB2312" w:eastAsia="仿宋_GB2312" w:cs="DengXian-Regular"/>
          <w:sz w:val="32"/>
          <w:szCs w:val="32"/>
        </w:rPr>
        <w:t>9</w:t>
      </w:r>
      <w:r>
        <w:rPr>
          <w:rFonts w:hint="eastAsia" w:ascii="仿宋_GB2312" w:eastAsia="仿宋_GB2312" w:cs="DengXian-Regular"/>
          <w:sz w:val="32"/>
          <w:szCs w:val="32"/>
        </w:rPr>
        <w:t>万元，公共安全支出</w:t>
      </w:r>
      <w:r>
        <w:rPr>
          <w:rFonts w:ascii="仿宋_GB2312" w:eastAsia="仿宋_GB2312" w:cs="DengXian-Regular"/>
          <w:sz w:val="32"/>
          <w:szCs w:val="32"/>
        </w:rPr>
        <w:t>7.29</w:t>
      </w:r>
      <w:r>
        <w:rPr>
          <w:rFonts w:hint="eastAsia" w:ascii="仿宋_GB2312" w:eastAsia="仿宋_GB2312" w:cs="DengXian-Regular"/>
          <w:sz w:val="32"/>
          <w:szCs w:val="32"/>
        </w:rPr>
        <w:t>万元，文化旅游体育与传媒支出</w:t>
      </w:r>
      <w:r>
        <w:rPr>
          <w:rFonts w:ascii="仿宋_GB2312" w:eastAsia="仿宋_GB2312" w:cs="DengXian-Regular"/>
          <w:sz w:val="32"/>
          <w:szCs w:val="32"/>
        </w:rPr>
        <w:t>0.2</w:t>
      </w:r>
      <w:r>
        <w:rPr>
          <w:rFonts w:hint="eastAsia" w:ascii="仿宋_GB2312" w:eastAsia="仿宋_GB2312" w:cs="DengXian-Regular"/>
          <w:sz w:val="32"/>
          <w:szCs w:val="32"/>
        </w:rPr>
        <w:t>万元，社会保障和就业支出2</w:t>
      </w:r>
      <w:r>
        <w:rPr>
          <w:rFonts w:ascii="仿宋_GB2312" w:eastAsia="仿宋_GB2312" w:cs="DengXian-Regular"/>
          <w:sz w:val="32"/>
          <w:szCs w:val="32"/>
        </w:rPr>
        <w:t>33.85</w:t>
      </w:r>
      <w:r>
        <w:rPr>
          <w:rFonts w:hint="eastAsia" w:ascii="仿宋_GB2312" w:eastAsia="仿宋_GB2312" w:cs="DengXian-Regular"/>
          <w:sz w:val="32"/>
          <w:szCs w:val="32"/>
        </w:rPr>
        <w:t>万元，卫生健康支出</w:t>
      </w:r>
      <w:r>
        <w:rPr>
          <w:rFonts w:ascii="仿宋_GB2312" w:eastAsia="仿宋_GB2312" w:cs="DengXian-Regular"/>
          <w:sz w:val="32"/>
          <w:szCs w:val="32"/>
        </w:rPr>
        <w:t>59.85</w:t>
      </w:r>
      <w:r>
        <w:rPr>
          <w:rFonts w:hint="eastAsia" w:ascii="仿宋_GB2312" w:eastAsia="仿宋_GB2312" w:cs="DengXian-Regular"/>
          <w:sz w:val="32"/>
          <w:szCs w:val="32"/>
        </w:rPr>
        <w:t>万元，城乡社区支出</w:t>
      </w:r>
      <w:r>
        <w:rPr>
          <w:rFonts w:ascii="仿宋_GB2312" w:eastAsia="仿宋_GB2312" w:cs="DengXian-Regular"/>
          <w:sz w:val="32"/>
          <w:szCs w:val="32"/>
        </w:rPr>
        <w:t>1517.5</w:t>
      </w:r>
      <w:r>
        <w:rPr>
          <w:rFonts w:hint="eastAsia" w:ascii="仿宋_GB2312" w:eastAsia="仿宋_GB2312" w:cs="DengXian-Regular"/>
          <w:sz w:val="32"/>
          <w:szCs w:val="32"/>
        </w:rPr>
        <w:t>万元，农林水事务支出</w:t>
      </w:r>
      <w:r>
        <w:rPr>
          <w:rFonts w:ascii="仿宋_GB2312" w:eastAsia="仿宋_GB2312" w:cs="DengXian-Regular"/>
          <w:sz w:val="32"/>
          <w:szCs w:val="32"/>
        </w:rPr>
        <w:t>299.61</w:t>
      </w:r>
      <w:r>
        <w:rPr>
          <w:rFonts w:hint="eastAsia" w:ascii="仿宋_GB2312" w:eastAsia="仿宋_GB2312" w:cs="DengXian-Regular"/>
          <w:sz w:val="32"/>
          <w:szCs w:val="32"/>
        </w:rPr>
        <w:t>万元，交通运输支出</w:t>
      </w:r>
      <w:r>
        <w:rPr>
          <w:rFonts w:ascii="仿宋_GB2312" w:eastAsia="仿宋_GB2312" w:cs="DengXian-Regular"/>
          <w:sz w:val="32"/>
          <w:szCs w:val="32"/>
        </w:rPr>
        <w:t>7.5</w:t>
      </w:r>
      <w:r>
        <w:rPr>
          <w:rFonts w:hint="eastAsia" w:ascii="仿宋_GB2312" w:eastAsia="仿宋_GB2312" w:cs="DengXian-Regular"/>
          <w:sz w:val="32"/>
          <w:szCs w:val="32"/>
        </w:rPr>
        <w:t>6万元，住房保障支出</w:t>
      </w:r>
      <w:r>
        <w:rPr>
          <w:rFonts w:ascii="仿宋_GB2312" w:eastAsia="仿宋_GB2312" w:cs="DengXian-Regular"/>
          <w:sz w:val="32"/>
          <w:szCs w:val="32"/>
        </w:rPr>
        <w:t>92.77</w:t>
      </w:r>
      <w:r>
        <w:rPr>
          <w:rFonts w:hint="eastAsia" w:ascii="仿宋_GB2312" w:eastAsia="仿宋_GB2312" w:cs="DengXian-Regular"/>
          <w:sz w:val="32"/>
          <w:szCs w:val="32"/>
        </w:rPr>
        <w:t>万元，灾害防治及应急管理支出2.85万元。具体预算收入详见附件2。</w:t>
      </w:r>
    </w:p>
    <w:p w14:paraId="01B5660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2022年崔</w:t>
      </w:r>
      <w:r>
        <w:rPr>
          <w:rFonts w:ascii="仿宋_GB2312" w:eastAsia="仿宋_GB2312" w:cs="DengXian-Regular"/>
          <w:sz w:val="32"/>
          <w:szCs w:val="32"/>
        </w:rPr>
        <w:t>庄镇</w:t>
      </w:r>
      <w:r>
        <w:rPr>
          <w:rFonts w:hint="eastAsia" w:ascii="仿宋_GB2312" w:eastAsia="仿宋_GB2312" w:cs="DengXian-Regular"/>
          <w:sz w:val="32"/>
          <w:szCs w:val="32"/>
        </w:rPr>
        <w:t>决算收入</w:t>
      </w:r>
      <w:r>
        <w:rPr>
          <w:rFonts w:ascii="仿宋_GB2312" w:eastAsia="仿宋_GB2312" w:cs="DengXian-Regular"/>
          <w:sz w:val="32"/>
          <w:szCs w:val="32"/>
        </w:rPr>
        <w:t>2909.04</w:t>
      </w:r>
      <w:r>
        <w:rPr>
          <w:rFonts w:hint="eastAsia" w:ascii="仿宋_GB2312" w:eastAsia="仿宋_GB2312" w:cs="DengXian-Regular"/>
          <w:sz w:val="32"/>
          <w:szCs w:val="32"/>
        </w:rPr>
        <w:t>万元，其中：财政拨款收入</w:t>
      </w:r>
      <w:r>
        <w:rPr>
          <w:rFonts w:ascii="仿宋_GB2312" w:eastAsia="仿宋_GB2312" w:cs="DengXian-Regular"/>
          <w:sz w:val="32"/>
          <w:szCs w:val="32"/>
        </w:rPr>
        <w:t>2908.91</w:t>
      </w:r>
      <w:r>
        <w:rPr>
          <w:rFonts w:hint="eastAsia" w:ascii="仿宋_GB2312" w:eastAsia="仿宋_GB2312" w:cs="DengXian-Regular"/>
          <w:sz w:val="32"/>
          <w:szCs w:val="32"/>
        </w:rPr>
        <w:t>万元，其他收入0.</w:t>
      </w:r>
      <w:r>
        <w:rPr>
          <w:rFonts w:ascii="仿宋_GB2312" w:eastAsia="仿宋_GB2312" w:cs="DengXian-Regular"/>
          <w:sz w:val="32"/>
          <w:szCs w:val="32"/>
        </w:rPr>
        <w:t>13</w:t>
      </w:r>
      <w:r>
        <w:rPr>
          <w:rFonts w:hint="eastAsia" w:ascii="仿宋_GB2312" w:eastAsia="仿宋_GB2312" w:cs="DengXian-Regular"/>
          <w:sz w:val="32"/>
          <w:szCs w:val="32"/>
        </w:rPr>
        <w:t>万元（全部为利息收入）。决算收入按功能分类包含：一般公共服务支出</w:t>
      </w:r>
      <w:r>
        <w:rPr>
          <w:rFonts w:ascii="仿宋_GB2312" w:eastAsia="仿宋_GB2312" w:cs="DengXian-Regular"/>
          <w:sz w:val="32"/>
          <w:szCs w:val="32"/>
        </w:rPr>
        <w:t>1915.7</w:t>
      </w:r>
      <w:r>
        <w:rPr>
          <w:rFonts w:hint="eastAsia" w:ascii="仿宋_GB2312" w:eastAsia="仿宋_GB2312" w:cs="DengXian-Regular"/>
          <w:sz w:val="32"/>
          <w:szCs w:val="32"/>
        </w:rPr>
        <w:t>万元，公共安全支出</w:t>
      </w:r>
      <w:r>
        <w:rPr>
          <w:rFonts w:ascii="仿宋_GB2312" w:eastAsia="仿宋_GB2312" w:cs="DengXian-Regular"/>
          <w:sz w:val="32"/>
          <w:szCs w:val="32"/>
        </w:rPr>
        <w:t>6.99</w:t>
      </w:r>
      <w:r>
        <w:rPr>
          <w:rFonts w:hint="eastAsia" w:ascii="仿宋_GB2312" w:eastAsia="仿宋_GB2312" w:cs="DengXian-Regular"/>
          <w:sz w:val="32"/>
          <w:szCs w:val="32"/>
        </w:rPr>
        <w:t>万元，科技支出</w:t>
      </w:r>
      <w:r>
        <w:rPr>
          <w:rFonts w:ascii="仿宋_GB2312" w:eastAsia="仿宋_GB2312" w:cs="DengXian-Regular"/>
          <w:sz w:val="32"/>
          <w:szCs w:val="32"/>
        </w:rPr>
        <w:t>0.92</w:t>
      </w:r>
      <w:r>
        <w:rPr>
          <w:rFonts w:hint="eastAsia" w:ascii="仿宋_GB2312" w:eastAsia="仿宋_GB2312" w:cs="DengXian-Regular"/>
          <w:sz w:val="32"/>
          <w:szCs w:val="32"/>
        </w:rPr>
        <w:t>万元，文化旅游体育与传媒支出</w:t>
      </w:r>
      <w:r>
        <w:rPr>
          <w:rFonts w:ascii="仿宋_GB2312" w:eastAsia="仿宋_GB2312" w:cs="DengXian-Regular"/>
          <w:sz w:val="32"/>
          <w:szCs w:val="32"/>
        </w:rPr>
        <w:t>4.73</w:t>
      </w:r>
      <w:r>
        <w:rPr>
          <w:rFonts w:hint="eastAsia" w:ascii="仿宋_GB2312" w:eastAsia="仿宋_GB2312" w:cs="DengXian-Regular"/>
          <w:sz w:val="32"/>
          <w:szCs w:val="32"/>
        </w:rPr>
        <w:t>万元，社会保障和就业支出</w:t>
      </w:r>
      <w:r>
        <w:rPr>
          <w:rFonts w:ascii="仿宋_GB2312" w:eastAsia="仿宋_GB2312" w:cs="DengXian-Regular"/>
          <w:sz w:val="32"/>
          <w:szCs w:val="32"/>
        </w:rPr>
        <w:t>236.1</w:t>
      </w:r>
      <w:r>
        <w:rPr>
          <w:rFonts w:hint="eastAsia" w:ascii="仿宋_GB2312" w:eastAsia="仿宋_GB2312" w:cs="DengXian-Regular"/>
          <w:sz w:val="32"/>
          <w:szCs w:val="32"/>
        </w:rPr>
        <w:t>万元，卫生健康支出</w:t>
      </w:r>
      <w:r>
        <w:rPr>
          <w:rFonts w:ascii="仿宋_GB2312" w:eastAsia="仿宋_GB2312" w:cs="DengXian-Regular"/>
          <w:sz w:val="32"/>
          <w:szCs w:val="32"/>
        </w:rPr>
        <w:t>58.5</w:t>
      </w:r>
      <w:r>
        <w:rPr>
          <w:rFonts w:hint="eastAsia" w:ascii="仿宋_GB2312" w:eastAsia="仿宋_GB2312" w:cs="DengXian-Regular"/>
          <w:sz w:val="32"/>
          <w:szCs w:val="32"/>
        </w:rPr>
        <w:t>万元，节能环保支出</w:t>
      </w:r>
      <w:r>
        <w:rPr>
          <w:rFonts w:ascii="仿宋_GB2312" w:eastAsia="仿宋_GB2312" w:cs="DengXian-Regular"/>
          <w:sz w:val="32"/>
          <w:szCs w:val="32"/>
        </w:rPr>
        <w:t>37.11</w:t>
      </w:r>
      <w:r>
        <w:rPr>
          <w:rFonts w:hint="eastAsia" w:ascii="仿宋_GB2312" w:eastAsia="仿宋_GB2312" w:cs="DengXian-Regular"/>
          <w:sz w:val="32"/>
          <w:szCs w:val="32"/>
        </w:rPr>
        <w:t>万元，城乡社区支出</w:t>
      </w:r>
      <w:r>
        <w:rPr>
          <w:rFonts w:ascii="仿宋_GB2312" w:eastAsia="仿宋_GB2312" w:cs="DengXian-Regular"/>
          <w:sz w:val="32"/>
          <w:szCs w:val="32"/>
        </w:rPr>
        <w:t>7.63</w:t>
      </w:r>
      <w:r>
        <w:rPr>
          <w:rFonts w:hint="eastAsia" w:ascii="仿宋_GB2312" w:eastAsia="仿宋_GB2312" w:cs="DengXian-Regular"/>
          <w:sz w:val="32"/>
          <w:szCs w:val="32"/>
        </w:rPr>
        <w:t>万元，农村水支出</w:t>
      </w:r>
      <w:r>
        <w:rPr>
          <w:rFonts w:ascii="仿宋_GB2312" w:eastAsia="仿宋_GB2312" w:cs="DengXian-Regular"/>
          <w:sz w:val="32"/>
          <w:szCs w:val="32"/>
        </w:rPr>
        <w:t>526.7</w:t>
      </w:r>
      <w:r>
        <w:rPr>
          <w:rFonts w:hint="eastAsia" w:ascii="仿宋_GB2312" w:eastAsia="仿宋_GB2312" w:cs="DengXian-Regular"/>
          <w:sz w:val="32"/>
          <w:szCs w:val="32"/>
        </w:rPr>
        <w:t>万元，交通运输支出</w:t>
      </w:r>
      <w:r>
        <w:rPr>
          <w:rFonts w:ascii="仿宋_GB2312" w:eastAsia="仿宋_GB2312" w:cs="DengXian-Regular"/>
          <w:sz w:val="32"/>
          <w:szCs w:val="32"/>
        </w:rPr>
        <w:t>22.68</w:t>
      </w:r>
      <w:r>
        <w:rPr>
          <w:rFonts w:hint="eastAsia" w:ascii="仿宋_GB2312" w:eastAsia="仿宋_GB2312" w:cs="DengXian-Regular"/>
          <w:sz w:val="32"/>
          <w:szCs w:val="32"/>
        </w:rPr>
        <w:t>万元，住房保障支出</w:t>
      </w:r>
      <w:r>
        <w:rPr>
          <w:rFonts w:ascii="仿宋_GB2312" w:eastAsia="仿宋_GB2312" w:cs="DengXian-Regular"/>
          <w:sz w:val="32"/>
          <w:szCs w:val="32"/>
        </w:rPr>
        <w:t>89.13</w:t>
      </w:r>
      <w:r>
        <w:rPr>
          <w:rFonts w:hint="eastAsia" w:ascii="仿宋_GB2312" w:eastAsia="仿宋_GB2312" w:cs="DengXian-Regular"/>
          <w:sz w:val="32"/>
          <w:szCs w:val="32"/>
        </w:rPr>
        <w:t>万元，灾害防治及应急管理支出2.</w:t>
      </w:r>
      <w:r>
        <w:rPr>
          <w:rFonts w:ascii="仿宋_GB2312" w:eastAsia="仿宋_GB2312" w:cs="DengXian-Regular"/>
          <w:sz w:val="32"/>
          <w:szCs w:val="32"/>
        </w:rPr>
        <w:t>85</w:t>
      </w:r>
      <w:r>
        <w:rPr>
          <w:rFonts w:hint="eastAsia" w:ascii="仿宋_GB2312" w:eastAsia="仿宋_GB2312" w:cs="DengXian-Regular"/>
          <w:sz w:val="32"/>
          <w:szCs w:val="32"/>
        </w:rPr>
        <w:t>万元。</w:t>
      </w:r>
    </w:p>
    <w:p w14:paraId="27174893">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崔</w:t>
      </w:r>
      <w:r>
        <w:rPr>
          <w:rFonts w:ascii="仿宋_GB2312" w:eastAsia="仿宋_GB2312" w:cs="DengXian-Regular"/>
          <w:sz w:val="32"/>
          <w:szCs w:val="32"/>
        </w:rPr>
        <w:t>庄镇</w:t>
      </w:r>
      <w:r>
        <w:rPr>
          <w:rFonts w:hint="eastAsia" w:ascii="仿宋_GB2312" w:eastAsia="仿宋_GB2312" w:cs="DengXian-Regular"/>
          <w:sz w:val="32"/>
          <w:szCs w:val="32"/>
        </w:rPr>
        <w:t>一般公共预算财政拨款决算收入比年初预算增加</w:t>
      </w:r>
      <w:r>
        <w:rPr>
          <w:rFonts w:ascii="仿宋_GB2312" w:eastAsia="仿宋_GB2312" w:cs="DengXian-Regular"/>
          <w:sz w:val="32"/>
          <w:szCs w:val="32"/>
        </w:rPr>
        <w:t>320.75</w:t>
      </w:r>
      <w:r>
        <w:rPr>
          <w:rFonts w:hint="eastAsia" w:ascii="仿宋_GB2312" w:eastAsia="仿宋_GB2312" w:cs="DengXian-Regular"/>
          <w:sz w:val="32"/>
          <w:szCs w:val="32"/>
        </w:rPr>
        <w:t>万元，完成年初预算的</w:t>
      </w:r>
      <w:r>
        <w:rPr>
          <w:rFonts w:ascii="仿宋_GB2312" w:eastAsia="仿宋_GB2312" w:cs="DengXian-Regular"/>
          <w:sz w:val="32"/>
          <w:szCs w:val="32"/>
        </w:rPr>
        <w:t>112.39</w:t>
      </w:r>
      <w:r>
        <w:rPr>
          <w:rFonts w:hint="eastAsia" w:ascii="仿宋_GB2312" w:eastAsia="仿宋_GB2312" w:cs="DengXian-Regular"/>
          <w:sz w:val="32"/>
          <w:szCs w:val="32"/>
        </w:rPr>
        <w:t>%。决算收入大于预算收入的主要原因为节能环保支出增加</w:t>
      </w:r>
      <w:r>
        <w:rPr>
          <w:rFonts w:ascii="仿宋_GB2312" w:eastAsia="仿宋_GB2312" w:cs="DengXian-Regular"/>
          <w:sz w:val="32"/>
          <w:szCs w:val="32"/>
        </w:rPr>
        <w:t>37.1</w:t>
      </w:r>
      <w:r>
        <w:rPr>
          <w:rFonts w:hint="eastAsia" w:ascii="仿宋_GB2312" w:eastAsia="仿宋_GB2312" w:cs="DengXian-Regular"/>
          <w:sz w:val="32"/>
          <w:szCs w:val="32"/>
        </w:rPr>
        <w:t>万元，农林水支出增加</w:t>
      </w:r>
      <w:r>
        <w:rPr>
          <w:rFonts w:ascii="仿宋_GB2312" w:eastAsia="仿宋_GB2312" w:cs="DengXian-Regular"/>
          <w:sz w:val="32"/>
          <w:szCs w:val="32"/>
        </w:rPr>
        <w:t>227.09</w:t>
      </w:r>
      <w:r>
        <w:rPr>
          <w:rFonts w:hint="eastAsia" w:ascii="仿宋_GB2312" w:eastAsia="仿宋_GB2312" w:cs="DengXian-Regular"/>
          <w:sz w:val="32"/>
          <w:szCs w:val="32"/>
        </w:rPr>
        <w:t>万元，交通运输支出增加</w:t>
      </w:r>
      <w:r>
        <w:rPr>
          <w:rFonts w:ascii="仿宋_GB2312" w:eastAsia="仿宋_GB2312" w:cs="DengXian-Regular"/>
          <w:sz w:val="32"/>
          <w:szCs w:val="32"/>
        </w:rPr>
        <w:t>15.12</w:t>
      </w:r>
      <w:r>
        <w:rPr>
          <w:rFonts w:hint="eastAsia" w:ascii="仿宋_GB2312" w:eastAsia="仿宋_GB2312" w:cs="DengXian-Regular"/>
          <w:sz w:val="32"/>
          <w:szCs w:val="32"/>
        </w:rPr>
        <w:t>万元。</w:t>
      </w:r>
    </w:p>
    <w:p w14:paraId="4347EDD2">
      <w:pPr>
        <w:pStyle w:val="4"/>
        <w:spacing w:before="0" w:after="0"/>
        <w:ind w:firstLine="643" w:firstLineChars="200"/>
        <w:jc w:val="both"/>
        <w:rPr>
          <w:rFonts w:ascii="仿宋_GB2312" w:hAnsiTheme="minorEastAsia"/>
          <w:sz w:val="32"/>
        </w:rPr>
      </w:pPr>
      <w:bookmarkStart w:id="12" w:name="_Toc18197"/>
      <w:r>
        <w:rPr>
          <w:rFonts w:hint="eastAsia" w:ascii="仿宋_GB2312" w:hAnsiTheme="minorEastAsia"/>
          <w:sz w:val="32"/>
        </w:rPr>
        <w:t>（四）预算支出及决算</w:t>
      </w:r>
      <w:bookmarkEnd w:id="10"/>
      <w:bookmarkEnd w:id="11"/>
      <w:r>
        <w:rPr>
          <w:rFonts w:hint="eastAsia" w:ascii="仿宋_GB2312" w:hAnsiTheme="minorEastAsia"/>
          <w:sz w:val="32"/>
        </w:rPr>
        <w:t>支出</w:t>
      </w:r>
      <w:bookmarkEnd w:id="12"/>
    </w:p>
    <w:p w14:paraId="397B6788">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2022年度崔</w:t>
      </w:r>
      <w:r>
        <w:rPr>
          <w:rFonts w:ascii="仿宋_GB2312" w:eastAsia="仿宋_GB2312" w:cs="DengXian-Regular"/>
          <w:sz w:val="32"/>
          <w:szCs w:val="32"/>
        </w:rPr>
        <w:t>庄镇</w:t>
      </w:r>
      <w:r>
        <w:rPr>
          <w:rFonts w:hint="eastAsia" w:ascii="仿宋_GB2312" w:eastAsia="仿宋_GB2312" w:cs="DengXian-Regular"/>
          <w:sz w:val="32"/>
          <w:szCs w:val="32"/>
        </w:rPr>
        <w:t>单位</w:t>
      </w:r>
      <w:r>
        <w:rPr>
          <w:rFonts w:hint="eastAsia" w:ascii="仿宋_GB2312" w:eastAsia="仿宋_GB2312" w:cs="Times New Roman" w:hAnsiTheme="minorEastAsia"/>
          <w:sz w:val="32"/>
          <w:szCs w:val="32"/>
          <w:u w:color="000000"/>
        </w:rPr>
        <w:t>预算支出安排</w:t>
      </w:r>
      <w:r>
        <w:rPr>
          <w:rFonts w:ascii="仿宋_GB2312" w:eastAsia="仿宋_GB2312" w:cs="Times New Roman" w:hAnsiTheme="minorEastAsia"/>
          <w:sz w:val="32"/>
          <w:szCs w:val="32"/>
          <w:u w:color="000000"/>
        </w:rPr>
        <w:t>4106.17</w:t>
      </w:r>
      <w:r>
        <w:rPr>
          <w:rFonts w:hint="eastAsia" w:ascii="仿宋_GB2312" w:eastAsia="仿宋_GB2312" w:cs="Times New Roman" w:hAnsiTheme="minorEastAsia"/>
          <w:sz w:val="32"/>
          <w:szCs w:val="32"/>
          <w:u w:color="000000"/>
        </w:rPr>
        <w:t>万元，其中：基本支出</w:t>
      </w:r>
      <w:r>
        <w:rPr>
          <w:rFonts w:ascii="仿宋" w:hAnsi="仿宋" w:eastAsia="仿宋"/>
          <w:sz w:val="32"/>
          <w:szCs w:val="32"/>
        </w:rPr>
        <w:t>2212.02</w:t>
      </w:r>
      <w:r>
        <w:rPr>
          <w:rFonts w:hint="eastAsia" w:ascii="仿宋_GB2312" w:eastAsia="仿宋_GB2312" w:cs="Times New Roman" w:hAnsiTheme="minorEastAsia"/>
          <w:sz w:val="32"/>
          <w:szCs w:val="32"/>
          <w:u w:color="000000"/>
        </w:rPr>
        <w:t>万元，项目支出</w:t>
      </w:r>
      <w:r>
        <w:rPr>
          <w:rFonts w:ascii="仿宋" w:hAnsi="仿宋" w:eastAsia="仿宋"/>
          <w:sz w:val="32"/>
          <w:szCs w:val="32"/>
        </w:rPr>
        <w:t xml:space="preserve"> 1894.15</w:t>
      </w:r>
      <w:r>
        <w:rPr>
          <w:rFonts w:hint="eastAsia" w:ascii="仿宋_GB2312" w:eastAsia="仿宋_GB2312" w:cs="Times New Roman" w:hAnsiTheme="minorEastAsia"/>
          <w:sz w:val="32"/>
          <w:szCs w:val="32"/>
          <w:u w:color="000000"/>
        </w:rPr>
        <w:t>万元。预算支出按功能分类包含：</w:t>
      </w:r>
      <w:r>
        <w:rPr>
          <w:rFonts w:hint="eastAsia" w:ascii="仿宋_GB2312" w:eastAsia="仿宋_GB2312" w:cs="DengXian-Regular"/>
          <w:sz w:val="32"/>
          <w:szCs w:val="32"/>
        </w:rPr>
        <w:t>一般公共服务支出 1884</w:t>
      </w:r>
      <w:r>
        <w:rPr>
          <w:rFonts w:ascii="仿宋_GB2312" w:eastAsia="仿宋_GB2312" w:cs="DengXian-Regular"/>
          <w:sz w:val="32"/>
          <w:szCs w:val="32"/>
        </w:rPr>
        <w:t>.</w:t>
      </w:r>
      <w:r>
        <w:rPr>
          <w:rFonts w:hint="eastAsia" w:ascii="仿宋_GB2312" w:eastAsia="仿宋_GB2312" w:cs="DengXian-Regular"/>
          <w:sz w:val="32"/>
          <w:szCs w:val="32"/>
        </w:rPr>
        <w:t>6</w:t>
      </w:r>
      <w:r>
        <w:rPr>
          <w:rFonts w:ascii="仿宋_GB2312" w:eastAsia="仿宋_GB2312" w:cs="DengXian-Regular"/>
          <w:sz w:val="32"/>
          <w:szCs w:val="32"/>
        </w:rPr>
        <w:t>9</w:t>
      </w:r>
      <w:r>
        <w:rPr>
          <w:rFonts w:hint="eastAsia" w:ascii="仿宋_GB2312" w:eastAsia="仿宋_GB2312" w:cs="DengXian-Regular"/>
          <w:sz w:val="32"/>
          <w:szCs w:val="32"/>
        </w:rPr>
        <w:t>万元，公共安全支出</w:t>
      </w:r>
      <w:r>
        <w:rPr>
          <w:rFonts w:ascii="仿宋_GB2312" w:eastAsia="仿宋_GB2312" w:cs="DengXian-Regular"/>
          <w:sz w:val="32"/>
          <w:szCs w:val="32"/>
        </w:rPr>
        <w:t>7.29</w:t>
      </w:r>
      <w:r>
        <w:rPr>
          <w:rFonts w:hint="eastAsia" w:ascii="仿宋_GB2312" w:eastAsia="仿宋_GB2312" w:cs="DengXian-Regular"/>
          <w:sz w:val="32"/>
          <w:szCs w:val="32"/>
        </w:rPr>
        <w:t>万元，文化旅游体育与传媒支出</w:t>
      </w:r>
      <w:r>
        <w:rPr>
          <w:rFonts w:ascii="仿宋_GB2312" w:eastAsia="仿宋_GB2312" w:cs="DengXian-Regular"/>
          <w:sz w:val="32"/>
          <w:szCs w:val="32"/>
        </w:rPr>
        <w:t>0.2</w:t>
      </w:r>
      <w:r>
        <w:rPr>
          <w:rFonts w:hint="eastAsia" w:ascii="仿宋_GB2312" w:eastAsia="仿宋_GB2312" w:cs="DengXian-Regular"/>
          <w:sz w:val="32"/>
          <w:szCs w:val="32"/>
        </w:rPr>
        <w:t>万元，社会保障和就业支出2</w:t>
      </w:r>
      <w:r>
        <w:rPr>
          <w:rFonts w:ascii="仿宋_GB2312" w:eastAsia="仿宋_GB2312" w:cs="DengXian-Regular"/>
          <w:sz w:val="32"/>
          <w:szCs w:val="32"/>
        </w:rPr>
        <w:t>33.85</w:t>
      </w:r>
      <w:r>
        <w:rPr>
          <w:rFonts w:hint="eastAsia" w:ascii="仿宋_GB2312" w:eastAsia="仿宋_GB2312" w:cs="DengXian-Regular"/>
          <w:sz w:val="32"/>
          <w:szCs w:val="32"/>
        </w:rPr>
        <w:t>万元，卫生健康支出</w:t>
      </w:r>
      <w:r>
        <w:rPr>
          <w:rFonts w:ascii="仿宋_GB2312" w:eastAsia="仿宋_GB2312" w:cs="DengXian-Regular"/>
          <w:sz w:val="32"/>
          <w:szCs w:val="32"/>
        </w:rPr>
        <w:t>59.85</w:t>
      </w:r>
      <w:r>
        <w:rPr>
          <w:rFonts w:hint="eastAsia" w:ascii="仿宋_GB2312" w:eastAsia="仿宋_GB2312" w:cs="DengXian-Regular"/>
          <w:sz w:val="32"/>
          <w:szCs w:val="32"/>
        </w:rPr>
        <w:t>万元，城乡社区支出</w:t>
      </w:r>
      <w:r>
        <w:rPr>
          <w:rFonts w:ascii="仿宋_GB2312" w:eastAsia="仿宋_GB2312" w:cs="DengXian-Regular"/>
          <w:sz w:val="32"/>
          <w:szCs w:val="32"/>
        </w:rPr>
        <w:t>1517.5</w:t>
      </w:r>
      <w:r>
        <w:rPr>
          <w:rFonts w:hint="eastAsia" w:ascii="仿宋_GB2312" w:eastAsia="仿宋_GB2312" w:cs="DengXian-Regular"/>
          <w:sz w:val="32"/>
          <w:szCs w:val="32"/>
        </w:rPr>
        <w:t>万元，农林水事务支出</w:t>
      </w:r>
      <w:r>
        <w:rPr>
          <w:rFonts w:ascii="仿宋_GB2312" w:eastAsia="仿宋_GB2312" w:cs="DengXian-Regular"/>
          <w:sz w:val="32"/>
          <w:szCs w:val="32"/>
        </w:rPr>
        <w:t>299.61</w:t>
      </w:r>
      <w:r>
        <w:rPr>
          <w:rFonts w:hint="eastAsia" w:ascii="仿宋_GB2312" w:eastAsia="仿宋_GB2312" w:cs="DengXian-Regular"/>
          <w:sz w:val="32"/>
          <w:szCs w:val="32"/>
        </w:rPr>
        <w:t>万元，交通运输支出</w:t>
      </w:r>
      <w:r>
        <w:rPr>
          <w:rFonts w:ascii="仿宋_GB2312" w:eastAsia="仿宋_GB2312" w:cs="DengXian-Regular"/>
          <w:sz w:val="32"/>
          <w:szCs w:val="32"/>
        </w:rPr>
        <w:t>7.5</w:t>
      </w:r>
      <w:r>
        <w:rPr>
          <w:rFonts w:hint="eastAsia" w:ascii="仿宋_GB2312" w:eastAsia="仿宋_GB2312" w:cs="DengXian-Regular"/>
          <w:sz w:val="32"/>
          <w:szCs w:val="32"/>
        </w:rPr>
        <w:t>6万元，住房保障支出</w:t>
      </w:r>
      <w:r>
        <w:rPr>
          <w:rFonts w:ascii="仿宋_GB2312" w:eastAsia="仿宋_GB2312" w:cs="DengXian-Regular"/>
          <w:sz w:val="32"/>
          <w:szCs w:val="32"/>
        </w:rPr>
        <w:t>92.77</w:t>
      </w:r>
      <w:r>
        <w:rPr>
          <w:rFonts w:hint="eastAsia" w:ascii="仿宋_GB2312" w:eastAsia="仿宋_GB2312" w:cs="DengXian-Regular"/>
          <w:sz w:val="32"/>
          <w:szCs w:val="32"/>
        </w:rPr>
        <w:t>万元，灾害防治及应急管理支出2.85万元。</w:t>
      </w:r>
      <w:r>
        <w:rPr>
          <w:rFonts w:hint="eastAsia" w:ascii="仿宋_GB2312" w:eastAsia="仿宋_GB2312" w:cs="Times New Roman" w:hAnsiTheme="minorEastAsia"/>
          <w:sz w:val="32"/>
          <w:szCs w:val="32"/>
          <w:u w:color="000000"/>
        </w:rPr>
        <w:t>具体预算支出详见附件2。</w:t>
      </w:r>
    </w:p>
    <w:p w14:paraId="4E3FA8DE">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2022年度崔</w:t>
      </w:r>
      <w:r>
        <w:rPr>
          <w:rFonts w:ascii="仿宋_GB2312" w:eastAsia="仿宋_GB2312" w:cs="DengXian-Regular"/>
          <w:sz w:val="32"/>
          <w:szCs w:val="32"/>
        </w:rPr>
        <w:t>庄镇</w:t>
      </w:r>
      <w:r>
        <w:rPr>
          <w:rFonts w:hint="eastAsia" w:ascii="仿宋_GB2312" w:eastAsia="仿宋_GB2312" w:cs="Times New Roman" w:hAnsiTheme="minorEastAsia"/>
          <w:sz w:val="32"/>
          <w:szCs w:val="32"/>
          <w:u w:color="000000"/>
        </w:rPr>
        <w:t>决算支出为</w:t>
      </w:r>
      <w:r>
        <w:rPr>
          <w:rFonts w:ascii="仿宋_GB2312" w:eastAsia="仿宋_GB2312" w:cs="Times New Roman" w:hAnsiTheme="minorEastAsia"/>
          <w:sz w:val="32"/>
          <w:szCs w:val="32"/>
          <w:u w:color="000000"/>
        </w:rPr>
        <w:t>2908.06</w:t>
      </w:r>
      <w:r>
        <w:rPr>
          <w:rFonts w:hint="eastAsia" w:ascii="仿宋_GB2312" w:eastAsia="仿宋_GB2312" w:cs="Times New Roman" w:hAnsiTheme="minorEastAsia"/>
          <w:sz w:val="32"/>
          <w:szCs w:val="32"/>
          <w:u w:color="000000"/>
        </w:rPr>
        <w:t>万元，其中：基本支出</w:t>
      </w:r>
      <w:r>
        <w:rPr>
          <w:rFonts w:ascii="仿宋_GB2312" w:eastAsia="仿宋_GB2312" w:cs="Times New Roman" w:hAnsiTheme="minorEastAsia"/>
          <w:sz w:val="32"/>
          <w:szCs w:val="32"/>
          <w:u w:color="000000"/>
        </w:rPr>
        <w:t>3143.47</w:t>
      </w:r>
      <w:r>
        <w:rPr>
          <w:rFonts w:hint="eastAsia" w:ascii="仿宋_GB2312" w:eastAsia="仿宋_GB2312" w:cs="Times New Roman" w:hAnsiTheme="minorEastAsia"/>
          <w:sz w:val="32"/>
          <w:szCs w:val="32"/>
          <w:u w:color="000000"/>
        </w:rPr>
        <w:t>万元，项目支出</w:t>
      </w:r>
      <w:r>
        <w:rPr>
          <w:rFonts w:ascii="仿宋_GB2312" w:eastAsia="仿宋_GB2312" w:cs="Times New Roman" w:hAnsiTheme="minorEastAsia"/>
          <w:sz w:val="32"/>
          <w:szCs w:val="32"/>
          <w:u w:color="000000"/>
        </w:rPr>
        <w:t>764.59</w:t>
      </w:r>
      <w:r>
        <w:rPr>
          <w:rFonts w:hint="eastAsia" w:ascii="仿宋_GB2312" w:eastAsia="仿宋_GB2312" w:cs="Times New Roman" w:hAnsiTheme="minorEastAsia"/>
          <w:sz w:val="32"/>
          <w:szCs w:val="32"/>
          <w:u w:color="000000"/>
        </w:rPr>
        <w:t>万元。决算支出按功能分类包含：一般公共服务支出</w:t>
      </w:r>
      <w:r>
        <w:rPr>
          <w:rFonts w:ascii="仿宋_GB2312" w:eastAsia="仿宋_GB2312" w:cs="Times New Roman" w:hAnsiTheme="minorEastAsia"/>
          <w:sz w:val="32"/>
          <w:szCs w:val="32"/>
          <w:u w:color="000000"/>
        </w:rPr>
        <w:t>1914.72</w:t>
      </w:r>
      <w:r>
        <w:rPr>
          <w:rFonts w:hint="eastAsia" w:ascii="仿宋_GB2312" w:eastAsia="仿宋_GB2312" w:cs="Times New Roman" w:hAnsiTheme="minorEastAsia"/>
          <w:sz w:val="32"/>
          <w:szCs w:val="32"/>
          <w:u w:color="000000"/>
        </w:rPr>
        <w:t>万元，公共</w:t>
      </w:r>
      <w:r>
        <w:rPr>
          <w:rFonts w:ascii="仿宋_GB2312" w:eastAsia="仿宋_GB2312" w:cs="Times New Roman" w:hAnsiTheme="minorEastAsia"/>
          <w:sz w:val="32"/>
          <w:szCs w:val="32"/>
          <w:u w:color="000000"/>
        </w:rPr>
        <w:t>安全支出6.99</w:t>
      </w:r>
      <w:r>
        <w:rPr>
          <w:rFonts w:hint="eastAsia" w:ascii="仿宋_GB2312" w:eastAsia="仿宋_GB2312" w:cs="Times New Roman" w:hAnsiTheme="minorEastAsia"/>
          <w:sz w:val="32"/>
          <w:szCs w:val="32"/>
          <w:u w:color="000000"/>
        </w:rPr>
        <w:t>万</w:t>
      </w:r>
      <w:r>
        <w:rPr>
          <w:rFonts w:ascii="仿宋_GB2312" w:eastAsia="仿宋_GB2312" w:cs="Times New Roman" w:hAnsiTheme="minorEastAsia"/>
          <w:sz w:val="32"/>
          <w:szCs w:val="32"/>
          <w:u w:color="000000"/>
        </w:rPr>
        <w:t>元，</w:t>
      </w:r>
      <w:r>
        <w:rPr>
          <w:rFonts w:hint="eastAsia" w:ascii="仿宋_GB2312" w:eastAsia="仿宋_GB2312" w:cs="DengXian-Regular"/>
          <w:sz w:val="32"/>
          <w:szCs w:val="32"/>
        </w:rPr>
        <w:t>科技支出</w:t>
      </w:r>
      <w:r>
        <w:rPr>
          <w:rFonts w:ascii="仿宋_GB2312" w:eastAsia="仿宋_GB2312" w:cs="DengXian-Regular"/>
          <w:sz w:val="32"/>
          <w:szCs w:val="32"/>
        </w:rPr>
        <w:t>0.92</w:t>
      </w:r>
      <w:r>
        <w:rPr>
          <w:rFonts w:hint="eastAsia" w:ascii="仿宋_GB2312" w:eastAsia="仿宋_GB2312" w:cs="DengXian-Regular"/>
          <w:sz w:val="32"/>
          <w:szCs w:val="32"/>
        </w:rPr>
        <w:t>万元，文化旅游体育与传媒支出</w:t>
      </w:r>
      <w:r>
        <w:rPr>
          <w:rFonts w:ascii="仿宋_GB2312" w:eastAsia="仿宋_GB2312" w:cs="DengXian-Regular"/>
          <w:sz w:val="32"/>
          <w:szCs w:val="32"/>
        </w:rPr>
        <w:t>4.73</w:t>
      </w:r>
      <w:r>
        <w:rPr>
          <w:rFonts w:hint="eastAsia" w:ascii="仿宋_GB2312" w:eastAsia="仿宋_GB2312" w:cs="DengXian-Regular"/>
          <w:sz w:val="32"/>
          <w:szCs w:val="32"/>
        </w:rPr>
        <w:t>万元，社会保障和就业支出</w:t>
      </w:r>
      <w:r>
        <w:rPr>
          <w:rFonts w:ascii="仿宋_GB2312" w:eastAsia="仿宋_GB2312" w:cs="DengXian-Regular"/>
          <w:sz w:val="32"/>
          <w:szCs w:val="32"/>
        </w:rPr>
        <w:t>236.1</w:t>
      </w:r>
      <w:r>
        <w:rPr>
          <w:rFonts w:hint="eastAsia" w:ascii="仿宋_GB2312" w:eastAsia="仿宋_GB2312" w:cs="DengXian-Regular"/>
          <w:sz w:val="32"/>
          <w:szCs w:val="32"/>
        </w:rPr>
        <w:t>万元，卫生健康支出</w:t>
      </w:r>
      <w:r>
        <w:rPr>
          <w:rFonts w:ascii="仿宋_GB2312" w:eastAsia="仿宋_GB2312" w:cs="DengXian-Regular"/>
          <w:sz w:val="32"/>
          <w:szCs w:val="32"/>
        </w:rPr>
        <w:t>58.5</w:t>
      </w:r>
      <w:r>
        <w:rPr>
          <w:rFonts w:hint="eastAsia" w:ascii="仿宋_GB2312" w:eastAsia="仿宋_GB2312" w:cs="DengXian-Regular"/>
          <w:sz w:val="32"/>
          <w:szCs w:val="32"/>
        </w:rPr>
        <w:t>万元，节能环保支出</w:t>
      </w:r>
      <w:r>
        <w:rPr>
          <w:rFonts w:ascii="仿宋_GB2312" w:eastAsia="仿宋_GB2312" w:cs="DengXian-Regular"/>
          <w:sz w:val="32"/>
          <w:szCs w:val="32"/>
        </w:rPr>
        <w:t>37.11</w:t>
      </w:r>
      <w:r>
        <w:rPr>
          <w:rFonts w:hint="eastAsia" w:ascii="仿宋_GB2312" w:eastAsia="仿宋_GB2312" w:cs="DengXian-Regular"/>
          <w:sz w:val="32"/>
          <w:szCs w:val="32"/>
        </w:rPr>
        <w:t>万元，城乡社区支出</w:t>
      </w:r>
      <w:r>
        <w:rPr>
          <w:rFonts w:ascii="仿宋_GB2312" w:eastAsia="仿宋_GB2312" w:cs="DengXian-Regular"/>
          <w:sz w:val="32"/>
          <w:szCs w:val="32"/>
        </w:rPr>
        <w:t>7.63</w:t>
      </w:r>
      <w:r>
        <w:rPr>
          <w:rFonts w:hint="eastAsia" w:ascii="仿宋_GB2312" w:eastAsia="仿宋_GB2312" w:cs="DengXian-Regular"/>
          <w:sz w:val="32"/>
          <w:szCs w:val="32"/>
        </w:rPr>
        <w:t>万元，农村水支出</w:t>
      </w:r>
      <w:r>
        <w:rPr>
          <w:rFonts w:ascii="仿宋_GB2312" w:eastAsia="仿宋_GB2312" w:cs="DengXian-Regular"/>
          <w:sz w:val="32"/>
          <w:szCs w:val="32"/>
        </w:rPr>
        <w:t>526.7</w:t>
      </w:r>
      <w:r>
        <w:rPr>
          <w:rFonts w:hint="eastAsia" w:ascii="仿宋_GB2312" w:eastAsia="仿宋_GB2312" w:cs="DengXian-Regular"/>
          <w:sz w:val="32"/>
          <w:szCs w:val="32"/>
        </w:rPr>
        <w:t>万元，交通运输支出</w:t>
      </w:r>
      <w:r>
        <w:rPr>
          <w:rFonts w:ascii="仿宋_GB2312" w:eastAsia="仿宋_GB2312" w:cs="DengXian-Regular"/>
          <w:sz w:val="32"/>
          <w:szCs w:val="32"/>
        </w:rPr>
        <w:t>22.68</w:t>
      </w:r>
      <w:r>
        <w:rPr>
          <w:rFonts w:hint="eastAsia" w:ascii="仿宋_GB2312" w:eastAsia="仿宋_GB2312" w:cs="DengXian-Regular"/>
          <w:sz w:val="32"/>
          <w:szCs w:val="32"/>
        </w:rPr>
        <w:t>万元，住房保障支出</w:t>
      </w:r>
      <w:r>
        <w:rPr>
          <w:rFonts w:ascii="仿宋_GB2312" w:eastAsia="仿宋_GB2312" w:cs="DengXian-Regular"/>
          <w:sz w:val="32"/>
          <w:szCs w:val="32"/>
        </w:rPr>
        <w:t>89.13</w:t>
      </w:r>
      <w:r>
        <w:rPr>
          <w:rFonts w:hint="eastAsia" w:ascii="仿宋_GB2312" w:eastAsia="仿宋_GB2312" w:cs="DengXian-Regular"/>
          <w:sz w:val="32"/>
          <w:szCs w:val="32"/>
        </w:rPr>
        <w:t>万元，灾害防治及应急管理支出2.</w:t>
      </w:r>
      <w:r>
        <w:rPr>
          <w:rFonts w:ascii="仿宋_GB2312" w:eastAsia="仿宋_GB2312" w:cs="DengXian-Regular"/>
          <w:sz w:val="32"/>
          <w:szCs w:val="32"/>
        </w:rPr>
        <w:t>85</w:t>
      </w:r>
      <w:r>
        <w:rPr>
          <w:rFonts w:hint="eastAsia" w:ascii="仿宋_GB2312" w:eastAsia="仿宋_GB2312" w:cs="DengXian-Regular"/>
          <w:sz w:val="32"/>
          <w:szCs w:val="32"/>
        </w:rPr>
        <w:t>万元。</w:t>
      </w:r>
    </w:p>
    <w:p w14:paraId="7B3E2C07">
      <w:pPr>
        <w:spacing w:after="0" w:line="360" w:lineRule="auto"/>
        <w:ind w:firstLine="640" w:firstLineChars="200"/>
        <w:jc w:val="both"/>
        <w:rPr>
          <w:rFonts w:ascii="仿宋" w:hAnsi="仿宋" w:eastAsia="仿宋"/>
          <w:snapToGrid w:val="0"/>
          <w:sz w:val="32"/>
          <w:szCs w:val="32"/>
        </w:rPr>
      </w:pPr>
      <w:r>
        <w:rPr>
          <w:rFonts w:hint="eastAsia" w:ascii="仿宋_GB2312" w:eastAsia="仿宋_GB2312" w:cs="DengXian-Regular"/>
          <w:sz w:val="32"/>
          <w:szCs w:val="32"/>
        </w:rPr>
        <w:t>财政拨款决算支出比年初预算减少</w:t>
      </w:r>
      <w:r>
        <w:rPr>
          <w:rFonts w:ascii="仿宋_GB2312" w:eastAsia="仿宋_GB2312" w:cs="DengXian-Regular"/>
          <w:sz w:val="32"/>
          <w:szCs w:val="32"/>
        </w:rPr>
        <w:t>1198.11</w:t>
      </w:r>
      <w:r>
        <w:rPr>
          <w:rFonts w:hint="eastAsia" w:ascii="仿宋_GB2312" w:eastAsia="仿宋_GB2312" w:cs="DengXian-Regular"/>
          <w:sz w:val="32"/>
          <w:szCs w:val="32"/>
        </w:rPr>
        <w:t>万元。决算支出完成年初预算的</w:t>
      </w:r>
      <w:r>
        <w:rPr>
          <w:rFonts w:ascii="仿宋_GB2312" w:eastAsia="仿宋_GB2312" w:cs="DengXian-Regular"/>
          <w:sz w:val="32"/>
          <w:szCs w:val="32"/>
        </w:rPr>
        <w:t>70.82</w:t>
      </w:r>
      <w:r>
        <w:rPr>
          <w:rFonts w:hint="eastAsia" w:ascii="仿宋_GB2312" w:eastAsia="仿宋_GB2312" w:cs="DengXian-Regular"/>
          <w:sz w:val="32"/>
          <w:szCs w:val="32"/>
        </w:rPr>
        <w:t>%。</w:t>
      </w:r>
      <w:r>
        <w:rPr>
          <w:rFonts w:hint="eastAsia" w:ascii="仿宋_GB2312" w:eastAsia="仿宋_GB2312" w:cs="Times New Roman" w:hAnsiTheme="minorEastAsia"/>
          <w:sz w:val="32"/>
          <w:szCs w:val="32"/>
          <w:u w:color="000000"/>
        </w:rPr>
        <w:t>决算支出小于预算支出的</w:t>
      </w:r>
      <w:r>
        <w:rPr>
          <w:rFonts w:hint="eastAsia" w:ascii="仿宋_GB2312" w:eastAsia="仿宋_GB2312" w:cs="DengXian-Regular"/>
          <w:sz w:val="32"/>
          <w:szCs w:val="32"/>
        </w:rPr>
        <w:t>主要原因为2022年度绿化占地土地流转金项目</w:t>
      </w:r>
      <w:r>
        <w:rPr>
          <w:rFonts w:ascii="仿宋_GB2312" w:eastAsia="仿宋_GB2312" w:cs="DengXian-Regular"/>
          <w:sz w:val="32"/>
          <w:szCs w:val="32"/>
        </w:rPr>
        <w:t>1509</w:t>
      </w:r>
      <w:r>
        <w:rPr>
          <w:rFonts w:hint="eastAsia" w:ascii="仿宋_GB2312" w:eastAsia="仿宋_GB2312" w:cs="DengXian-Regular"/>
          <w:sz w:val="32"/>
          <w:szCs w:val="32"/>
        </w:rPr>
        <w:t>万元因资金未下达支出未能实施。</w:t>
      </w:r>
    </w:p>
    <w:p w14:paraId="1B2C1184">
      <w:pPr>
        <w:pStyle w:val="4"/>
        <w:spacing w:before="0" w:after="0"/>
        <w:ind w:firstLine="643" w:firstLineChars="200"/>
        <w:jc w:val="both"/>
        <w:rPr>
          <w:rFonts w:ascii="仿宋_GB2312" w:hAnsi="Tahoma" w:cs="DengXian-Regular"/>
          <w:sz w:val="32"/>
        </w:rPr>
      </w:pPr>
      <w:bookmarkStart w:id="13" w:name="_Toc19291"/>
      <w:bookmarkStart w:id="14" w:name="_Toc492652769"/>
      <w:bookmarkStart w:id="15" w:name="_Toc465149503"/>
      <w:r>
        <w:rPr>
          <w:rFonts w:hint="eastAsia" w:ascii="仿宋_GB2312" w:hAnsi="Tahoma" w:cs="DengXian-Regular"/>
          <w:sz w:val="32"/>
        </w:rPr>
        <w:t>（五）“三公”经费预算安排及支出情况</w:t>
      </w:r>
      <w:bookmarkEnd w:id="13"/>
      <w:bookmarkEnd w:id="14"/>
      <w:bookmarkEnd w:id="15"/>
    </w:p>
    <w:p w14:paraId="04A8A9EE">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2022年 “三公”经费预算</w:t>
      </w:r>
      <w:r>
        <w:rPr>
          <w:rFonts w:ascii="仿宋_GB2312" w:eastAsia="仿宋_GB2312" w:cs="DengXian-Regular"/>
          <w:sz w:val="32"/>
          <w:szCs w:val="32"/>
        </w:rPr>
        <w:t>17.17</w:t>
      </w:r>
      <w:r>
        <w:rPr>
          <w:rFonts w:hint="eastAsia" w:ascii="仿宋_GB2312" w:eastAsia="仿宋_GB2312" w:cs="DengXian-Regular"/>
          <w:sz w:val="32"/>
          <w:szCs w:val="32"/>
        </w:rPr>
        <w:t>万元（公务用车运行维护费</w:t>
      </w:r>
      <w:r>
        <w:rPr>
          <w:rFonts w:ascii="仿宋_GB2312" w:eastAsia="仿宋_GB2312" w:cs="DengXian-Regular"/>
          <w:sz w:val="32"/>
          <w:szCs w:val="32"/>
        </w:rPr>
        <w:t>12.15</w:t>
      </w:r>
      <w:r>
        <w:rPr>
          <w:rFonts w:hint="eastAsia" w:ascii="仿宋_GB2312" w:eastAsia="仿宋_GB2312" w:cs="DengXian-Regular"/>
          <w:sz w:val="32"/>
          <w:szCs w:val="32"/>
        </w:rPr>
        <w:t>万元，公务接待费</w:t>
      </w:r>
      <w:r>
        <w:rPr>
          <w:rFonts w:ascii="仿宋_GB2312" w:eastAsia="仿宋_GB2312" w:cs="DengXian-Regular"/>
          <w:sz w:val="32"/>
          <w:szCs w:val="32"/>
        </w:rPr>
        <w:t>5.02</w:t>
      </w:r>
      <w:r>
        <w:rPr>
          <w:rFonts w:hint="eastAsia" w:ascii="仿宋_GB2312" w:eastAsia="仿宋_GB2312" w:cs="DengXian-Regular"/>
          <w:sz w:val="32"/>
          <w:szCs w:val="32"/>
        </w:rPr>
        <w:t>万元），实际支出</w:t>
      </w:r>
      <w:r>
        <w:rPr>
          <w:rFonts w:ascii="仿宋_GB2312" w:eastAsia="仿宋_GB2312" w:cs="DengXian-Regular"/>
          <w:sz w:val="32"/>
          <w:szCs w:val="32"/>
        </w:rPr>
        <w:t>10.08</w:t>
      </w:r>
      <w:r>
        <w:rPr>
          <w:rFonts w:hint="eastAsia" w:ascii="仿宋_GB2312" w:eastAsia="仿宋_GB2312" w:cs="DengXian-Regular"/>
          <w:sz w:val="32"/>
          <w:szCs w:val="32"/>
        </w:rPr>
        <w:t>万元（公务用车运行维护费</w:t>
      </w:r>
      <w:r>
        <w:rPr>
          <w:rFonts w:ascii="仿宋_GB2312" w:eastAsia="仿宋_GB2312" w:cs="DengXian-Regular"/>
          <w:sz w:val="32"/>
          <w:szCs w:val="32"/>
        </w:rPr>
        <w:t>10.08</w:t>
      </w:r>
      <w:r>
        <w:rPr>
          <w:rFonts w:hint="eastAsia" w:ascii="仿宋_GB2312" w:eastAsia="仿宋_GB2312" w:cs="DengXian-Regular"/>
          <w:sz w:val="32"/>
          <w:szCs w:val="32"/>
        </w:rPr>
        <w:t>万元，公务接待费</w:t>
      </w:r>
      <w:r>
        <w:rPr>
          <w:rFonts w:ascii="仿宋_GB2312" w:eastAsia="仿宋_GB2312" w:cs="DengXian-Regular"/>
          <w:sz w:val="32"/>
          <w:szCs w:val="32"/>
        </w:rPr>
        <w:t>0</w:t>
      </w:r>
      <w:r>
        <w:rPr>
          <w:rFonts w:hint="eastAsia" w:ascii="仿宋_GB2312" w:eastAsia="仿宋_GB2312" w:cs="DengXian-Regular"/>
          <w:sz w:val="32"/>
          <w:szCs w:val="32"/>
        </w:rPr>
        <w:t>万元），比预算减少</w:t>
      </w:r>
      <w:r>
        <w:rPr>
          <w:rFonts w:ascii="仿宋_GB2312" w:eastAsia="仿宋_GB2312" w:cs="DengXian-Regular"/>
          <w:sz w:val="32"/>
          <w:szCs w:val="32"/>
        </w:rPr>
        <w:t>7.09</w:t>
      </w:r>
      <w:r>
        <w:rPr>
          <w:rFonts w:hint="eastAsia" w:ascii="仿宋_GB2312" w:eastAsia="仿宋_GB2312" w:cs="DengXian-Regular"/>
          <w:sz w:val="32"/>
          <w:szCs w:val="32"/>
        </w:rPr>
        <w:t>万元，节约率</w:t>
      </w:r>
      <w:r>
        <w:rPr>
          <w:rFonts w:ascii="仿宋_GB2312" w:eastAsia="仿宋_GB2312" w:cs="DengXian-Regular"/>
          <w:sz w:val="32"/>
          <w:szCs w:val="32"/>
        </w:rPr>
        <w:t>41.29</w:t>
      </w:r>
      <w:r>
        <w:rPr>
          <w:rFonts w:hint="eastAsia" w:ascii="仿宋_GB2312" w:eastAsia="仿宋_GB2312" w:cs="DengXian-Regular"/>
          <w:sz w:val="32"/>
          <w:szCs w:val="32"/>
        </w:rPr>
        <w:t>%。2022年“三公”经费预算数与20</w:t>
      </w:r>
      <w:r>
        <w:rPr>
          <w:rFonts w:ascii="仿宋_GB2312" w:eastAsia="仿宋_GB2312" w:cs="DengXian-Regular"/>
          <w:sz w:val="32"/>
          <w:szCs w:val="32"/>
        </w:rPr>
        <w:t>21</w:t>
      </w:r>
      <w:r>
        <w:rPr>
          <w:rFonts w:hint="eastAsia" w:ascii="仿宋_GB2312" w:eastAsia="仿宋_GB2312" w:cs="DengXian-Regular"/>
          <w:sz w:val="32"/>
          <w:szCs w:val="32"/>
        </w:rPr>
        <w:t>年预算数相比减少</w:t>
      </w:r>
      <w:r>
        <w:rPr>
          <w:rFonts w:ascii="仿宋_GB2312" w:eastAsia="仿宋_GB2312" w:cs="DengXian-Regular"/>
          <w:sz w:val="32"/>
          <w:szCs w:val="32"/>
        </w:rPr>
        <w:t>14.33</w:t>
      </w:r>
      <w:r>
        <w:rPr>
          <w:rFonts w:hint="eastAsia" w:ascii="仿宋_GB2312" w:eastAsia="仿宋_GB2312" w:cs="DengXian-Regular"/>
          <w:sz w:val="32"/>
          <w:szCs w:val="32"/>
        </w:rPr>
        <w:t>万元，决算数与20</w:t>
      </w:r>
      <w:r>
        <w:rPr>
          <w:rFonts w:ascii="仿宋_GB2312" w:eastAsia="仿宋_GB2312" w:cs="DengXian-Regular"/>
          <w:sz w:val="32"/>
          <w:szCs w:val="32"/>
        </w:rPr>
        <w:t>21</w:t>
      </w:r>
      <w:r>
        <w:rPr>
          <w:rFonts w:hint="eastAsia" w:ascii="仿宋_GB2312" w:eastAsia="仿宋_GB2312" w:cs="DengXian-Regular"/>
          <w:sz w:val="32"/>
          <w:szCs w:val="32"/>
        </w:rPr>
        <w:t>年实际支出相比，增加</w:t>
      </w:r>
      <w:r>
        <w:rPr>
          <w:rFonts w:ascii="仿宋_GB2312" w:eastAsia="仿宋_GB2312" w:cs="DengXian-Regular"/>
          <w:sz w:val="32"/>
          <w:szCs w:val="32"/>
        </w:rPr>
        <w:t>0.05</w:t>
      </w:r>
      <w:r>
        <w:rPr>
          <w:rFonts w:hint="eastAsia" w:ascii="仿宋_GB2312" w:eastAsia="仿宋_GB2312" w:cs="DengXian-Regular"/>
          <w:sz w:val="32"/>
          <w:szCs w:val="32"/>
        </w:rPr>
        <w:t>万元。具体详见表1。</w:t>
      </w:r>
    </w:p>
    <w:p w14:paraId="558BD30C">
      <w:pPr>
        <w:spacing w:after="0" w:line="360" w:lineRule="auto"/>
        <w:ind w:firstLine="643" w:firstLineChars="200"/>
        <w:jc w:val="both"/>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 xml:space="preserve">表1  </w:t>
      </w:r>
      <w:r>
        <w:rPr>
          <w:rFonts w:hint="eastAsia" w:ascii="仿宋_GB2312" w:eastAsia="仿宋_GB2312" w:cs="DengXian-Regular"/>
          <w:sz w:val="32"/>
          <w:szCs w:val="32"/>
        </w:rPr>
        <w:t>崔</w:t>
      </w:r>
      <w:r>
        <w:rPr>
          <w:rFonts w:ascii="仿宋_GB2312" w:eastAsia="仿宋_GB2312" w:cs="DengXian-Regular"/>
          <w:sz w:val="32"/>
          <w:szCs w:val="32"/>
        </w:rPr>
        <w:t>庄镇</w:t>
      </w:r>
      <w:r>
        <w:rPr>
          <w:rFonts w:hint="eastAsia" w:asciiTheme="minorEastAsia" w:hAnsiTheme="minorEastAsia" w:eastAsiaTheme="minorEastAsia" w:cstheme="minorEastAsia"/>
          <w:b/>
          <w:bCs/>
          <w:sz w:val="32"/>
          <w:szCs w:val="32"/>
        </w:rPr>
        <w:t>“三公”经费预算及决算明细表</w:t>
      </w:r>
    </w:p>
    <w:p w14:paraId="702C470D">
      <w:pPr>
        <w:spacing w:after="0" w:line="540" w:lineRule="exact"/>
        <w:ind w:firstLine="640" w:firstLineChars="200"/>
        <w:jc w:val="both"/>
        <w:rPr>
          <w:rFonts w:asciiTheme="minorEastAsia" w:hAnsiTheme="minorEastAsia" w:eastAsiaTheme="minorEastAsia" w:cstheme="minorEastAsia"/>
          <w:sz w:val="21"/>
          <w:szCs w:val="21"/>
        </w:rPr>
      </w:pPr>
      <w:r>
        <w:rPr>
          <w:rFonts w:hint="eastAsia" w:ascii="仿宋_GB2312" w:eastAsia="仿宋_GB2312" w:cs="DengXian-Regular"/>
          <w:sz w:val="32"/>
          <w:szCs w:val="32"/>
        </w:rPr>
        <w:t xml:space="preserve">                                         </w:t>
      </w:r>
      <w:r>
        <w:rPr>
          <w:rFonts w:hint="eastAsia" w:asciiTheme="minorEastAsia" w:hAnsiTheme="minorEastAsia" w:eastAsiaTheme="minorEastAsia" w:cstheme="minorEastAsia"/>
          <w:sz w:val="21"/>
          <w:szCs w:val="21"/>
        </w:rPr>
        <w:t>单位：万元</w:t>
      </w:r>
    </w:p>
    <w:tbl>
      <w:tblPr>
        <w:tblStyle w:val="23"/>
        <w:tblW w:w="8565" w:type="dxa"/>
        <w:tblInd w:w="0" w:type="dxa"/>
        <w:tblLayout w:type="fixed"/>
        <w:tblCellMar>
          <w:top w:w="0" w:type="dxa"/>
          <w:left w:w="0" w:type="dxa"/>
          <w:bottom w:w="0" w:type="dxa"/>
          <w:right w:w="0" w:type="dxa"/>
        </w:tblCellMar>
      </w:tblPr>
      <w:tblGrid>
        <w:gridCol w:w="549"/>
        <w:gridCol w:w="1818"/>
        <w:gridCol w:w="993"/>
        <w:gridCol w:w="932"/>
        <w:gridCol w:w="1022"/>
        <w:gridCol w:w="947"/>
        <w:gridCol w:w="1149"/>
        <w:gridCol w:w="1155"/>
      </w:tblGrid>
      <w:tr w14:paraId="7505C5D6">
        <w:tblPrEx>
          <w:tblCellMar>
            <w:top w:w="0" w:type="dxa"/>
            <w:left w:w="0" w:type="dxa"/>
            <w:bottom w:w="0" w:type="dxa"/>
            <w:right w:w="0" w:type="dxa"/>
          </w:tblCellMar>
        </w:tblPrEx>
        <w:trPr>
          <w:trHeight w:val="454" w:hRule="atLeast"/>
        </w:trPr>
        <w:tc>
          <w:tcPr>
            <w:tcW w:w="549"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AEB9CD">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序号</w:t>
            </w:r>
          </w:p>
        </w:tc>
        <w:tc>
          <w:tcPr>
            <w:tcW w:w="181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1AE5E1">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支出内容</w:t>
            </w:r>
          </w:p>
        </w:tc>
        <w:tc>
          <w:tcPr>
            <w:tcW w:w="192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F1E50C">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20</w:t>
            </w:r>
            <w:r>
              <w:rPr>
                <w:rFonts w:ascii="宋体" w:hAnsi="宋体" w:eastAsia="宋体" w:cs="宋体"/>
                <w:b/>
                <w:bCs/>
                <w:color w:val="000000"/>
                <w:sz w:val="21"/>
                <w:szCs w:val="21"/>
              </w:rPr>
              <w:t>21</w:t>
            </w:r>
            <w:r>
              <w:rPr>
                <w:rFonts w:hint="eastAsia" w:ascii="宋体" w:hAnsi="宋体" w:eastAsia="宋体" w:cs="宋体"/>
                <w:b/>
                <w:bCs/>
                <w:color w:val="000000"/>
                <w:sz w:val="21"/>
                <w:szCs w:val="21"/>
              </w:rPr>
              <w:t>年</w:t>
            </w:r>
          </w:p>
        </w:tc>
        <w:tc>
          <w:tcPr>
            <w:tcW w:w="1969" w:type="dxa"/>
            <w:gridSpan w:val="2"/>
            <w:tcBorders>
              <w:top w:val="single" w:color="000000" w:sz="4" w:space="0"/>
              <w:left w:val="single" w:color="auto" w:sz="4" w:space="0"/>
              <w:bottom w:val="single" w:color="000000" w:sz="4" w:space="0"/>
              <w:right w:val="nil"/>
            </w:tcBorders>
            <w:shd w:val="clear" w:color="auto" w:fill="auto"/>
            <w:tcMar>
              <w:top w:w="15" w:type="dxa"/>
              <w:left w:w="15" w:type="dxa"/>
              <w:right w:w="15" w:type="dxa"/>
            </w:tcMar>
            <w:vAlign w:val="center"/>
          </w:tcPr>
          <w:p w14:paraId="6FECBDF2">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2022年</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FDCC8">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环比情况</w:t>
            </w:r>
          </w:p>
        </w:tc>
      </w:tr>
      <w:tr w14:paraId="494217A2">
        <w:tblPrEx>
          <w:tblCellMar>
            <w:top w:w="0" w:type="dxa"/>
            <w:left w:w="0" w:type="dxa"/>
            <w:bottom w:w="0" w:type="dxa"/>
            <w:right w:w="0" w:type="dxa"/>
          </w:tblCellMar>
        </w:tblPrEx>
        <w:trPr>
          <w:trHeight w:val="454" w:hRule="atLeast"/>
        </w:trPr>
        <w:tc>
          <w:tcPr>
            <w:tcW w:w="549"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839322">
            <w:pPr>
              <w:spacing w:after="0"/>
              <w:ind w:firstLine="422" w:firstLineChars="200"/>
              <w:jc w:val="center"/>
              <w:rPr>
                <w:rFonts w:ascii="宋体" w:hAnsi="宋体" w:eastAsia="宋体" w:cs="宋体"/>
                <w:b/>
                <w:bCs/>
                <w:color w:val="000000"/>
                <w:sz w:val="21"/>
                <w:szCs w:val="21"/>
              </w:rPr>
            </w:pPr>
          </w:p>
        </w:tc>
        <w:tc>
          <w:tcPr>
            <w:tcW w:w="18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B06AE0">
            <w:pPr>
              <w:spacing w:after="0"/>
              <w:ind w:firstLine="422" w:firstLineChars="200"/>
              <w:jc w:val="center"/>
              <w:rPr>
                <w:rFonts w:ascii="宋体" w:hAnsi="宋体" w:eastAsia="宋体" w:cs="宋体"/>
                <w:b/>
                <w:bCs/>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00E007">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32"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7A9F3F69">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02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A509B4D">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4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162B211">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14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255E888">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较上年预算增减金额</w:t>
            </w:r>
          </w:p>
        </w:tc>
        <w:tc>
          <w:tcPr>
            <w:tcW w:w="11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4C65F49">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较上年支出增减金额</w:t>
            </w:r>
          </w:p>
        </w:tc>
      </w:tr>
      <w:tr w14:paraId="7F2B4CA2">
        <w:tblPrEx>
          <w:tblCellMar>
            <w:top w:w="0" w:type="dxa"/>
            <w:left w:w="0" w:type="dxa"/>
            <w:bottom w:w="0" w:type="dxa"/>
            <w:right w:w="0" w:type="dxa"/>
          </w:tblCellMar>
        </w:tblPrEx>
        <w:trPr>
          <w:trHeight w:val="454" w:hRule="atLeast"/>
        </w:trPr>
        <w:tc>
          <w:tcPr>
            <w:tcW w:w="54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190D3">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1818" w:type="dxa"/>
            <w:tcBorders>
              <w:top w:val="single" w:color="auto" w:sz="4" w:space="0"/>
              <w:left w:val="single" w:color="000000" w:sz="4" w:space="0"/>
              <w:bottom w:val="single" w:color="000000" w:sz="4" w:space="0"/>
              <w:right w:val="nil"/>
            </w:tcBorders>
            <w:shd w:val="clear" w:color="auto" w:fill="auto"/>
            <w:tcMar>
              <w:top w:w="15" w:type="dxa"/>
              <w:left w:w="15" w:type="dxa"/>
              <w:right w:w="15" w:type="dxa"/>
            </w:tcMar>
            <w:vAlign w:val="center"/>
          </w:tcPr>
          <w:p w14:paraId="766DA280">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因公出国（境）费</w:t>
            </w:r>
          </w:p>
        </w:tc>
        <w:tc>
          <w:tcPr>
            <w:tcW w:w="99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FFD03">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A4751">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E9F22">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81B915F">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4A4E84B">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570459C">
            <w:pPr>
              <w:spacing w:after="0"/>
              <w:ind w:firstLine="420" w:firstLineChars="200"/>
              <w:jc w:val="center"/>
              <w:textAlignment w:val="center"/>
              <w:rPr>
                <w:rFonts w:asciiTheme="minorEastAsia" w:hAnsiTheme="minorEastAsia" w:eastAsiaTheme="minorEastAsia" w:cstheme="minorEastAsia"/>
                <w:color w:val="000000"/>
                <w:sz w:val="21"/>
                <w:szCs w:val="21"/>
              </w:rPr>
            </w:pPr>
          </w:p>
        </w:tc>
      </w:tr>
      <w:tr w14:paraId="620A5B26">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7D053">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16FC22B">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公务用车购置及运维费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8A012">
            <w:pPr>
              <w:spacing w:after="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2</w:t>
            </w:r>
            <w:r>
              <w:rPr>
                <w:rFonts w:hint="eastAsia" w:asciiTheme="minorEastAsia" w:hAnsiTheme="minorEastAsia" w:eastAsiaTheme="minorEastAsia" w:cstheme="minorEastAsia"/>
                <w:color w:val="000000"/>
                <w:sz w:val="21"/>
                <w:szCs w:val="21"/>
              </w:rPr>
              <w:t>1.5</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1B213">
            <w:pPr>
              <w:spacing w:after="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8.12</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9588C">
            <w:pPr>
              <w:spacing w:after="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12.15</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6BDF1">
            <w:pPr>
              <w:spacing w:after="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10.08</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7B17A2C">
            <w:pPr>
              <w:spacing w:after="0"/>
              <w:ind w:firstLine="420" w:firstLineChars="200"/>
              <w:jc w:val="both"/>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-9.35</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EA8EFF4">
            <w:pPr>
              <w:spacing w:after="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1.96</w:t>
            </w:r>
          </w:p>
        </w:tc>
      </w:tr>
      <w:tr w14:paraId="13F6903B">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7B638">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1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64E06">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公务接待费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C0130">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67372">
            <w:pPr>
              <w:spacing w:after="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1.91</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78A32">
            <w:pPr>
              <w:spacing w:after="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5.02</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D7955">
            <w:pPr>
              <w:spacing w:after="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0</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5948234">
            <w:pPr>
              <w:spacing w:after="0"/>
              <w:ind w:firstLine="420" w:firstLineChars="200"/>
              <w:jc w:val="both"/>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-4.98</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D53D3F0">
            <w:pPr>
              <w:spacing w:after="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-1.91</w:t>
            </w:r>
          </w:p>
        </w:tc>
      </w:tr>
      <w:tr w14:paraId="667E618E">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7EC97">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C0C4FCC">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合计</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E112A">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31.5</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539BF">
            <w:pPr>
              <w:spacing w:after="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10.03</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524C8">
            <w:pPr>
              <w:spacing w:after="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17.17</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2A1090A">
            <w:pPr>
              <w:spacing w:after="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10.08</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6E48C30">
            <w:pPr>
              <w:spacing w:after="0"/>
              <w:ind w:firstLine="420" w:firstLineChars="200"/>
              <w:jc w:val="both"/>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-14.33</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8E2F92F">
            <w:pPr>
              <w:spacing w:after="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0.05</w:t>
            </w:r>
          </w:p>
        </w:tc>
      </w:tr>
    </w:tbl>
    <w:p w14:paraId="19716A7E">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1、公务用车：2022年底单位车辆合计</w:t>
      </w:r>
      <w:r>
        <w:rPr>
          <w:rFonts w:ascii="仿宋_GB2312" w:eastAsia="仿宋_GB2312" w:cs="DengXian-Regular"/>
          <w:sz w:val="32"/>
          <w:szCs w:val="32"/>
        </w:rPr>
        <w:t>7</w:t>
      </w:r>
      <w:r>
        <w:rPr>
          <w:rFonts w:hint="eastAsia" w:ascii="仿宋_GB2312" w:eastAsia="仿宋_GB2312" w:cs="DengXian-Regular"/>
          <w:sz w:val="32"/>
          <w:szCs w:val="32"/>
        </w:rPr>
        <w:t>辆，</w:t>
      </w:r>
      <w:r>
        <w:rPr>
          <w:rFonts w:ascii="仿宋_GB2312" w:eastAsia="仿宋_GB2312" w:cs="DengXian-Regular"/>
          <w:sz w:val="32"/>
          <w:szCs w:val="32"/>
        </w:rPr>
        <w:t>公务用车5</w:t>
      </w:r>
      <w:r>
        <w:rPr>
          <w:rFonts w:hint="eastAsia" w:ascii="仿宋_GB2312" w:eastAsia="仿宋_GB2312" w:cs="DengXian-Regular"/>
          <w:sz w:val="32"/>
          <w:szCs w:val="32"/>
        </w:rPr>
        <w:t>辆，其他用车</w:t>
      </w:r>
      <w:r>
        <w:rPr>
          <w:rFonts w:ascii="仿宋_GB2312" w:eastAsia="仿宋_GB2312" w:cs="DengXian-Regular"/>
          <w:sz w:val="32"/>
          <w:szCs w:val="32"/>
        </w:rPr>
        <w:t>2</w:t>
      </w:r>
      <w:r>
        <w:rPr>
          <w:rFonts w:hint="eastAsia" w:ascii="仿宋_GB2312" w:eastAsia="仿宋_GB2312" w:cs="DengXian-Regular"/>
          <w:sz w:val="32"/>
          <w:szCs w:val="32"/>
        </w:rPr>
        <w:t>辆。2022年公务用车购置及运维费年初预算</w:t>
      </w:r>
      <w:r>
        <w:rPr>
          <w:rFonts w:ascii="仿宋_GB2312" w:eastAsia="仿宋_GB2312" w:cs="DengXian-Regular"/>
          <w:sz w:val="32"/>
          <w:szCs w:val="32"/>
        </w:rPr>
        <w:t>12.15</w:t>
      </w:r>
      <w:r>
        <w:rPr>
          <w:rFonts w:hint="eastAsia" w:ascii="仿宋_GB2312" w:eastAsia="仿宋_GB2312" w:cs="DengXian-Regular"/>
          <w:sz w:val="32"/>
          <w:szCs w:val="32"/>
        </w:rPr>
        <w:t>万元，全部为公务用车运行维护费，实际支出</w:t>
      </w:r>
      <w:r>
        <w:rPr>
          <w:rFonts w:ascii="仿宋_GB2312" w:eastAsia="仿宋_GB2312" w:cs="DengXian-Regular"/>
          <w:sz w:val="32"/>
          <w:szCs w:val="32"/>
        </w:rPr>
        <w:t>10.08</w:t>
      </w:r>
      <w:r>
        <w:rPr>
          <w:rFonts w:hint="eastAsia" w:ascii="仿宋_GB2312" w:eastAsia="仿宋_GB2312" w:cs="DengXian-Regular"/>
          <w:sz w:val="32"/>
          <w:szCs w:val="32"/>
        </w:rPr>
        <w:t>万元，比预算减少</w:t>
      </w:r>
      <w:r>
        <w:rPr>
          <w:rFonts w:ascii="仿宋_GB2312" w:eastAsia="仿宋_GB2312" w:cs="DengXian-Regular"/>
          <w:sz w:val="32"/>
          <w:szCs w:val="32"/>
        </w:rPr>
        <w:t>2.07</w:t>
      </w:r>
      <w:r>
        <w:rPr>
          <w:rFonts w:hint="eastAsia" w:ascii="仿宋_GB2312" w:eastAsia="仿宋_GB2312" w:cs="DengXian-Regular"/>
          <w:sz w:val="32"/>
          <w:szCs w:val="32"/>
        </w:rPr>
        <w:t>万元，节约率</w:t>
      </w:r>
      <w:r>
        <w:rPr>
          <w:rFonts w:ascii="仿宋_GB2312" w:eastAsia="仿宋_GB2312" w:cs="DengXian-Regular"/>
          <w:sz w:val="32"/>
          <w:szCs w:val="32"/>
        </w:rPr>
        <w:t>17.04</w:t>
      </w:r>
      <w:r>
        <w:rPr>
          <w:rFonts w:hint="eastAsia" w:ascii="仿宋_GB2312" w:eastAsia="仿宋_GB2312" w:cs="DengXian-Regular"/>
          <w:sz w:val="32"/>
          <w:szCs w:val="32"/>
        </w:rPr>
        <w:t>%。2022年预算数与20</w:t>
      </w:r>
      <w:r>
        <w:rPr>
          <w:rFonts w:ascii="仿宋_GB2312" w:eastAsia="仿宋_GB2312" w:cs="DengXian-Regular"/>
          <w:sz w:val="32"/>
          <w:szCs w:val="32"/>
        </w:rPr>
        <w:t>21</w:t>
      </w:r>
      <w:r>
        <w:rPr>
          <w:rFonts w:hint="eastAsia" w:ascii="仿宋_GB2312" w:eastAsia="仿宋_GB2312" w:cs="DengXian-Regular"/>
          <w:sz w:val="32"/>
          <w:szCs w:val="32"/>
        </w:rPr>
        <w:t>年预算相比减少</w:t>
      </w:r>
      <w:r>
        <w:rPr>
          <w:rFonts w:ascii="仿宋_GB2312" w:eastAsia="仿宋_GB2312" w:cs="DengXian-Regular"/>
          <w:sz w:val="32"/>
          <w:szCs w:val="32"/>
        </w:rPr>
        <w:t>9.35</w:t>
      </w:r>
      <w:r>
        <w:rPr>
          <w:rFonts w:hint="eastAsia" w:ascii="仿宋_GB2312" w:eastAsia="仿宋_GB2312" w:cs="DengXian-Regular"/>
          <w:sz w:val="32"/>
          <w:szCs w:val="32"/>
        </w:rPr>
        <w:t>万元，决算数与20</w:t>
      </w:r>
      <w:r>
        <w:rPr>
          <w:rFonts w:ascii="仿宋_GB2312" w:eastAsia="仿宋_GB2312" w:cs="DengXian-Regular"/>
          <w:sz w:val="32"/>
          <w:szCs w:val="32"/>
        </w:rPr>
        <w:t>21</w:t>
      </w:r>
      <w:r>
        <w:rPr>
          <w:rFonts w:hint="eastAsia" w:ascii="仿宋_GB2312" w:eastAsia="仿宋_GB2312" w:cs="DengXian-Regular"/>
          <w:sz w:val="32"/>
          <w:szCs w:val="32"/>
        </w:rPr>
        <w:t>年实际支出相比增加</w:t>
      </w:r>
      <w:r>
        <w:rPr>
          <w:rFonts w:ascii="仿宋_GB2312" w:eastAsia="仿宋_GB2312" w:cs="DengXian-Regular"/>
          <w:sz w:val="32"/>
          <w:szCs w:val="32"/>
        </w:rPr>
        <w:t>1.96</w:t>
      </w:r>
      <w:r>
        <w:rPr>
          <w:rFonts w:hint="eastAsia" w:ascii="仿宋_GB2312" w:eastAsia="仿宋_GB2312" w:cs="DengXian-Regular"/>
          <w:sz w:val="32"/>
          <w:szCs w:val="32"/>
        </w:rPr>
        <w:t>万元。</w:t>
      </w:r>
    </w:p>
    <w:p w14:paraId="2F0F1873">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2、公务接待：2022年单位公务接待费年初预算</w:t>
      </w:r>
      <w:r>
        <w:rPr>
          <w:rFonts w:ascii="仿宋_GB2312" w:eastAsia="仿宋_GB2312" w:cs="DengXian-Regular"/>
          <w:sz w:val="32"/>
          <w:szCs w:val="32"/>
        </w:rPr>
        <w:t>5.02</w:t>
      </w:r>
      <w:r>
        <w:rPr>
          <w:rFonts w:hint="eastAsia" w:ascii="仿宋_GB2312" w:eastAsia="仿宋_GB2312" w:cs="DengXian-Regular"/>
          <w:sz w:val="32"/>
          <w:szCs w:val="32"/>
        </w:rPr>
        <w:t>万元，实际支出</w:t>
      </w:r>
      <w:r>
        <w:rPr>
          <w:rFonts w:ascii="仿宋_GB2312" w:eastAsia="仿宋_GB2312" w:cs="DengXian-Regular"/>
          <w:sz w:val="32"/>
          <w:szCs w:val="32"/>
        </w:rPr>
        <w:t>0</w:t>
      </w:r>
      <w:r>
        <w:rPr>
          <w:rFonts w:hint="eastAsia" w:ascii="仿宋_GB2312" w:eastAsia="仿宋_GB2312" w:cs="DengXian-Regular"/>
          <w:sz w:val="32"/>
          <w:szCs w:val="32"/>
        </w:rPr>
        <w:t>万元，比预算减少</w:t>
      </w:r>
      <w:r>
        <w:rPr>
          <w:rFonts w:ascii="仿宋_GB2312" w:eastAsia="仿宋_GB2312" w:cs="DengXian-Regular"/>
          <w:sz w:val="32"/>
          <w:szCs w:val="32"/>
        </w:rPr>
        <w:t>5.02</w:t>
      </w:r>
      <w:r>
        <w:rPr>
          <w:rFonts w:hint="eastAsia" w:ascii="仿宋_GB2312" w:eastAsia="仿宋_GB2312" w:cs="DengXian-Regular"/>
          <w:sz w:val="32"/>
          <w:szCs w:val="32"/>
        </w:rPr>
        <w:t>万元，节约率</w:t>
      </w:r>
      <w:r>
        <w:rPr>
          <w:rFonts w:ascii="仿宋_GB2312" w:eastAsia="仿宋_GB2312" w:cs="DengXian-Regular"/>
          <w:sz w:val="32"/>
          <w:szCs w:val="32"/>
        </w:rPr>
        <w:t>100</w:t>
      </w:r>
      <w:r>
        <w:rPr>
          <w:rFonts w:hint="eastAsia" w:ascii="仿宋_GB2312" w:eastAsia="仿宋_GB2312" w:cs="DengXian-Regular"/>
          <w:sz w:val="32"/>
          <w:szCs w:val="32"/>
        </w:rPr>
        <w:t>%。2022年预算数与20</w:t>
      </w:r>
      <w:r>
        <w:rPr>
          <w:rFonts w:ascii="仿宋_GB2312" w:eastAsia="仿宋_GB2312" w:cs="DengXian-Regular"/>
          <w:sz w:val="32"/>
          <w:szCs w:val="32"/>
        </w:rPr>
        <w:t>21</w:t>
      </w:r>
      <w:r>
        <w:rPr>
          <w:rFonts w:hint="eastAsia" w:ascii="仿宋_GB2312" w:eastAsia="仿宋_GB2312" w:cs="DengXian-Regular"/>
          <w:sz w:val="32"/>
          <w:szCs w:val="32"/>
        </w:rPr>
        <w:t>年预算减少</w:t>
      </w:r>
      <w:r>
        <w:rPr>
          <w:rFonts w:ascii="仿宋_GB2312" w:eastAsia="仿宋_GB2312" w:cs="DengXian-Regular"/>
          <w:sz w:val="32"/>
          <w:szCs w:val="32"/>
        </w:rPr>
        <w:t>4.98</w:t>
      </w:r>
      <w:r>
        <w:rPr>
          <w:rFonts w:hint="eastAsia" w:ascii="仿宋_GB2312" w:eastAsia="仿宋_GB2312" w:cs="DengXian-Regular"/>
          <w:sz w:val="32"/>
          <w:szCs w:val="32"/>
        </w:rPr>
        <w:t>万元，决算数与202</w:t>
      </w:r>
      <w:r>
        <w:rPr>
          <w:rFonts w:ascii="仿宋_GB2312" w:eastAsia="仿宋_GB2312" w:cs="DengXian-Regular"/>
          <w:sz w:val="32"/>
          <w:szCs w:val="32"/>
        </w:rPr>
        <w:t>1</w:t>
      </w:r>
      <w:r>
        <w:rPr>
          <w:rFonts w:hint="eastAsia" w:ascii="仿宋_GB2312" w:eastAsia="仿宋_GB2312" w:cs="DengXian-Regular"/>
          <w:sz w:val="32"/>
          <w:szCs w:val="32"/>
        </w:rPr>
        <w:t>年实际支出相比减少</w:t>
      </w:r>
      <w:r>
        <w:rPr>
          <w:rFonts w:ascii="仿宋_GB2312" w:eastAsia="仿宋_GB2312" w:cs="DengXian-Regular"/>
          <w:sz w:val="32"/>
          <w:szCs w:val="32"/>
        </w:rPr>
        <w:t>1.91</w:t>
      </w:r>
      <w:r>
        <w:rPr>
          <w:rFonts w:hint="eastAsia" w:ascii="仿宋_GB2312" w:eastAsia="仿宋_GB2312" w:cs="DengXian-Regular"/>
          <w:sz w:val="32"/>
          <w:szCs w:val="32"/>
        </w:rPr>
        <w:t>万元。</w:t>
      </w:r>
    </w:p>
    <w:p w14:paraId="7129C1DA">
      <w:pPr>
        <w:pStyle w:val="3"/>
        <w:spacing w:before="0" w:after="0" w:line="360" w:lineRule="auto"/>
        <w:ind w:firstLine="643" w:firstLineChars="200"/>
        <w:rPr>
          <w:rFonts w:ascii="黑体" w:hAnsiTheme="minorEastAsia"/>
          <w:u w:color="000000"/>
        </w:rPr>
      </w:pPr>
      <w:bookmarkStart w:id="16" w:name="_Toc492652770"/>
      <w:bookmarkStart w:id="17" w:name="_Toc20454"/>
      <w:bookmarkStart w:id="18" w:name="_Toc465149504"/>
      <w:r>
        <w:rPr>
          <w:rFonts w:hint="eastAsia" w:ascii="黑体"/>
        </w:rPr>
        <w:t>二、部门整体支出绩效评价指标体系设定情况</w:t>
      </w:r>
      <w:bookmarkEnd w:id="16"/>
      <w:bookmarkEnd w:id="17"/>
    </w:p>
    <w:p w14:paraId="69FEAC5F">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根据绩效预算管理改革的有关政策和文件规定，绩效评价工作组以绩效预算架构为指导，以部门预算文本及相关资料为基础，制定了部门整体支出绩效评价指标体系。</w:t>
      </w:r>
    </w:p>
    <w:p w14:paraId="6A27B32B">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部门整体支出绩效评价指标体系设置一级指标4个，二级指标</w:t>
      </w:r>
      <w:r>
        <w:rPr>
          <w:rFonts w:ascii="仿宋_GB2312" w:eastAsia="仿宋_GB2312" w:cs="DengXian-Regular"/>
          <w:sz w:val="32"/>
          <w:szCs w:val="32"/>
        </w:rPr>
        <w:t>7</w:t>
      </w:r>
      <w:r>
        <w:rPr>
          <w:rFonts w:hint="eastAsia" w:ascii="仿宋_GB2312" w:eastAsia="仿宋_GB2312" w:cs="DengXian-Regular"/>
          <w:sz w:val="32"/>
          <w:szCs w:val="32"/>
        </w:rPr>
        <w:t>个，三级指标</w:t>
      </w:r>
      <w:r>
        <w:rPr>
          <w:rFonts w:ascii="仿宋_GB2312" w:eastAsia="仿宋_GB2312" w:cs="DengXian-Regular"/>
          <w:sz w:val="32"/>
          <w:szCs w:val="32"/>
        </w:rPr>
        <w:t>20</w:t>
      </w:r>
      <w:r>
        <w:rPr>
          <w:rFonts w:hint="eastAsia" w:ascii="仿宋_GB2312" w:eastAsia="仿宋_GB2312" w:cs="DengXian-Regular"/>
          <w:sz w:val="32"/>
          <w:szCs w:val="32"/>
        </w:rPr>
        <w:t>个（详见附件3）。指标体系设定满分100分，绩效评价分值≥90为“优”；80≤分值＜90为“良”；60≤分值＜80为“中”；60分以下为“差”。评价指标体系具体构成如下：</w:t>
      </w:r>
      <w:bookmarkStart w:id="19" w:name="_Toc492652771"/>
      <w:bookmarkStart w:id="20" w:name="_Toc9569"/>
    </w:p>
    <w:p w14:paraId="10115FBA">
      <w:pPr>
        <w:spacing w:after="0" w:line="360" w:lineRule="auto"/>
        <w:ind w:firstLine="643" w:firstLineChars="200"/>
        <w:jc w:val="both"/>
        <w:rPr>
          <w:rFonts w:ascii="楷体_GB2312" w:eastAsia="楷体_GB2312" w:cs="Times New Roman" w:hAnsiTheme="minorEastAsia"/>
          <w:b/>
          <w:bCs/>
          <w:kern w:val="2"/>
          <w:sz w:val="32"/>
          <w:szCs w:val="32"/>
          <w:u w:color="000000"/>
        </w:rPr>
      </w:pPr>
      <w:r>
        <w:rPr>
          <w:rFonts w:hint="eastAsia" w:ascii="楷体_GB2312" w:eastAsia="楷体_GB2312" w:cs="Times New Roman" w:hAnsiTheme="minorEastAsia"/>
          <w:b/>
          <w:bCs/>
          <w:kern w:val="2"/>
          <w:sz w:val="32"/>
          <w:szCs w:val="32"/>
          <w:u w:color="000000"/>
        </w:rPr>
        <w:t>（一）投入（12分）</w:t>
      </w:r>
      <w:bookmarkEnd w:id="19"/>
      <w:bookmarkEnd w:id="20"/>
    </w:p>
    <w:p w14:paraId="059213A7">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主要反映绩效目标设定是否合理、科学，绩效指标的制定是否清晰、可衡量，预算编制是否完整，项目预算是否细化及在职人员控制情况。</w:t>
      </w:r>
    </w:p>
    <w:p w14:paraId="5008A02B">
      <w:pPr>
        <w:keepNext/>
        <w:widowControl w:val="0"/>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投入指标指标分值为12分，下设2个二级指标：绩效目标设定和预算配置，</w:t>
      </w:r>
      <w:r>
        <w:rPr>
          <w:rFonts w:ascii="仿宋_GB2312" w:eastAsia="仿宋_GB2312" w:cs="DengXian-Regular"/>
          <w:sz w:val="32"/>
          <w:szCs w:val="32"/>
        </w:rPr>
        <w:t>4</w:t>
      </w:r>
      <w:r>
        <w:rPr>
          <w:rFonts w:hint="eastAsia" w:ascii="仿宋_GB2312" w:eastAsia="仿宋_GB2312" w:cs="DengXian-Regular"/>
          <w:sz w:val="32"/>
          <w:szCs w:val="32"/>
        </w:rPr>
        <w:t>个三级指标：绩效目标合理性、绩效指标明确性、“三</w:t>
      </w:r>
      <w:r>
        <w:rPr>
          <w:rFonts w:ascii="仿宋_GB2312" w:eastAsia="仿宋_GB2312" w:cs="DengXian-Regular"/>
          <w:sz w:val="32"/>
          <w:szCs w:val="32"/>
        </w:rPr>
        <w:t>公经费</w:t>
      </w:r>
      <w:r>
        <w:rPr>
          <w:rFonts w:hint="eastAsia" w:ascii="仿宋" w:hAnsi="仿宋" w:eastAsia="仿宋" w:cs="DengXian-Regular"/>
          <w:sz w:val="32"/>
          <w:szCs w:val="32"/>
        </w:rPr>
        <w:t>”</w:t>
      </w:r>
      <w:r>
        <w:rPr>
          <w:rFonts w:hint="eastAsia" w:ascii="仿宋_GB2312" w:eastAsia="仿宋_GB2312" w:cs="DengXian-Regular"/>
          <w:sz w:val="32"/>
          <w:szCs w:val="32"/>
        </w:rPr>
        <w:t>变</w:t>
      </w:r>
      <w:r>
        <w:rPr>
          <w:rFonts w:ascii="仿宋_GB2312" w:eastAsia="仿宋_GB2312" w:cs="DengXian-Regular"/>
          <w:sz w:val="32"/>
          <w:szCs w:val="32"/>
        </w:rPr>
        <w:t>动率、重点支出安排率</w:t>
      </w:r>
      <w:r>
        <w:rPr>
          <w:rFonts w:hint="eastAsia" w:ascii="仿宋_GB2312" w:eastAsia="仿宋_GB2312" w:cs="DengXian-Regular"/>
          <w:sz w:val="32"/>
          <w:szCs w:val="32"/>
        </w:rPr>
        <w:t>。</w:t>
      </w:r>
    </w:p>
    <w:p w14:paraId="75F57BCB">
      <w:pPr>
        <w:pStyle w:val="4"/>
        <w:spacing w:before="0" w:after="0"/>
        <w:ind w:firstLine="643" w:firstLineChars="200"/>
        <w:jc w:val="both"/>
        <w:rPr>
          <w:rFonts w:ascii="楷体" w:hAnsi="楷体" w:eastAsia="楷体"/>
          <w:sz w:val="32"/>
        </w:rPr>
      </w:pPr>
      <w:bookmarkStart w:id="21" w:name="_Toc30221"/>
      <w:bookmarkStart w:id="22" w:name="_Toc492652772"/>
      <w:r>
        <w:rPr>
          <w:rFonts w:hint="eastAsia" w:ascii="楷体" w:hAnsi="楷体" w:eastAsia="楷体"/>
          <w:kern w:val="2"/>
          <w:sz w:val="32"/>
        </w:rPr>
        <w:t>（二）过程（48分）</w:t>
      </w:r>
      <w:bookmarkEnd w:id="21"/>
      <w:bookmarkEnd w:id="22"/>
    </w:p>
    <w:p w14:paraId="659B035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主要反映预算调整、收入及支出完成情况，“三公”经费、政府采购执行情况，财务管理是否规范、资金使用是否合规，决算真实性。</w:t>
      </w:r>
    </w:p>
    <w:p w14:paraId="06DC36B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过程指标指标分值为48分，下设</w:t>
      </w:r>
      <w:r>
        <w:rPr>
          <w:rFonts w:ascii="仿宋_GB2312" w:eastAsia="仿宋_GB2312" w:cs="DengXian-Regular"/>
          <w:sz w:val="32"/>
          <w:szCs w:val="32"/>
        </w:rPr>
        <w:t>3</w:t>
      </w:r>
      <w:r>
        <w:rPr>
          <w:rFonts w:hint="eastAsia" w:ascii="仿宋_GB2312" w:eastAsia="仿宋_GB2312" w:cs="DengXian-Regular"/>
          <w:sz w:val="32"/>
          <w:szCs w:val="32"/>
        </w:rPr>
        <w:t>个二级指标：预算执行、预算管理和资产</w:t>
      </w:r>
      <w:r>
        <w:rPr>
          <w:rFonts w:ascii="仿宋_GB2312" w:eastAsia="仿宋_GB2312" w:cs="DengXian-Regular"/>
          <w:sz w:val="32"/>
          <w:szCs w:val="32"/>
        </w:rPr>
        <w:t>管理</w:t>
      </w:r>
      <w:r>
        <w:rPr>
          <w:rFonts w:hint="eastAsia" w:ascii="仿宋_GB2312" w:eastAsia="仿宋_GB2312" w:cs="DengXian-Regular"/>
          <w:sz w:val="32"/>
          <w:szCs w:val="32"/>
        </w:rPr>
        <w:t>，1</w:t>
      </w:r>
      <w:r>
        <w:rPr>
          <w:rFonts w:ascii="仿宋_GB2312" w:eastAsia="仿宋_GB2312" w:cs="DengXian-Regular"/>
          <w:sz w:val="32"/>
          <w:szCs w:val="32"/>
        </w:rPr>
        <w:t>1</w:t>
      </w:r>
      <w:r>
        <w:rPr>
          <w:rFonts w:hint="eastAsia" w:ascii="仿宋_GB2312" w:eastAsia="仿宋_GB2312" w:cs="DengXian-Regular"/>
          <w:sz w:val="32"/>
          <w:szCs w:val="32"/>
        </w:rPr>
        <w:t>个三级指标：预算完成率、预算调整率、结转结余率</w:t>
      </w:r>
      <w:r>
        <w:rPr>
          <w:rFonts w:ascii="仿宋_GB2312" w:eastAsia="仿宋_GB2312" w:cs="DengXian-Regular"/>
          <w:sz w:val="32"/>
          <w:szCs w:val="32"/>
        </w:rPr>
        <w:t>、</w:t>
      </w:r>
      <w:r>
        <w:rPr>
          <w:rFonts w:hint="eastAsia" w:ascii="仿宋_GB2312" w:eastAsia="仿宋_GB2312" w:cs="DengXian-Regular"/>
          <w:sz w:val="32"/>
          <w:szCs w:val="32"/>
        </w:rPr>
        <w:t>公用</w:t>
      </w:r>
      <w:r>
        <w:rPr>
          <w:rFonts w:ascii="仿宋_GB2312" w:eastAsia="仿宋_GB2312" w:cs="DengXian-Regular"/>
          <w:sz w:val="32"/>
          <w:szCs w:val="32"/>
        </w:rPr>
        <w:t>经费控制率</w:t>
      </w:r>
      <w:r>
        <w:rPr>
          <w:rFonts w:hint="eastAsia" w:ascii="仿宋_GB2312" w:eastAsia="仿宋_GB2312" w:cs="DengXian-Regular"/>
          <w:sz w:val="32"/>
          <w:szCs w:val="32"/>
        </w:rPr>
        <w:t>、“三公”经费控制率、管理制度健全性、资金</w:t>
      </w:r>
      <w:r>
        <w:rPr>
          <w:rFonts w:ascii="仿宋_GB2312" w:eastAsia="仿宋_GB2312" w:cs="DengXian-Regular"/>
          <w:sz w:val="32"/>
          <w:szCs w:val="32"/>
        </w:rPr>
        <w:t>使用合规性、</w:t>
      </w:r>
      <w:r>
        <w:rPr>
          <w:rFonts w:hint="eastAsia" w:ascii="仿宋_GB2312" w:eastAsia="仿宋_GB2312" w:cs="DengXian-Regular"/>
          <w:sz w:val="32"/>
          <w:szCs w:val="32"/>
        </w:rPr>
        <w:t>预决算信息公开性、基础信息完整性、管理</w:t>
      </w:r>
      <w:r>
        <w:rPr>
          <w:rFonts w:ascii="仿宋_GB2312" w:eastAsia="仿宋_GB2312" w:cs="DengXian-Regular"/>
          <w:sz w:val="32"/>
          <w:szCs w:val="32"/>
        </w:rPr>
        <w:t>制度健全性、</w:t>
      </w:r>
      <w:r>
        <w:rPr>
          <w:rFonts w:hint="eastAsia" w:ascii="仿宋_GB2312" w:eastAsia="仿宋_GB2312" w:cs="DengXian-Regular"/>
          <w:sz w:val="32"/>
          <w:szCs w:val="32"/>
        </w:rPr>
        <w:t>资产管理安全性。</w:t>
      </w:r>
    </w:p>
    <w:p w14:paraId="492AD11C">
      <w:pPr>
        <w:pStyle w:val="4"/>
        <w:spacing w:before="0" w:after="0"/>
        <w:ind w:firstLine="643" w:firstLineChars="200"/>
        <w:jc w:val="both"/>
        <w:rPr>
          <w:rFonts w:ascii="楷体" w:hAnsi="楷体" w:eastAsia="楷体"/>
          <w:kern w:val="2"/>
          <w:sz w:val="32"/>
        </w:rPr>
      </w:pPr>
      <w:bookmarkStart w:id="23" w:name="_Toc492652773"/>
      <w:bookmarkStart w:id="24" w:name="_Toc24932"/>
      <w:r>
        <w:rPr>
          <w:rFonts w:hint="eastAsia" w:ascii="楷体" w:hAnsi="楷体" w:eastAsia="楷体"/>
          <w:kern w:val="2"/>
          <w:sz w:val="32"/>
        </w:rPr>
        <w:t>（三）产出（2</w:t>
      </w:r>
      <w:r>
        <w:rPr>
          <w:rFonts w:ascii="楷体" w:hAnsi="楷体" w:eastAsia="楷体"/>
          <w:kern w:val="2"/>
          <w:sz w:val="32"/>
        </w:rPr>
        <w:t>4</w:t>
      </w:r>
      <w:r>
        <w:rPr>
          <w:rFonts w:hint="eastAsia" w:ascii="楷体" w:hAnsi="楷体" w:eastAsia="楷体"/>
          <w:kern w:val="2"/>
          <w:sz w:val="32"/>
        </w:rPr>
        <w:t>分）</w:t>
      </w:r>
      <w:bookmarkEnd w:id="23"/>
      <w:bookmarkEnd w:id="24"/>
    </w:p>
    <w:p w14:paraId="0AA4EA7A">
      <w:pPr>
        <w:spacing w:after="0" w:line="360" w:lineRule="auto"/>
        <w:ind w:firstLine="640" w:firstLineChars="200"/>
        <w:jc w:val="both"/>
        <w:textAlignment w:val="baseline"/>
        <w:rPr>
          <w:rFonts w:ascii="仿宋_GB2312" w:eastAsia="仿宋_GB2312" w:cs="DengXian-Regular"/>
          <w:sz w:val="32"/>
          <w:szCs w:val="32"/>
        </w:rPr>
      </w:pPr>
      <w:bookmarkStart w:id="25" w:name="_Toc492652774"/>
      <w:r>
        <w:rPr>
          <w:rFonts w:hint="eastAsia" w:ascii="仿宋_GB2312" w:eastAsia="仿宋_GB2312" w:cs="DengXian-Regular"/>
          <w:sz w:val="32"/>
          <w:szCs w:val="32"/>
        </w:rPr>
        <w:t>主要反映结转结余率，项目资金使用率，。</w:t>
      </w:r>
    </w:p>
    <w:p w14:paraId="73C412D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产出指标指标分值为2</w:t>
      </w:r>
      <w:r>
        <w:rPr>
          <w:rFonts w:ascii="仿宋_GB2312" w:eastAsia="仿宋_GB2312" w:cs="DengXian-Regular"/>
          <w:sz w:val="32"/>
          <w:szCs w:val="32"/>
        </w:rPr>
        <w:t>4</w:t>
      </w:r>
      <w:r>
        <w:rPr>
          <w:rFonts w:hint="eastAsia" w:ascii="仿宋_GB2312" w:eastAsia="仿宋_GB2312" w:cs="DengXian-Regular"/>
          <w:sz w:val="32"/>
          <w:szCs w:val="32"/>
        </w:rPr>
        <w:t>分，下设1个二级指标：职责履行，</w:t>
      </w:r>
      <w:r>
        <w:rPr>
          <w:rFonts w:ascii="仿宋_GB2312" w:eastAsia="仿宋_GB2312" w:cs="DengXian-Regular"/>
          <w:sz w:val="32"/>
          <w:szCs w:val="32"/>
        </w:rPr>
        <w:t>3</w:t>
      </w:r>
      <w:r>
        <w:rPr>
          <w:rFonts w:hint="eastAsia" w:ascii="仿宋_GB2312" w:eastAsia="仿宋_GB2312" w:cs="DengXian-Regular"/>
          <w:sz w:val="32"/>
          <w:szCs w:val="32"/>
        </w:rPr>
        <w:t>个三级指标：实际</w:t>
      </w:r>
      <w:r>
        <w:rPr>
          <w:rFonts w:ascii="仿宋_GB2312" w:eastAsia="仿宋_GB2312" w:cs="DengXian-Regular"/>
          <w:sz w:val="32"/>
          <w:szCs w:val="32"/>
        </w:rPr>
        <w:t>完成</w:t>
      </w:r>
      <w:r>
        <w:rPr>
          <w:rFonts w:hint="eastAsia" w:ascii="仿宋_GB2312" w:eastAsia="仿宋_GB2312" w:cs="DengXian-Regular"/>
          <w:sz w:val="32"/>
          <w:szCs w:val="32"/>
        </w:rPr>
        <w:t>率、质量</w:t>
      </w:r>
      <w:r>
        <w:rPr>
          <w:rFonts w:ascii="仿宋_GB2312" w:eastAsia="仿宋_GB2312" w:cs="DengXian-Regular"/>
          <w:sz w:val="32"/>
          <w:szCs w:val="32"/>
        </w:rPr>
        <w:t>达标率、</w:t>
      </w:r>
      <w:r>
        <w:rPr>
          <w:rFonts w:hint="eastAsia" w:ascii="仿宋_GB2312" w:eastAsia="仿宋_GB2312" w:cs="DengXian-Regular"/>
          <w:sz w:val="32"/>
          <w:szCs w:val="32"/>
        </w:rPr>
        <w:t>重点</w:t>
      </w:r>
      <w:r>
        <w:rPr>
          <w:rFonts w:ascii="仿宋_GB2312" w:eastAsia="仿宋_GB2312" w:cs="DengXian-Regular"/>
          <w:sz w:val="32"/>
          <w:szCs w:val="32"/>
        </w:rPr>
        <w:t>工作办结</w:t>
      </w:r>
      <w:r>
        <w:rPr>
          <w:rFonts w:hint="eastAsia" w:ascii="仿宋_GB2312" w:eastAsia="仿宋_GB2312" w:cs="DengXian-Regular"/>
          <w:sz w:val="32"/>
          <w:szCs w:val="32"/>
        </w:rPr>
        <w:t>率。</w:t>
      </w:r>
    </w:p>
    <w:p w14:paraId="44140871">
      <w:pPr>
        <w:pStyle w:val="4"/>
        <w:spacing w:before="0" w:after="0"/>
        <w:ind w:firstLine="643" w:firstLineChars="200"/>
        <w:jc w:val="both"/>
        <w:rPr>
          <w:rFonts w:ascii="楷体_GB2312" w:eastAsia="楷体_GB2312" w:hAnsiTheme="minorEastAsia"/>
          <w:sz w:val="32"/>
        </w:rPr>
      </w:pPr>
      <w:bookmarkStart w:id="26" w:name="_Toc21821"/>
      <w:r>
        <w:rPr>
          <w:rFonts w:hint="eastAsia" w:ascii="楷体_GB2312" w:eastAsia="楷体_GB2312" w:hAnsiTheme="minorEastAsia"/>
          <w:kern w:val="2"/>
          <w:sz w:val="32"/>
        </w:rPr>
        <w:t>（四）效果（1</w:t>
      </w:r>
      <w:r>
        <w:rPr>
          <w:rFonts w:ascii="楷体_GB2312" w:eastAsia="楷体_GB2312" w:hAnsiTheme="minorEastAsia"/>
          <w:kern w:val="2"/>
          <w:sz w:val="32"/>
        </w:rPr>
        <w:t>6</w:t>
      </w:r>
      <w:r>
        <w:rPr>
          <w:rFonts w:hint="eastAsia" w:ascii="楷体_GB2312" w:eastAsia="楷体_GB2312" w:hAnsiTheme="minorEastAsia"/>
          <w:kern w:val="2"/>
          <w:sz w:val="32"/>
        </w:rPr>
        <w:t>分）</w:t>
      </w:r>
      <w:bookmarkEnd w:id="25"/>
      <w:bookmarkEnd w:id="26"/>
    </w:p>
    <w:p w14:paraId="4F94A965">
      <w:pPr>
        <w:spacing w:after="0" w:line="360" w:lineRule="auto"/>
        <w:ind w:firstLine="640" w:firstLineChars="200"/>
        <w:jc w:val="both"/>
        <w:textAlignment w:val="baseline"/>
        <w:rPr>
          <w:rFonts w:ascii="仿宋_GB2312" w:eastAsia="仿宋_GB2312" w:cs="DengXian-Regular"/>
          <w:sz w:val="32"/>
          <w:szCs w:val="32"/>
        </w:rPr>
      </w:pPr>
      <w:bookmarkStart w:id="27" w:name="_Toc492652775"/>
      <w:r>
        <w:rPr>
          <w:rFonts w:hint="eastAsia" w:ascii="仿宋_GB2312" w:eastAsia="仿宋_GB2312" w:cs="DengXian-Regular"/>
          <w:sz w:val="32"/>
          <w:szCs w:val="32"/>
        </w:rPr>
        <w:t>主要反映部门履行职责对社会发展所带来的直接或间接效益及社会公众或部门的服务对象对部门履职效果的满意程度。</w:t>
      </w:r>
    </w:p>
    <w:p w14:paraId="1533796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效果指标指标分值1</w:t>
      </w:r>
      <w:r>
        <w:rPr>
          <w:rFonts w:ascii="仿宋_GB2312" w:eastAsia="仿宋_GB2312" w:cs="DengXian-Regular"/>
          <w:sz w:val="32"/>
          <w:szCs w:val="32"/>
        </w:rPr>
        <w:t>6</w:t>
      </w:r>
      <w:r>
        <w:rPr>
          <w:rFonts w:hint="eastAsia" w:ascii="仿宋_GB2312" w:eastAsia="仿宋_GB2312" w:cs="DengXian-Regular"/>
          <w:sz w:val="32"/>
          <w:szCs w:val="32"/>
        </w:rPr>
        <w:t>分，下设1个二级指标：履职效率，</w:t>
      </w:r>
      <w:r>
        <w:rPr>
          <w:rFonts w:ascii="仿宋_GB2312" w:eastAsia="仿宋_GB2312" w:cs="DengXian-Regular"/>
          <w:sz w:val="32"/>
          <w:szCs w:val="32"/>
        </w:rPr>
        <w:t>2</w:t>
      </w:r>
      <w:r>
        <w:rPr>
          <w:rFonts w:hint="eastAsia" w:ascii="仿宋_GB2312" w:eastAsia="仿宋_GB2312" w:cs="DengXian-Regular"/>
          <w:sz w:val="32"/>
          <w:szCs w:val="32"/>
        </w:rPr>
        <w:t>个三级指标：部门整体效益</w:t>
      </w:r>
      <w:r>
        <w:rPr>
          <w:rFonts w:ascii="仿宋_GB2312" w:eastAsia="仿宋_GB2312" w:cs="DengXian-Regular"/>
          <w:sz w:val="32"/>
          <w:szCs w:val="32"/>
        </w:rPr>
        <w:t>、社会公众或服务对象满意度</w:t>
      </w:r>
      <w:r>
        <w:rPr>
          <w:rFonts w:hint="eastAsia" w:ascii="仿宋_GB2312" w:eastAsia="仿宋_GB2312" w:cs="DengXian-Regular"/>
          <w:sz w:val="32"/>
          <w:szCs w:val="32"/>
        </w:rPr>
        <w:t>。</w:t>
      </w:r>
    </w:p>
    <w:p w14:paraId="72C666D2">
      <w:pPr>
        <w:pStyle w:val="3"/>
        <w:spacing w:before="0" w:after="0" w:line="360" w:lineRule="auto"/>
        <w:ind w:firstLine="643" w:firstLineChars="200"/>
        <w:rPr>
          <w:rFonts w:ascii="黑体"/>
        </w:rPr>
      </w:pPr>
      <w:bookmarkStart w:id="28" w:name="_Toc11842"/>
      <w:r>
        <w:rPr>
          <w:rFonts w:hint="eastAsia" w:ascii="黑体"/>
        </w:rPr>
        <w:t>三、综合绩效评价工作情况</w:t>
      </w:r>
      <w:bookmarkEnd w:id="18"/>
      <w:bookmarkEnd w:id="27"/>
      <w:bookmarkEnd w:id="28"/>
      <w:bookmarkStart w:id="29" w:name="_Toc492652776"/>
      <w:bookmarkStart w:id="30" w:name="_Toc465149505"/>
    </w:p>
    <w:p w14:paraId="40637BC7">
      <w:pPr>
        <w:pStyle w:val="4"/>
        <w:spacing w:before="0" w:after="0"/>
        <w:ind w:firstLine="643" w:firstLineChars="200"/>
        <w:jc w:val="both"/>
        <w:rPr>
          <w:rFonts w:ascii="楷体_GB2312" w:eastAsia="楷体_GB2312" w:hAnsiTheme="minorEastAsia"/>
          <w:sz w:val="32"/>
        </w:rPr>
      </w:pPr>
      <w:bookmarkStart w:id="31" w:name="_Toc17138"/>
      <w:r>
        <w:rPr>
          <w:rFonts w:hint="eastAsia" w:ascii="楷体_GB2312" w:eastAsia="楷体_GB2312" w:hAnsiTheme="minorEastAsia"/>
          <w:kern w:val="2"/>
          <w:sz w:val="32"/>
        </w:rPr>
        <w:t>（一）绩效评价目的</w:t>
      </w:r>
      <w:bookmarkEnd w:id="29"/>
      <w:bookmarkEnd w:id="30"/>
      <w:bookmarkEnd w:id="31"/>
    </w:p>
    <w:p w14:paraId="439053F0">
      <w:pPr>
        <w:spacing w:after="0" w:line="360" w:lineRule="auto"/>
        <w:ind w:firstLine="640" w:firstLineChars="200"/>
        <w:jc w:val="both"/>
        <w:textAlignment w:val="baseline"/>
        <w:rPr>
          <w:rFonts w:ascii="仿宋_GB2312" w:eastAsia="仿宋_GB2312" w:cs="DengXian-Regular"/>
          <w:sz w:val="32"/>
          <w:szCs w:val="32"/>
        </w:rPr>
      </w:pPr>
      <w:bookmarkStart w:id="32" w:name="_Toc465149506"/>
      <w:bookmarkStart w:id="33" w:name="_Toc492652777"/>
      <w:r>
        <w:rPr>
          <w:rFonts w:hint="eastAsia" w:ascii="仿宋_GB2312" w:eastAsia="仿宋_GB2312" w:cs="DengXian-Regular"/>
          <w:sz w:val="32"/>
          <w:szCs w:val="32"/>
        </w:rPr>
        <w:t>通过对2022年部门整体支出绩效评价，了解部门整体资金预算情况、实际收支情况及结转结余情况；绩效目标和指标的设置及完成情况；部门履职对社会发展所带来的直接或间接影响及服务对象对部门履职效果的满意程度。</w:t>
      </w:r>
    </w:p>
    <w:p w14:paraId="12F1057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部门整体支出绩效评价工作促使相关部门根据绩效评价过程中发现的问题，及时整改并总结经验，提高部门管理水平，牢固树立预算绩效理念，强化部门支出责任，提高预算执行效率和财政资金使用效益。</w:t>
      </w:r>
    </w:p>
    <w:p w14:paraId="436A7F11">
      <w:pPr>
        <w:pStyle w:val="4"/>
        <w:spacing w:before="0" w:after="0"/>
        <w:ind w:firstLine="643" w:firstLineChars="200"/>
        <w:jc w:val="both"/>
        <w:rPr>
          <w:rFonts w:ascii="楷体_GB2312" w:eastAsia="楷体_GB2312" w:hAnsiTheme="minorEastAsia"/>
          <w:kern w:val="2"/>
          <w:sz w:val="32"/>
        </w:rPr>
      </w:pPr>
      <w:bookmarkStart w:id="34" w:name="_Toc11607"/>
      <w:r>
        <w:rPr>
          <w:rFonts w:hint="eastAsia" w:ascii="楷体_GB2312" w:eastAsia="楷体_GB2312" w:hAnsiTheme="minorEastAsia"/>
          <w:kern w:val="2"/>
          <w:sz w:val="32"/>
        </w:rPr>
        <w:t>（二）绩效评价依据</w:t>
      </w:r>
      <w:bookmarkEnd w:id="32"/>
      <w:bookmarkEnd w:id="33"/>
      <w:bookmarkEnd w:id="34"/>
    </w:p>
    <w:p w14:paraId="67997FCC">
      <w:pPr>
        <w:spacing w:after="0" w:line="360" w:lineRule="auto"/>
        <w:ind w:firstLine="640" w:firstLineChars="200"/>
        <w:jc w:val="both"/>
        <w:textAlignment w:val="baseline"/>
        <w:rPr>
          <w:rFonts w:ascii="仿宋_GB2312" w:eastAsia="仿宋_GB2312" w:cs="DengXian-Regular"/>
          <w:sz w:val="32"/>
          <w:szCs w:val="32"/>
        </w:rPr>
      </w:pPr>
      <w:bookmarkStart w:id="35" w:name="_Toc465149507"/>
      <w:r>
        <w:rPr>
          <w:rFonts w:hint="eastAsia" w:ascii="仿宋_GB2312" w:eastAsia="仿宋_GB2312" w:cs="DengXian-Regular"/>
          <w:sz w:val="32"/>
          <w:szCs w:val="32"/>
        </w:rPr>
        <w:t>1.</w:t>
      </w:r>
      <w:r>
        <w:rPr>
          <w:rFonts w:ascii="仿宋_GB2312" w:eastAsia="仿宋_GB2312" w:cs="DengXian-Regular"/>
          <w:sz w:val="32"/>
          <w:szCs w:val="32"/>
        </w:rPr>
        <w:t>《中华人民共和国预算法》；</w:t>
      </w:r>
    </w:p>
    <w:p w14:paraId="06C8A00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2.中共中央国务院《关于全面实施预算绩效管理的意见》（中发〔2018〕34号）；</w:t>
      </w:r>
    </w:p>
    <w:p w14:paraId="59B0347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w:t>
      </w:r>
      <w:r>
        <w:rPr>
          <w:rFonts w:ascii="仿宋_GB2312" w:eastAsia="仿宋_GB2312" w:cs="DengXian-Regular"/>
          <w:sz w:val="32"/>
          <w:szCs w:val="32"/>
        </w:rPr>
        <w:t>《河北省财政支出绩效评价管理办法》（冀财预</w:t>
      </w:r>
      <w:r>
        <w:rPr>
          <w:rFonts w:hint="eastAsia" w:ascii="仿宋_GB2312" w:eastAsia="仿宋_GB2312" w:cs="DengXian-Regular"/>
          <w:sz w:val="32"/>
          <w:szCs w:val="32"/>
        </w:rPr>
        <w:t xml:space="preserve">〔2011〕68号）； </w:t>
      </w:r>
    </w:p>
    <w:p w14:paraId="57D97FB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4.中共河北省委河北省人民政府</w:t>
      </w:r>
      <w:r>
        <w:rPr>
          <w:rFonts w:ascii="仿宋_GB2312" w:eastAsia="仿宋_GB2312" w:cs="DengXian-Regular"/>
          <w:sz w:val="32"/>
          <w:szCs w:val="32"/>
        </w:rPr>
        <w:t>《</w:t>
      </w:r>
      <w:r>
        <w:rPr>
          <w:rFonts w:hint="eastAsia" w:ascii="仿宋_GB2312" w:eastAsia="仿宋_GB2312" w:cs="DengXian-Regular"/>
          <w:sz w:val="32"/>
          <w:szCs w:val="32"/>
        </w:rPr>
        <w:t>关于全面实施预算绩效管理的实施意见</w:t>
      </w:r>
      <w:r>
        <w:rPr>
          <w:rFonts w:ascii="仿宋_GB2312" w:eastAsia="仿宋_GB2312" w:cs="DengXian-Regular"/>
          <w:sz w:val="32"/>
          <w:szCs w:val="32"/>
        </w:rPr>
        <w:t>》（冀</w:t>
      </w:r>
      <w:r>
        <w:rPr>
          <w:rFonts w:hint="eastAsia" w:ascii="仿宋_GB2312" w:eastAsia="仿宋_GB2312" w:cs="DengXian-Regular"/>
          <w:sz w:val="32"/>
          <w:szCs w:val="32"/>
        </w:rPr>
        <w:t>发〔2018〕54</w:t>
      </w:r>
      <w:r>
        <w:rPr>
          <w:rFonts w:ascii="仿宋_GB2312" w:eastAsia="仿宋_GB2312" w:cs="DengXian-Regular"/>
          <w:sz w:val="32"/>
          <w:szCs w:val="32"/>
        </w:rPr>
        <w:t>号）</w:t>
      </w:r>
      <w:r>
        <w:rPr>
          <w:rFonts w:hint="eastAsia" w:ascii="仿宋_GB2312" w:eastAsia="仿宋_GB2312" w:cs="DengXian-Regular"/>
          <w:sz w:val="32"/>
          <w:szCs w:val="32"/>
        </w:rPr>
        <w:t>；</w:t>
      </w:r>
    </w:p>
    <w:p w14:paraId="4E064C9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5.保定市徐水区财政局《关于印发绩效评价工作规划（2016-2021年）的通知》（徐政财字〔2016〕45号）；</w:t>
      </w:r>
    </w:p>
    <w:p w14:paraId="62B4983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6.保定市徐水区财政局《关于印发&lt;全面实施预算绩效管理推进工作方案</w:t>
      </w:r>
      <w:r>
        <w:rPr>
          <w:rFonts w:hint="eastAsia" w:ascii="仿宋_GB2312" w:eastAsia="仿宋_GB2312" w:cs="DengXian-Regular"/>
          <w:sz w:val="32"/>
          <w:szCs w:val="32"/>
          <w:lang w:eastAsia="zh-CN"/>
        </w:rPr>
        <w:t>〉</w:t>
      </w:r>
      <w:r>
        <w:rPr>
          <w:rFonts w:hint="eastAsia" w:ascii="仿宋_GB2312" w:eastAsia="仿宋_GB2312" w:cs="DengXian-Regular"/>
          <w:sz w:val="32"/>
          <w:szCs w:val="32"/>
        </w:rPr>
        <w:t>的通知》（徐政财字〔2021〕33号）；</w:t>
      </w:r>
      <w:bookmarkStart w:id="77" w:name="_GoBack"/>
      <w:bookmarkEnd w:id="77"/>
    </w:p>
    <w:p w14:paraId="454056A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7.其他与部门绩效评价工作相关的文件。</w:t>
      </w:r>
      <w:bookmarkStart w:id="36" w:name="_Toc492652778"/>
    </w:p>
    <w:p w14:paraId="50489131">
      <w:pPr>
        <w:pStyle w:val="4"/>
        <w:spacing w:before="0" w:after="0"/>
        <w:ind w:firstLine="643" w:firstLineChars="200"/>
        <w:jc w:val="both"/>
        <w:rPr>
          <w:rFonts w:ascii="楷体_GB2312" w:eastAsia="楷体_GB2312" w:hAnsiTheme="minorEastAsia"/>
          <w:kern w:val="2"/>
          <w:sz w:val="32"/>
        </w:rPr>
      </w:pPr>
      <w:bookmarkStart w:id="37" w:name="_Toc7609"/>
      <w:r>
        <w:rPr>
          <w:rFonts w:hint="eastAsia" w:ascii="楷体_GB2312" w:eastAsia="楷体_GB2312" w:hAnsiTheme="minorEastAsia"/>
          <w:kern w:val="2"/>
          <w:sz w:val="32"/>
        </w:rPr>
        <w:t>（三）绩效评价</w:t>
      </w:r>
      <w:bookmarkEnd w:id="36"/>
      <w:r>
        <w:rPr>
          <w:rFonts w:hint="eastAsia" w:ascii="楷体_GB2312" w:eastAsia="楷体_GB2312" w:hAnsiTheme="minorEastAsia"/>
          <w:kern w:val="2"/>
          <w:sz w:val="32"/>
        </w:rPr>
        <w:t>内容</w:t>
      </w:r>
      <w:bookmarkEnd w:id="37"/>
    </w:p>
    <w:bookmarkEnd w:id="35"/>
    <w:p w14:paraId="0AF6E6D0">
      <w:pPr>
        <w:spacing w:after="0" w:line="360" w:lineRule="auto"/>
        <w:ind w:firstLine="640" w:firstLineChars="200"/>
        <w:jc w:val="both"/>
        <w:textAlignment w:val="baseline"/>
        <w:rPr>
          <w:rFonts w:ascii="仿宋_GB2312" w:eastAsia="仿宋_GB2312" w:cs="DengXian-Regular"/>
          <w:sz w:val="32"/>
          <w:szCs w:val="32"/>
        </w:rPr>
      </w:pPr>
      <w:bookmarkStart w:id="38" w:name="_Toc465149508"/>
      <w:bookmarkStart w:id="39" w:name="_Toc492652779"/>
      <w:r>
        <w:rPr>
          <w:rFonts w:hint="eastAsia" w:ascii="仿宋_GB2312" w:eastAsia="仿宋_GB2312" w:cs="DengXian-Regular"/>
          <w:sz w:val="32"/>
          <w:szCs w:val="32"/>
        </w:rPr>
        <w:t>2022年部门整体支出绩效目标和指标的设置及完成情况；资金预算情况、实际收支情况及结转结余情况；部门履职对社会发展所带来的直接或间接影响及服务对象对部门履职效果的满意程度。</w:t>
      </w:r>
    </w:p>
    <w:p w14:paraId="3D015D27">
      <w:pPr>
        <w:pStyle w:val="4"/>
        <w:spacing w:before="0" w:after="0"/>
        <w:ind w:firstLine="643" w:firstLineChars="200"/>
        <w:jc w:val="both"/>
        <w:rPr>
          <w:rFonts w:ascii="楷体_GB2312" w:eastAsia="楷体_GB2312" w:hAnsiTheme="minorEastAsia"/>
          <w:kern w:val="2"/>
          <w:sz w:val="32"/>
        </w:rPr>
      </w:pPr>
      <w:bookmarkStart w:id="40" w:name="_Toc789"/>
      <w:r>
        <w:rPr>
          <w:rFonts w:hint="eastAsia" w:ascii="楷体_GB2312" w:eastAsia="楷体_GB2312" w:hAnsiTheme="minorEastAsia"/>
          <w:kern w:val="2"/>
          <w:sz w:val="32"/>
        </w:rPr>
        <w:t>（四）绩效评价原则</w:t>
      </w:r>
      <w:bookmarkEnd w:id="40"/>
    </w:p>
    <w:p w14:paraId="785F85B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1.价值导向原则：财政支出绩效评价体系应能够反映财政支出的经济性、效益性、有效性原则，体现财政部门和项目主管部门的价值导向。</w:t>
      </w:r>
    </w:p>
    <w:p w14:paraId="0399DAE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2.重要性原则：根据指标在整个指标体系中的地位和作用进行筛选，选择最具代表性、最能反映评价要求的指标。</w:t>
      </w:r>
    </w:p>
    <w:p w14:paraId="406FC1E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3.综合性原则：将定性指标和定量指标相结合，定性分析是定量分析的基础，定量分析是定性分析的深化，两者相结合系统反映财政支出所产生的社会效益。</w:t>
      </w:r>
    </w:p>
    <w:p w14:paraId="1A6DDF8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4.经济性原则：指标的选取要考虑现实条件及可操作性，数据的获得应符合成本效益原则，在合理成本的基础上收集信息。</w:t>
      </w:r>
    </w:p>
    <w:p w14:paraId="042440FE">
      <w:pPr>
        <w:pStyle w:val="4"/>
        <w:spacing w:before="0" w:after="0"/>
        <w:ind w:firstLine="643" w:firstLineChars="200"/>
        <w:jc w:val="both"/>
        <w:rPr>
          <w:rFonts w:ascii="楷体_GB2312" w:eastAsia="楷体_GB2312" w:hAnsiTheme="minorEastAsia"/>
          <w:kern w:val="2"/>
          <w:sz w:val="32"/>
        </w:rPr>
      </w:pPr>
      <w:bookmarkStart w:id="41" w:name="_Toc8171"/>
      <w:r>
        <w:rPr>
          <w:rFonts w:hint="eastAsia" w:ascii="楷体_GB2312" w:eastAsia="楷体_GB2312" w:hAnsiTheme="minorEastAsia"/>
          <w:kern w:val="2"/>
          <w:sz w:val="32"/>
        </w:rPr>
        <w:t>（五）</w:t>
      </w:r>
      <w:bookmarkEnd w:id="38"/>
      <w:bookmarkStart w:id="42" w:name="_Toc465149509"/>
      <w:r>
        <w:rPr>
          <w:rFonts w:hint="eastAsia" w:ascii="楷体_GB2312" w:eastAsia="楷体_GB2312" w:hAnsiTheme="minorEastAsia"/>
          <w:kern w:val="2"/>
          <w:sz w:val="32"/>
        </w:rPr>
        <w:t>绩效评价方法</w:t>
      </w:r>
      <w:bookmarkEnd w:id="39"/>
      <w:bookmarkEnd w:id="41"/>
      <w:bookmarkEnd w:id="42"/>
    </w:p>
    <w:p w14:paraId="7DDDFDAD">
      <w:pPr>
        <w:spacing w:after="0" w:line="360" w:lineRule="auto"/>
        <w:ind w:firstLine="640" w:firstLineChars="200"/>
        <w:jc w:val="both"/>
        <w:textAlignment w:val="baseline"/>
        <w:rPr>
          <w:rFonts w:ascii="仿宋_GB2312" w:eastAsia="仿宋_GB2312" w:cs="DengXian-Regular"/>
          <w:sz w:val="32"/>
          <w:szCs w:val="32"/>
        </w:rPr>
      </w:pPr>
      <w:bookmarkStart w:id="43" w:name="_Toc421623217"/>
      <w:bookmarkStart w:id="44" w:name="_Toc422314152"/>
      <w:bookmarkStart w:id="45" w:name="_Toc465149510"/>
      <w:bookmarkStart w:id="46" w:name="_Toc492652780"/>
      <w:r>
        <w:rPr>
          <w:rFonts w:ascii="仿宋_GB2312" w:eastAsia="仿宋_GB2312" w:cs="DengXian-Regular"/>
          <w:sz w:val="32"/>
          <w:szCs w:val="32"/>
        </w:rPr>
        <w:t>本次评价采取</w:t>
      </w:r>
      <w:r>
        <w:rPr>
          <w:rFonts w:hint="eastAsia" w:ascii="仿宋_GB2312" w:eastAsia="仿宋_GB2312" w:cs="DengXian-Regular"/>
          <w:sz w:val="32"/>
          <w:szCs w:val="32"/>
        </w:rPr>
        <w:t>目标比较法、</w:t>
      </w:r>
      <w:r>
        <w:rPr>
          <w:rFonts w:ascii="仿宋_GB2312" w:eastAsia="仿宋_GB2312" w:cs="DengXian-Regular"/>
          <w:sz w:val="32"/>
          <w:szCs w:val="32"/>
        </w:rPr>
        <w:t>定量和定性评价相结合和综合评价相结合</w:t>
      </w:r>
      <w:r>
        <w:rPr>
          <w:rFonts w:hint="eastAsia" w:ascii="仿宋_GB2312" w:eastAsia="仿宋_GB2312" w:cs="DengXian-Regular"/>
          <w:sz w:val="32"/>
          <w:szCs w:val="32"/>
        </w:rPr>
        <w:t>的方式</w:t>
      </w:r>
      <w:r>
        <w:rPr>
          <w:rFonts w:ascii="仿宋_GB2312" w:eastAsia="仿宋_GB2312" w:cs="DengXian-Regular"/>
          <w:sz w:val="32"/>
          <w:szCs w:val="32"/>
        </w:rPr>
        <w:t>，运用审查、</w:t>
      </w:r>
      <w:r>
        <w:rPr>
          <w:rFonts w:hint="eastAsia" w:ascii="仿宋_GB2312" w:eastAsia="仿宋_GB2312" w:cs="DengXian-Regular"/>
          <w:sz w:val="32"/>
          <w:szCs w:val="32"/>
        </w:rPr>
        <w:t>询问查证和问卷调查</w:t>
      </w:r>
      <w:r>
        <w:rPr>
          <w:rFonts w:ascii="仿宋_GB2312" w:eastAsia="仿宋_GB2312" w:cs="DengXian-Regular"/>
          <w:sz w:val="32"/>
          <w:szCs w:val="32"/>
        </w:rPr>
        <w:t>等方法开展</w:t>
      </w:r>
      <w:r>
        <w:rPr>
          <w:rFonts w:hint="eastAsia" w:ascii="仿宋_GB2312" w:eastAsia="仿宋_GB2312" w:cs="DengXian-Regular"/>
          <w:sz w:val="32"/>
          <w:szCs w:val="32"/>
        </w:rPr>
        <w:t>绩效</w:t>
      </w:r>
      <w:r>
        <w:rPr>
          <w:rFonts w:ascii="仿宋_GB2312" w:eastAsia="仿宋_GB2312" w:cs="DengXian-Regular"/>
          <w:sz w:val="32"/>
          <w:szCs w:val="32"/>
        </w:rPr>
        <w:t>评价工作。</w:t>
      </w:r>
      <w:bookmarkEnd w:id="43"/>
      <w:bookmarkEnd w:id="44"/>
    </w:p>
    <w:p w14:paraId="4859D8E6">
      <w:pPr>
        <w:spacing w:after="0" w:line="360" w:lineRule="auto"/>
        <w:ind w:firstLine="640" w:firstLineChars="200"/>
        <w:jc w:val="both"/>
        <w:textAlignment w:val="baseline"/>
        <w:rPr>
          <w:rFonts w:ascii="仿宋_GB2312" w:eastAsia="仿宋_GB2312" w:cs="DengXian-Regular"/>
          <w:sz w:val="32"/>
          <w:szCs w:val="32"/>
        </w:rPr>
      </w:pPr>
      <w:bookmarkStart w:id="47" w:name="_Toc421623218"/>
      <w:bookmarkStart w:id="48" w:name="_Toc422314153"/>
      <w:r>
        <w:rPr>
          <w:rFonts w:ascii="仿宋_GB2312" w:eastAsia="仿宋_GB2312" w:cs="DengXian-Regular"/>
          <w:sz w:val="32"/>
          <w:szCs w:val="32"/>
        </w:rPr>
        <w:t>1</w:t>
      </w:r>
      <w:r>
        <w:rPr>
          <w:rFonts w:hint="eastAsia" w:ascii="仿宋_GB2312" w:eastAsia="仿宋_GB2312" w:cs="DengXian-Regular"/>
          <w:sz w:val="32"/>
          <w:szCs w:val="32"/>
        </w:rPr>
        <w:t>.</w:t>
      </w:r>
      <w:r>
        <w:rPr>
          <w:rFonts w:ascii="仿宋_GB2312" w:eastAsia="仿宋_GB2312" w:cs="DengXian-Regular"/>
          <w:sz w:val="32"/>
          <w:szCs w:val="32"/>
        </w:rPr>
        <w:t>审查法：通过审查被评价单位的</w:t>
      </w:r>
      <w:r>
        <w:rPr>
          <w:rFonts w:hint="eastAsia" w:ascii="仿宋_GB2312" w:eastAsia="仿宋_GB2312" w:cs="DengXian-Regular"/>
          <w:sz w:val="32"/>
          <w:szCs w:val="32"/>
        </w:rPr>
        <w:t>预算文本</w:t>
      </w:r>
      <w:r>
        <w:rPr>
          <w:rFonts w:ascii="仿宋_GB2312" w:eastAsia="仿宋_GB2312" w:cs="DengXian-Regular"/>
          <w:sz w:val="32"/>
          <w:szCs w:val="32"/>
        </w:rPr>
        <w:t>、</w:t>
      </w:r>
      <w:r>
        <w:rPr>
          <w:rFonts w:hint="eastAsia" w:ascii="仿宋_GB2312" w:eastAsia="仿宋_GB2312" w:cs="DengXian-Regular"/>
          <w:sz w:val="32"/>
          <w:szCs w:val="32"/>
        </w:rPr>
        <w:t>决算文本</w:t>
      </w:r>
      <w:r>
        <w:rPr>
          <w:rFonts w:ascii="仿宋_GB2312" w:eastAsia="仿宋_GB2312" w:cs="DengXian-Regular"/>
          <w:sz w:val="32"/>
          <w:szCs w:val="32"/>
        </w:rPr>
        <w:t>、</w:t>
      </w:r>
      <w:r>
        <w:rPr>
          <w:rFonts w:hint="eastAsia" w:ascii="仿宋_GB2312" w:eastAsia="仿宋_GB2312" w:cs="DengXian-Regular"/>
          <w:sz w:val="32"/>
          <w:szCs w:val="32"/>
        </w:rPr>
        <w:t>会计账簿、支出凭证、项目完成情况</w:t>
      </w:r>
      <w:r>
        <w:rPr>
          <w:rFonts w:ascii="仿宋_GB2312" w:eastAsia="仿宋_GB2312" w:cs="DengXian-Regular"/>
          <w:sz w:val="32"/>
          <w:szCs w:val="32"/>
        </w:rPr>
        <w:t>等</w:t>
      </w:r>
      <w:r>
        <w:rPr>
          <w:rFonts w:hint="eastAsia" w:ascii="仿宋_GB2312" w:eastAsia="仿宋_GB2312" w:cs="DengXian-Regular"/>
          <w:sz w:val="32"/>
          <w:szCs w:val="32"/>
        </w:rPr>
        <w:t>相关</w:t>
      </w:r>
      <w:r>
        <w:rPr>
          <w:rFonts w:ascii="仿宋_GB2312" w:eastAsia="仿宋_GB2312" w:cs="DengXian-Regular"/>
          <w:sz w:val="32"/>
          <w:szCs w:val="32"/>
        </w:rPr>
        <w:t>资料，分析资金</w:t>
      </w:r>
      <w:r>
        <w:rPr>
          <w:rFonts w:hint="eastAsia" w:ascii="仿宋_GB2312" w:eastAsia="仿宋_GB2312" w:cs="DengXian-Regular"/>
          <w:sz w:val="32"/>
          <w:szCs w:val="32"/>
        </w:rPr>
        <w:t>收</w:t>
      </w:r>
      <w:r>
        <w:rPr>
          <w:rFonts w:ascii="仿宋_GB2312" w:eastAsia="仿宋_GB2312" w:cs="DengXian-Regular"/>
          <w:sz w:val="32"/>
          <w:szCs w:val="32"/>
        </w:rPr>
        <w:t>支的合理性</w:t>
      </w:r>
      <w:r>
        <w:rPr>
          <w:rFonts w:hint="eastAsia" w:ascii="仿宋_GB2312" w:eastAsia="仿宋_GB2312" w:cs="DengXian-Regular"/>
          <w:sz w:val="32"/>
          <w:szCs w:val="32"/>
        </w:rPr>
        <w:t>和</w:t>
      </w:r>
      <w:r>
        <w:rPr>
          <w:rFonts w:ascii="仿宋_GB2312" w:eastAsia="仿宋_GB2312" w:cs="DengXian-Regular"/>
          <w:sz w:val="32"/>
          <w:szCs w:val="32"/>
        </w:rPr>
        <w:t>合规性</w:t>
      </w:r>
      <w:r>
        <w:rPr>
          <w:rFonts w:hint="eastAsia" w:ascii="仿宋_GB2312" w:eastAsia="仿宋_GB2312" w:cs="DengXian-Regular"/>
          <w:sz w:val="32"/>
          <w:szCs w:val="32"/>
        </w:rPr>
        <w:t>、预算执行及管理情况、绩效目标和指标的设置及完成情况、部门整体效益</w:t>
      </w:r>
      <w:r>
        <w:rPr>
          <w:rFonts w:ascii="仿宋_GB2312" w:eastAsia="仿宋_GB2312" w:cs="DengXian-Regular"/>
          <w:sz w:val="32"/>
          <w:szCs w:val="32"/>
        </w:rPr>
        <w:t>。</w:t>
      </w:r>
      <w:bookmarkEnd w:id="47"/>
      <w:bookmarkEnd w:id="48"/>
    </w:p>
    <w:p w14:paraId="39E2BD8E">
      <w:pPr>
        <w:spacing w:after="0" w:line="360" w:lineRule="auto"/>
        <w:ind w:firstLine="640" w:firstLineChars="200"/>
        <w:jc w:val="both"/>
        <w:textAlignment w:val="baseline"/>
        <w:rPr>
          <w:rFonts w:ascii="仿宋_GB2312" w:eastAsia="仿宋_GB2312" w:cs="DengXian-Regular"/>
          <w:sz w:val="32"/>
          <w:szCs w:val="32"/>
        </w:rPr>
      </w:pPr>
      <w:bookmarkStart w:id="49" w:name="_Toc421623220"/>
      <w:bookmarkStart w:id="50" w:name="_Toc422314155"/>
      <w:r>
        <w:rPr>
          <w:rFonts w:hint="eastAsia" w:ascii="仿宋_GB2312" w:eastAsia="仿宋_GB2312" w:cs="DengXian-Regular"/>
          <w:sz w:val="32"/>
          <w:szCs w:val="32"/>
        </w:rPr>
        <w:t>2.询问查证</w:t>
      </w:r>
      <w:r>
        <w:rPr>
          <w:rFonts w:ascii="仿宋_GB2312" w:eastAsia="仿宋_GB2312" w:cs="DengXian-Regular"/>
          <w:sz w:val="32"/>
          <w:szCs w:val="32"/>
        </w:rPr>
        <w:t>法：</w:t>
      </w:r>
      <w:r>
        <w:rPr>
          <w:rFonts w:hint="eastAsia" w:ascii="仿宋_GB2312" w:eastAsia="仿宋_GB2312" w:cs="DengXian-Regular"/>
          <w:sz w:val="32"/>
          <w:szCs w:val="32"/>
        </w:rPr>
        <w:t>在比较分析相关资料的基础上，通过询问的形式，核查项目资料是否真实、合理，从而对部门整体支出情况作出初步的判断和评价</w:t>
      </w:r>
      <w:r>
        <w:rPr>
          <w:rFonts w:ascii="仿宋_GB2312" w:eastAsia="仿宋_GB2312" w:cs="DengXian-Regular"/>
          <w:sz w:val="32"/>
          <w:szCs w:val="32"/>
        </w:rPr>
        <w:t>。</w:t>
      </w:r>
      <w:bookmarkEnd w:id="49"/>
      <w:bookmarkEnd w:id="50"/>
    </w:p>
    <w:p w14:paraId="4A8ECDCC">
      <w:pPr>
        <w:spacing w:after="0" w:line="360" w:lineRule="auto"/>
        <w:ind w:firstLine="640" w:firstLineChars="200"/>
        <w:jc w:val="both"/>
        <w:textAlignment w:val="baseline"/>
        <w:rPr>
          <w:rFonts w:ascii="仿宋_GB2312" w:eastAsia="仿宋_GB2312" w:cs="DengXian-Regular"/>
          <w:sz w:val="32"/>
          <w:szCs w:val="32"/>
        </w:rPr>
      </w:pPr>
      <w:bookmarkStart w:id="51" w:name="_Toc421623221"/>
      <w:bookmarkStart w:id="52" w:name="_Toc422314156"/>
      <w:r>
        <w:rPr>
          <w:rFonts w:hint="eastAsia" w:ascii="仿宋_GB2312" w:eastAsia="仿宋_GB2312" w:cs="DengXian-Regular"/>
          <w:sz w:val="32"/>
          <w:szCs w:val="32"/>
        </w:rPr>
        <w:t>3.问卷调查</w:t>
      </w:r>
      <w:r>
        <w:rPr>
          <w:rFonts w:ascii="仿宋_GB2312" w:eastAsia="仿宋_GB2312" w:cs="DengXian-Regular"/>
          <w:sz w:val="32"/>
          <w:szCs w:val="32"/>
        </w:rPr>
        <w:t>法：通过</w:t>
      </w:r>
      <w:r>
        <w:rPr>
          <w:rFonts w:hint="eastAsia" w:ascii="仿宋_GB2312" w:eastAsia="仿宋_GB2312" w:cs="DengXian-Regular"/>
          <w:sz w:val="32"/>
          <w:szCs w:val="32"/>
        </w:rPr>
        <w:t>设计调查问卷，在一定范围内随机发放，并收集分析调查问卷，</w:t>
      </w:r>
      <w:r>
        <w:rPr>
          <w:rFonts w:ascii="仿宋_GB2312" w:eastAsia="仿宋_GB2312" w:cs="DengXian-Regular"/>
          <w:sz w:val="32"/>
          <w:szCs w:val="32"/>
        </w:rPr>
        <w:t>对财政支出的效果进行</w:t>
      </w:r>
      <w:r>
        <w:rPr>
          <w:rFonts w:hint="eastAsia" w:ascii="仿宋_GB2312" w:eastAsia="仿宋_GB2312" w:cs="DengXian-Regular"/>
          <w:sz w:val="32"/>
          <w:szCs w:val="32"/>
        </w:rPr>
        <w:t>评价</w:t>
      </w:r>
      <w:r>
        <w:rPr>
          <w:rFonts w:ascii="仿宋_GB2312" w:eastAsia="仿宋_GB2312" w:cs="DengXian-Regular"/>
          <w:sz w:val="32"/>
          <w:szCs w:val="32"/>
        </w:rPr>
        <w:t>，</w:t>
      </w:r>
      <w:r>
        <w:rPr>
          <w:rFonts w:hint="eastAsia" w:ascii="仿宋_GB2312" w:eastAsia="仿宋_GB2312" w:cs="DengXian-Regular"/>
          <w:sz w:val="32"/>
          <w:szCs w:val="32"/>
        </w:rPr>
        <w:t>了解服务对象对部门履职效果</w:t>
      </w:r>
      <w:r>
        <w:rPr>
          <w:rFonts w:ascii="仿宋_GB2312" w:eastAsia="仿宋_GB2312" w:cs="DengXian-Regular"/>
          <w:sz w:val="32"/>
          <w:szCs w:val="32"/>
        </w:rPr>
        <w:t>的满意</w:t>
      </w:r>
      <w:r>
        <w:rPr>
          <w:rFonts w:hint="eastAsia" w:ascii="仿宋_GB2312" w:eastAsia="仿宋_GB2312" w:cs="DengXian-Regular"/>
          <w:sz w:val="32"/>
          <w:szCs w:val="32"/>
        </w:rPr>
        <w:t>程</w:t>
      </w:r>
      <w:r>
        <w:rPr>
          <w:rFonts w:ascii="仿宋_GB2312" w:eastAsia="仿宋_GB2312" w:cs="DengXian-Regular"/>
          <w:sz w:val="32"/>
          <w:szCs w:val="32"/>
        </w:rPr>
        <w:t>度。</w:t>
      </w:r>
      <w:bookmarkEnd w:id="51"/>
      <w:bookmarkEnd w:id="52"/>
      <w:bookmarkStart w:id="53" w:name="_Toc20821"/>
    </w:p>
    <w:p w14:paraId="6379E373">
      <w:pPr>
        <w:spacing w:after="0" w:line="360" w:lineRule="auto"/>
        <w:ind w:firstLine="643" w:firstLineChars="200"/>
        <w:jc w:val="both"/>
        <w:textAlignment w:val="baseline"/>
        <w:rPr>
          <w:rFonts w:ascii="楷体_GB2312" w:eastAsia="楷体_GB2312" w:hAnsiTheme="minorEastAsia"/>
          <w:b/>
          <w:bCs/>
          <w:kern w:val="2"/>
          <w:sz w:val="32"/>
        </w:rPr>
      </w:pPr>
      <w:r>
        <w:rPr>
          <w:rFonts w:hint="eastAsia" w:ascii="楷体_GB2312" w:eastAsia="楷体_GB2312" w:hAnsiTheme="minorEastAsia"/>
          <w:b/>
          <w:bCs/>
          <w:kern w:val="2"/>
          <w:sz w:val="32"/>
        </w:rPr>
        <w:t>（六）绩效评价工作过程</w:t>
      </w:r>
      <w:bookmarkEnd w:id="45"/>
      <w:bookmarkEnd w:id="46"/>
      <w:bookmarkEnd w:id="53"/>
    </w:p>
    <w:p w14:paraId="5617928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本次绩效评价工作经过了前期准备、绩效评价实施方案和指标体系制定、组织实施、绩效评价报告撰写四个阶段。</w:t>
      </w:r>
    </w:p>
    <w:p w14:paraId="615D70D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1.前期准备阶段</w:t>
      </w:r>
    </w:p>
    <w:p w14:paraId="58BF484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充分收集相关资料，主要包括部门职责、工作活动、预决算文本、相关管理制度、资金使用等相关资料，为制定绩效评价实施方案和指标体系奠定了基础。</w:t>
      </w:r>
    </w:p>
    <w:p w14:paraId="3D452AB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2.制定绩效评价实施方案和体系</w:t>
      </w:r>
    </w:p>
    <w:p w14:paraId="218423D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基于对相关资料的收集，制定绩效评价实施方案和体系,确定最终方案。</w:t>
      </w:r>
    </w:p>
    <w:p w14:paraId="655FD0E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3.组织实施阶段</w:t>
      </w:r>
    </w:p>
    <w:p w14:paraId="27DD6FE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绩效评价实施方案和指标体系，开展评价工作，包括查看预决算文本及部门工作活动绩效目标和指标；比对预决算的调整及执行情况；核查固定资产管理的规范性；核查明细账与决算报表项目的一致性；对项目产出情况进行了解查看；随机选取服务对象进行满意度调查；对一些专业的问题咨询相关专家等。根据收集的数据、资料进行核对、比较、计算，对部门整体支出进行评分。</w:t>
      </w:r>
    </w:p>
    <w:p w14:paraId="7519D54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4.撰写绩效评价报告</w:t>
      </w:r>
      <w:bookmarkStart w:id="54" w:name="_Toc492652781"/>
      <w:bookmarkStart w:id="55" w:name="_Toc465149511"/>
    </w:p>
    <w:p w14:paraId="7B186DD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在完成对各评价指标评分定级的基础上，开始进行报告撰写工作。</w:t>
      </w:r>
    </w:p>
    <w:p w14:paraId="7339E787">
      <w:pPr>
        <w:pStyle w:val="3"/>
        <w:spacing w:before="0" w:after="0" w:line="360" w:lineRule="auto"/>
        <w:ind w:firstLine="643" w:firstLineChars="200"/>
        <w:rPr>
          <w:rFonts w:ascii="黑体"/>
        </w:rPr>
      </w:pPr>
      <w:bookmarkStart w:id="56" w:name="_Toc6467"/>
      <w:r>
        <w:rPr>
          <w:rFonts w:hint="eastAsia" w:ascii="黑体"/>
        </w:rPr>
        <w:t>四、</w:t>
      </w:r>
      <w:bookmarkEnd w:id="54"/>
      <w:bookmarkEnd w:id="55"/>
      <w:bookmarkStart w:id="57" w:name="_Toc492652782"/>
      <w:r>
        <w:rPr>
          <w:rFonts w:hint="eastAsia" w:ascii="黑体"/>
        </w:rPr>
        <w:t>绩效评价评分情况</w:t>
      </w:r>
      <w:bookmarkEnd w:id="56"/>
    </w:p>
    <w:bookmarkEnd w:id="57"/>
    <w:p w14:paraId="0F7428F2">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崔</w:t>
      </w:r>
      <w:r>
        <w:rPr>
          <w:rFonts w:ascii="仿宋_GB2312" w:eastAsia="仿宋_GB2312" w:cs="DengXian-Regular"/>
          <w:sz w:val="32"/>
          <w:szCs w:val="32"/>
        </w:rPr>
        <w:t>庄镇</w:t>
      </w:r>
      <w:r>
        <w:rPr>
          <w:rFonts w:hint="eastAsia" w:ascii="仿宋_GB2312" w:eastAsia="仿宋_GB2312" w:cs="DengXian-Regular"/>
          <w:sz w:val="32"/>
          <w:szCs w:val="32"/>
        </w:rPr>
        <w:t>部门整体支出绩效评价总得分为</w:t>
      </w:r>
      <w:r>
        <w:rPr>
          <w:rFonts w:ascii="仿宋_GB2312" w:eastAsia="仿宋_GB2312" w:cs="DengXian-Regular"/>
          <w:sz w:val="32"/>
          <w:szCs w:val="32"/>
        </w:rPr>
        <w:t>93.5</w:t>
      </w:r>
      <w:r>
        <w:rPr>
          <w:rFonts w:hint="eastAsia" w:ascii="仿宋_GB2312" w:eastAsia="仿宋_GB2312" w:cs="DengXian-Regular"/>
          <w:sz w:val="32"/>
          <w:szCs w:val="32"/>
        </w:rPr>
        <w:t>分，综合绩效评价等级为“优”。各项得分情况如下</w:t>
      </w:r>
      <w:r>
        <w:rPr>
          <w:rFonts w:hint="eastAsia" w:ascii="仿宋_GB2312" w:eastAsia="仿宋_GB2312" w:cs="Times New Roman" w:hAnsiTheme="minorEastAsia"/>
          <w:sz w:val="32"/>
          <w:szCs w:val="32"/>
          <w:u w:color="000000"/>
        </w:rPr>
        <w:t>：</w:t>
      </w:r>
      <w:r>
        <w:rPr>
          <w:rFonts w:ascii="仿宋_GB2312" w:eastAsia="仿宋_GB2312" w:cs="Times New Roman" w:hAnsiTheme="minorEastAsia"/>
          <w:sz w:val="32"/>
          <w:szCs w:val="32"/>
          <w:u w:color="000000"/>
        </w:rPr>
        <w:t xml:space="preserve"> </w:t>
      </w:r>
    </w:p>
    <w:p w14:paraId="76538BFA">
      <w:pPr>
        <w:pStyle w:val="4"/>
        <w:spacing w:before="0" w:after="0"/>
        <w:ind w:firstLine="643" w:firstLineChars="200"/>
        <w:jc w:val="both"/>
        <w:rPr>
          <w:rFonts w:ascii="楷体_GB2312" w:eastAsia="楷体_GB2312" w:hAnsiTheme="minorEastAsia"/>
          <w:kern w:val="2"/>
          <w:sz w:val="32"/>
        </w:rPr>
      </w:pPr>
      <w:bookmarkStart w:id="58" w:name="_Toc492652783"/>
      <w:bookmarkStart w:id="59" w:name="_Toc4390"/>
      <w:r>
        <w:rPr>
          <w:rFonts w:hint="eastAsia" w:ascii="楷体_GB2312" w:eastAsia="楷体_GB2312" w:hAnsiTheme="minorEastAsia"/>
          <w:kern w:val="2"/>
          <w:sz w:val="32"/>
        </w:rPr>
        <w:t>（一）</w:t>
      </w:r>
      <w:bookmarkEnd w:id="58"/>
      <w:r>
        <w:rPr>
          <w:rFonts w:hint="eastAsia" w:ascii="楷体_GB2312" w:eastAsia="楷体_GB2312" w:hAnsiTheme="minorEastAsia"/>
          <w:kern w:val="2"/>
          <w:sz w:val="32"/>
        </w:rPr>
        <w:t>投入（12分）</w:t>
      </w:r>
      <w:bookmarkEnd w:id="59"/>
    </w:p>
    <w:p w14:paraId="7E2DDB45">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该一级指标包含绩效目标设定和预算配置两个二级指标，主要反映绩效目标设定是否合理、科学，绩效指标的制定是否清晰、可衡量，预算编制是否完整，项目预算是否细化及在职人员控制情况。</w:t>
      </w:r>
      <w:r>
        <w:rPr>
          <w:rFonts w:hint="eastAsia" w:ascii="仿宋_GB2312" w:eastAsia="仿宋_GB2312" w:cs="Times New Roman" w:hAnsiTheme="minorEastAsia"/>
          <w:sz w:val="32"/>
          <w:szCs w:val="32"/>
          <w:u w:color="000000"/>
        </w:rPr>
        <w:tab/>
      </w:r>
    </w:p>
    <w:p w14:paraId="4041E42C">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表2  投入指标及得分情况表</w:t>
      </w:r>
    </w:p>
    <w:tbl>
      <w:tblPr>
        <w:tblStyle w:val="23"/>
        <w:tblW w:w="0" w:type="auto"/>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89"/>
        <w:gridCol w:w="1417"/>
        <w:gridCol w:w="2410"/>
        <w:gridCol w:w="738"/>
        <w:gridCol w:w="1134"/>
      </w:tblGrid>
      <w:tr w14:paraId="6D54D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389" w:type="dxa"/>
            <w:vAlign w:val="center"/>
          </w:tcPr>
          <w:p w14:paraId="3ADB3A6F">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一级指标</w:t>
            </w:r>
          </w:p>
        </w:tc>
        <w:tc>
          <w:tcPr>
            <w:tcW w:w="1417" w:type="dxa"/>
            <w:vAlign w:val="center"/>
          </w:tcPr>
          <w:p w14:paraId="075D94FC">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二级指标</w:t>
            </w:r>
          </w:p>
        </w:tc>
        <w:tc>
          <w:tcPr>
            <w:tcW w:w="2410" w:type="dxa"/>
            <w:vAlign w:val="center"/>
          </w:tcPr>
          <w:p w14:paraId="2C29472A">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三级指标</w:t>
            </w:r>
          </w:p>
        </w:tc>
        <w:tc>
          <w:tcPr>
            <w:tcW w:w="738" w:type="dxa"/>
            <w:vAlign w:val="center"/>
          </w:tcPr>
          <w:p w14:paraId="469BD1E7">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分值权重</w:t>
            </w:r>
          </w:p>
        </w:tc>
        <w:tc>
          <w:tcPr>
            <w:tcW w:w="1134" w:type="dxa"/>
            <w:vAlign w:val="center"/>
          </w:tcPr>
          <w:p w14:paraId="62D054DF">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得分</w:t>
            </w:r>
          </w:p>
        </w:tc>
      </w:tr>
      <w:tr w14:paraId="0907C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389" w:type="dxa"/>
            <w:vMerge w:val="restart"/>
            <w:vAlign w:val="center"/>
          </w:tcPr>
          <w:p w14:paraId="6A45325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投入</w:t>
            </w:r>
          </w:p>
          <w:p w14:paraId="7BAA5879">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（12分）</w:t>
            </w:r>
          </w:p>
        </w:tc>
        <w:tc>
          <w:tcPr>
            <w:tcW w:w="1417" w:type="dxa"/>
            <w:vMerge w:val="restart"/>
            <w:vAlign w:val="center"/>
          </w:tcPr>
          <w:p w14:paraId="511124B9">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绩效目标设定（6分）</w:t>
            </w:r>
          </w:p>
        </w:tc>
        <w:tc>
          <w:tcPr>
            <w:tcW w:w="2410" w:type="dxa"/>
            <w:vAlign w:val="center"/>
          </w:tcPr>
          <w:p w14:paraId="19BAB65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绩效目标合理性</w:t>
            </w:r>
          </w:p>
        </w:tc>
        <w:tc>
          <w:tcPr>
            <w:tcW w:w="738" w:type="dxa"/>
            <w:vAlign w:val="center"/>
          </w:tcPr>
          <w:p w14:paraId="2AF1AEA6">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3</w:t>
            </w:r>
          </w:p>
        </w:tc>
        <w:tc>
          <w:tcPr>
            <w:tcW w:w="1134" w:type="dxa"/>
            <w:vAlign w:val="center"/>
          </w:tcPr>
          <w:p w14:paraId="14C5F2F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471BF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389" w:type="dxa"/>
            <w:vMerge w:val="continue"/>
            <w:vAlign w:val="center"/>
          </w:tcPr>
          <w:p w14:paraId="0A9822C6">
            <w:pPr>
              <w:spacing w:line="420" w:lineRule="exact"/>
              <w:ind w:firstLine="420" w:firstLineChars="200"/>
              <w:jc w:val="center"/>
              <w:rPr>
                <w:rFonts w:cs="宋体" w:asciiTheme="minorEastAsia" w:hAnsiTheme="minorEastAsia" w:eastAsiaTheme="minorEastAsia"/>
                <w:sz w:val="21"/>
                <w:szCs w:val="21"/>
                <w:highlight w:val="yellow"/>
              </w:rPr>
            </w:pPr>
          </w:p>
        </w:tc>
        <w:tc>
          <w:tcPr>
            <w:tcW w:w="1417" w:type="dxa"/>
            <w:vMerge w:val="continue"/>
            <w:vAlign w:val="center"/>
          </w:tcPr>
          <w:p w14:paraId="097ABC08">
            <w:pPr>
              <w:spacing w:line="420" w:lineRule="exact"/>
              <w:ind w:firstLine="420" w:firstLineChars="200"/>
              <w:jc w:val="center"/>
              <w:rPr>
                <w:rFonts w:cs="宋体" w:asciiTheme="minorEastAsia" w:hAnsiTheme="minorEastAsia" w:eastAsiaTheme="minorEastAsia"/>
                <w:sz w:val="21"/>
                <w:szCs w:val="21"/>
                <w:highlight w:val="yellow"/>
              </w:rPr>
            </w:pPr>
          </w:p>
        </w:tc>
        <w:tc>
          <w:tcPr>
            <w:tcW w:w="2410" w:type="dxa"/>
            <w:vAlign w:val="center"/>
          </w:tcPr>
          <w:p w14:paraId="448C37E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绩效指标明确性</w:t>
            </w:r>
          </w:p>
        </w:tc>
        <w:tc>
          <w:tcPr>
            <w:tcW w:w="738" w:type="dxa"/>
            <w:vAlign w:val="center"/>
          </w:tcPr>
          <w:p w14:paraId="524A61B4">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3</w:t>
            </w:r>
          </w:p>
        </w:tc>
        <w:tc>
          <w:tcPr>
            <w:tcW w:w="1134" w:type="dxa"/>
            <w:vAlign w:val="center"/>
          </w:tcPr>
          <w:p w14:paraId="0A9311BB">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2.5</w:t>
            </w:r>
          </w:p>
        </w:tc>
      </w:tr>
      <w:tr w14:paraId="5AFEB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389" w:type="dxa"/>
            <w:vMerge w:val="continue"/>
            <w:vAlign w:val="center"/>
          </w:tcPr>
          <w:p w14:paraId="16CD2004">
            <w:pPr>
              <w:spacing w:line="420" w:lineRule="exact"/>
              <w:ind w:firstLine="420" w:firstLineChars="200"/>
              <w:jc w:val="center"/>
              <w:rPr>
                <w:rFonts w:cs="宋体" w:asciiTheme="minorEastAsia" w:hAnsiTheme="minorEastAsia" w:eastAsiaTheme="minorEastAsia"/>
                <w:sz w:val="21"/>
                <w:szCs w:val="21"/>
                <w:highlight w:val="yellow"/>
              </w:rPr>
            </w:pPr>
          </w:p>
        </w:tc>
        <w:tc>
          <w:tcPr>
            <w:tcW w:w="1417" w:type="dxa"/>
            <w:vMerge w:val="restart"/>
            <w:vAlign w:val="center"/>
          </w:tcPr>
          <w:p w14:paraId="5651E8C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预算配置</w:t>
            </w:r>
          </w:p>
          <w:p w14:paraId="1F5D1F3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（6分）</w:t>
            </w:r>
          </w:p>
        </w:tc>
        <w:tc>
          <w:tcPr>
            <w:tcW w:w="2410" w:type="dxa"/>
            <w:vAlign w:val="center"/>
          </w:tcPr>
          <w:p w14:paraId="528489C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“三</w:t>
            </w:r>
            <w:r>
              <w:rPr>
                <w:rFonts w:cs="宋体" w:asciiTheme="minorEastAsia" w:hAnsiTheme="minorEastAsia" w:eastAsiaTheme="minorEastAsia"/>
                <w:sz w:val="21"/>
                <w:szCs w:val="21"/>
              </w:rPr>
              <w:t>公经费”</w:t>
            </w:r>
            <w:r>
              <w:rPr>
                <w:rFonts w:hint="eastAsia" w:cs="宋体" w:asciiTheme="minorEastAsia" w:hAnsiTheme="minorEastAsia" w:eastAsiaTheme="minorEastAsia"/>
                <w:sz w:val="21"/>
                <w:szCs w:val="21"/>
              </w:rPr>
              <w:t>变动</w:t>
            </w:r>
            <w:r>
              <w:rPr>
                <w:rFonts w:cs="宋体" w:asciiTheme="minorEastAsia" w:hAnsiTheme="minorEastAsia" w:eastAsiaTheme="minorEastAsia"/>
                <w:sz w:val="21"/>
                <w:szCs w:val="21"/>
              </w:rPr>
              <w:t>率</w:t>
            </w:r>
          </w:p>
        </w:tc>
        <w:tc>
          <w:tcPr>
            <w:tcW w:w="738" w:type="dxa"/>
            <w:vAlign w:val="center"/>
          </w:tcPr>
          <w:p w14:paraId="41A59119">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3</w:t>
            </w:r>
          </w:p>
        </w:tc>
        <w:tc>
          <w:tcPr>
            <w:tcW w:w="1134" w:type="dxa"/>
            <w:vAlign w:val="center"/>
          </w:tcPr>
          <w:p w14:paraId="07BC39B6">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3</w:t>
            </w:r>
          </w:p>
        </w:tc>
      </w:tr>
      <w:tr w14:paraId="1046F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exact"/>
        </w:trPr>
        <w:tc>
          <w:tcPr>
            <w:tcW w:w="1389" w:type="dxa"/>
            <w:vMerge w:val="continue"/>
            <w:vAlign w:val="center"/>
          </w:tcPr>
          <w:p w14:paraId="788542FD">
            <w:pPr>
              <w:spacing w:line="420" w:lineRule="exact"/>
              <w:ind w:firstLine="420" w:firstLineChars="200"/>
              <w:jc w:val="center"/>
              <w:rPr>
                <w:rFonts w:cs="宋体" w:asciiTheme="minorEastAsia" w:hAnsiTheme="minorEastAsia" w:eastAsiaTheme="minorEastAsia"/>
                <w:sz w:val="21"/>
                <w:szCs w:val="21"/>
                <w:highlight w:val="yellow"/>
              </w:rPr>
            </w:pPr>
          </w:p>
        </w:tc>
        <w:tc>
          <w:tcPr>
            <w:tcW w:w="1417" w:type="dxa"/>
            <w:vMerge w:val="continue"/>
            <w:vAlign w:val="center"/>
          </w:tcPr>
          <w:p w14:paraId="2B67E829">
            <w:pPr>
              <w:spacing w:line="420" w:lineRule="exact"/>
              <w:ind w:firstLine="420" w:firstLineChars="200"/>
              <w:jc w:val="center"/>
              <w:rPr>
                <w:rFonts w:cs="宋体" w:asciiTheme="minorEastAsia" w:hAnsiTheme="minorEastAsia" w:eastAsiaTheme="minorEastAsia"/>
                <w:sz w:val="21"/>
                <w:szCs w:val="21"/>
                <w:highlight w:val="yellow"/>
              </w:rPr>
            </w:pPr>
          </w:p>
        </w:tc>
        <w:tc>
          <w:tcPr>
            <w:tcW w:w="2410" w:type="dxa"/>
            <w:vAlign w:val="center"/>
          </w:tcPr>
          <w:p w14:paraId="4C42374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重点</w:t>
            </w:r>
            <w:r>
              <w:rPr>
                <w:rFonts w:cs="宋体" w:asciiTheme="minorEastAsia" w:hAnsiTheme="minorEastAsia" w:eastAsiaTheme="minorEastAsia"/>
                <w:sz w:val="21"/>
                <w:szCs w:val="21"/>
              </w:rPr>
              <w:t>支出安排率</w:t>
            </w:r>
          </w:p>
        </w:tc>
        <w:tc>
          <w:tcPr>
            <w:tcW w:w="738" w:type="dxa"/>
            <w:vAlign w:val="center"/>
          </w:tcPr>
          <w:p w14:paraId="2350469D">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3</w:t>
            </w:r>
          </w:p>
        </w:tc>
        <w:tc>
          <w:tcPr>
            <w:tcW w:w="1134" w:type="dxa"/>
            <w:vAlign w:val="center"/>
          </w:tcPr>
          <w:p w14:paraId="59B1AD0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1002F6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806" w:type="dxa"/>
            <w:gridSpan w:val="2"/>
            <w:vAlign w:val="center"/>
          </w:tcPr>
          <w:p w14:paraId="0CF8642C">
            <w:pPr>
              <w:spacing w:line="420" w:lineRule="exact"/>
              <w:ind w:firstLine="420" w:firstLineChars="200"/>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合计</w:t>
            </w:r>
          </w:p>
        </w:tc>
        <w:tc>
          <w:tcPr>
            <w:tcW w:w="2410" w:type="dxa"/>
            <w:vAlign w:val="center"/>
          </w:tcPr>
          <w:p w14:paraId="3027AA53">
            <w:pPr>
              <w:spacing w:line="420" w:lineRule="exact"/>
              <w:ind w:firstLine="420" w:firstLineChars="200"/>
              <w:jc w:val="center"/>
              <w:rPr>
                <w:rFonts w:cs="宋体" w:asciiTheme="minorEastAsia" w:hAnsiTheme="minorEastAsia" w:eastAsiaTheme="minorEastAsia"/>
                <w:sz w:val="21"/>
                <w:szCs w:val="21"/>
                <w:highlight w:val="yellow"/>
              </w:rPr>
            </w:pPr>
          </w:p>
        </w:tc>
        <w:tc>
          <w:tcPr>
            <w:tcW w:w="738" w:type="dxa"/>
            <w:vAlign w:val="center"/>
          </w:tcPr>
          <w:p w14:paraId="7CBE10C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12</w:t>
            </w:r>
          </w:p>
        </w:tc>
        <w:tc>
          <w:tcPr>
            <w:tcW w:w="1134" w:type="dxa"/>
            <w:vAlign w:val="center"/>
          </w:tcPr>
          <w:p w14:paraId="2296D8A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11.</w:t>
            </w:r>
            <w:r>
              <w:rPr>
                <w:rFonts w:cs="宋体" w:asciiTheme="minorEastAsia" w:hAnsiTheme="minorEastAsia" w:eastAsiaTheme="minorEastAsia"/>
                <w:sz w:val="21"/>
                <w:szCs w:val="21"/>
              </w:rPr>
              <w:t>5</w:t>
            </w:r>
          </w:p>
        </w:tc>
      </w:tr>
    </w:tbl>
    <w:p w14:paraId="5CB5B447">
      <w:pPr>
        <w:spacing w:after="0" w:line="360" w:lineRule="auto"/>
        <w:ind w:firstLine="640" w:firstLineChars="200"/>
        <w:jc w:val="both"/>
        <w:textAlignment w:val="baseline"/>
        <w:rPr>
          <w:rFonts w:ascii="仿宋_GB2312" w:eastAsia="仿宋_GB2312" w:cs="DengXian-Regular"/>
          <w:sz w:val="32"/>
          <w:szCs w:val="32"/>
        </w:rPr>
      </w:pPr>
      <w:bookmarkStart w:id="60" w:name="_Toc464638478"/>
      <w:bookmarkStart w:id="61" w:name="_Toc465149513"/>
      <w:r>
        <w:rPr>
          <w:rFonts w:hint="eastAsia" w:ascii="仿宋_GB2312" w:eastAsia="仿宋_GB2312" w:cs="DengXian-Regular"/>
          <w:sz w:val="32"/>
          <w:szCs w:val="32"/>
        </w:rPr>
        <w:t>1.绩效目标设定（6分）</w:t>
      </w:r>
    </w:p>
    <w:p w14:paraId="41D1F67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（1）绩效目标合理性(</w:t>
      </w:r>
      <w:r>
        <w:rPr>
          <w:rFonts w:ascii="仿宋_GB2312" w:eastAsia="仿宋_GB2312" w:cs="DengXian-Regular"/>
          <w:sz w:val="32"/>
          <w:szCs w:val="32"/>
        </w:rPr>
        <w:t>3</w:t>
      </w:r>
      <w:r>
        <w:rPr>
          <w:rFonts w:hint="eastAsia" w:ascii="仿宋_GB2312" w:eastAsia="仿宋_GB2312" w:cs="DengXian-Regular"/>
          <w:sz w:val="32"/>
          <w:szCs w:val="32"/>
        </w:rPr>
        <w:t>分)</w:t>
      </w:r>
    </w:p>
    <w:p w14:paraId="2EE8F19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职责设定是否符合“三定”方案中所赋予的职责；工作活动是否与部门职责、工作规划和重点工作相关；工作活动项下确定的预算项目是否合理，是否与工作活动密切相关；工作活动和项目预算安排是否合理。</w:t>
      </w:r>
    </w:p>
    <w:p w14:paraId="39884CA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通过对比保定市徐水区委办公室及保定市徐水区人民政府办公室印发的《保定市徐水区崔</w:t>
      </w:r>
      <w:r>
        <w:rPr>
          <w:rFonts w:ascii="仿宋_GB2312" w:eastAsia="仿宋_GB2312" w:cs="DengXian-Regular"/>
          <w:sz w:val="32"/>
          <w:szCs w:val="32"/>
        </w:rPr>
        <w:t>庄镇</w:t>
      </w:r>
      <w:r>
        <w:rPr>
          <w:rFonts w:hint="eastAsia" w:ascii="仿宋_GB2312" w:eastAsia="仿宋_GB2312" w:cs="DengXian-Regular"/>
          <w:sz w:val="32"/>
          <w:szCs w:val="32"/>
        </w:rPr>
        <w:t>单位职能配置内设机构和人员编制规定》和徐水区崔</w:t>
      </w:r>
      <w:r>
        <w:rPr>
          <w:rFonts w:ascii="仿宋_GB2312" w:eastAsia="仿宋_GB2312" w:cs="DengXian-Regular"/>
          <w:sz w:val="32"/>
          <w:szCs w:val="32"/>
        </w:rPr>
        <w:t>庄镇</w:t>
      </w:r>
      <w:r>
        <w:rPr>
          <w:rFonts w:hint="eastAsia" w:ascii="仿宋_GB2312" w:eastAsia="仿宋_GB2312" w:cs="DengXian-Regular"/>
          <w:sz w:val="32"/>
          <w:szCs w:val="32"/>
        </w:rPr>
        <w:t>2022年预算文本—部门职责工作活动绩效目标，评价工作组认为崔</w:t>
      </w:r>
      <w:r>
        <w:rPr>
          <w:rFonts w:ascii="仿宋_GB2312" w:eastAsia="仿宋_GB2312" w:cs="DengXian-Regular"/>
          <w:sz w:val="32"/>
          <w:szCs w:val="32"/>
        </w:rPr>
        <w:t>庄镇</w:t>
      </w:r>
      <w:r>
        <w:rPr>
          <w:rFonts w:hint="eastAsia" w:ascii="仿宋_GB2312" w:eastAsia="仿宋_GB2312" w:cs="DengXian-Regular"/>
          <w:sz w:val="32"/>
          <w:szCs w:val="32"/>
        </w:rPr>
        <w:t>部门职责符合“三定”方案中所赋予的职责，绩效目标设立依据充分，符合客观实际，与部门职责、工作规划和重点工作相关，工作活动和项目预算安排合理。</w:t>
      </w:r>
    </w:p>
    <w:p w14:paraId="3CF24C2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3</w:t>
      </w:r>
      <w:r>
        <w:rPr>
          <w:rFonts w:hint="eastAsia" w:ascii="仿宋_GB2312" w:eastAsia="仿宋_GB2312" w:cs="DengXian-Regular"/>
          <w:sz w:val="32"/>
          <w:szCs w:val="32"/>
        </w:rPr>
        <w:t>分。</w:t>
      </w:r>
    </w:p>
    <w:p w14:paraId="365F928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（2）绩效目标明确性（</w:t>
      </w:r>
      <w:r>
        <w:rPr>
          <w:rFonts w:ascii="仿宋_GB2312" w:eastAsia="仿宋_GB2312" w:cs="DengXian-Regular"/>
          <w:sz w:val="32"/>
          <w:szCs w:val="32"/>
        </w:rPr>
        <w:t>3</w:t>
      </w:r>
      <w:r>
        <w:rPr>
          <w:rFonts w:hint="eastAsia" w:ascii="仿宋_GB2312" w:eastAsia="仿宋_GB2312" w:cs="DengXian-Regular"/>
          <w:sz w:val="32"/>
          <w:szCs w:val="32"/>
        </w:rPr>
        <w:t>分）</w:t>
      </w:r>
    </w:p>
    <w:p w14:paraId="0B8577FA">
      <w:pPr>
        <w:spacing w:after="0" w:line="360" w:lineRule="auto"/>
        <w:ind w:firstLine="640" w:firstLineChars="200"/>
        <w:jc w:val="both"/>
        <w:textAlignment w:val="baseline"/>
        <w:rPr>
          <w:rFonts w:ascii="仿宋_GB2312" w:eastAsia="仿宋_GB2312" w:cs="DengXian-Regular"/>
          <w:sz w:val="32"/>
          <w:szCs w:val="32"/>
          <w:highlight w:val="yellow"/>
        </w:rPr>
      </w:pPr>
      <w:r>
        <w:rPr>
          <w:rFonts w:hint="eastAsia" w:ascii="仿宋_GB2312" w:eastAsia="仿宋_GB2312" w:cs="DengXian-Regular"/>
          <w:sz w:val="32"/>
          <w:szCs w:val="32"/>
        </w:rPr>
        <w:t>该指标主要评价是否将部门整体的绩效目标细化分解为具体的工作任务，工作活动、预算项目绩效指标是否清晰、细化、可评价、可衡量；工作活动、预算项目绩效指标的评价标准是否清晰、可衡量；是否与部门年度的任务数或计划数相对应。</w:t>
      </w:r>
    </w:p>
    <w:p w14:paraId="1A585C0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根据崔</w:t>
      </w:r>
      <w:r>
        <w:rPr>
          <w:rFonts w:ascii="仿宋_GB2312" w:eastAsia="仿宋_GB2312" w:cs="DengXian-Regular"/>
          <w:sz w:val="32"/>
          <w:szCs w:val="32"/>
        </w:rPr>
        <w:t>庄镇</w:t>
      </w:r>
      <w:r>
        <w:rPr>
          <w:rFonts w:hint="eastAsia" w:ascii="仿宋_GB2312" w:eastAsia="仿宋_GB2312" w:cs="DengXian-Regular"/>
          <w:sz w:val="32"/>
          <w:szCs w:val="32"/>
        </w:rPr>
        <w:t>2022年预算文本—部门职责工作活动绩效目标,该指标实际得分</w:t>
      </w:r>
      <w:r>
        <w:rPr>
          <w:rFonts w:ascii="仿宋_GB2312" w:eastAsia="仿宋_GB2312" w:cs="DengXian-Regular"/>
          <w:sz w:val="32"/>
          <w:szCs w:val="32"/>
        </w:rPr>
        <w:t>2.5</w:t>
      </w:r>
      <w:r>
        <w:rPr>
          <w:rFonts w:hint="eastAsia" w:ascii="仿宋_GB2312" w:eastAsia="仿宋_GB2312" w:cs="DengXian-Regular"/>
          <w:sz w:val="32"/>
          <w:szCs w:val="32"/>
        </w:rPr>
        <w:t>分。</w:t>
      </w:r>
    </w:p>
    <w:p w14:paraId="4ACE765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2.预算配置（6分）</w:t>
      </w:r>
    </w:p>
    <w:p w14:paraId="6D9DE71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（1）“三</w:t>
      </w:r>
      <w:r>
        <w:rPr>
          <w:rFonts w:ascii="仿宋_GB2312" w:eastAsia="仿宋_GB2312" w:cs="DengXian-Regular"/>
          <w:sz w:val="32"/>
          <w:szCs w:val="32"/>
        </w:rPr>
        <w:t>公经费</w:t>
      </w:r>
      <w:r>
        <w:rPr>
          <w:rFonts w:hint="eastAsia" w:ascii="仿宋" w:hAnsi="仿宋" w:eastAsia="仿宋" w:cs="DengXian-Regular"/>
          <w:sz w:val="32"/>
          <w:szCs w:val="32"/>
        </w:rPr>
        <w:t>”变</w:t>
      </w:r>
      <w:r>
        <w:rPr>
          <w:rFonts w:hint="eastAsia" w:ascii="仿宋_GB2312" w:eastAsia="仿宋_GB2312" w:cs="DengXian-Regular"/>
          <w:sz w:val="32"/>
          <w:szCs w:val="32"/>
        </w:rPr>
        <w:t>动</w:t>
      </w:r>
      <w:r>
        <w:rPr>
          <w:rFonts w:ascii="仿宋_GB2312" w:eastAsia="仿宋_GB2312" w:cs="DengXian-Regular"/>
          <w:sz w:val="32"/>
          <w:szCs w:val="32"/>
        </w:rPr>
        <w:t>率</w:t>
      </w:r>
      <w:r>
        <w:rPr>
          <w:rFonts w:hint="eastAsia" w:ascii="仿宋_GB2312" w:eastAsia="仿宋_GB2312" w:cs="DengXian-Regular"/>
          <w:sz w:val="32"/>
          <w:szCs w:val="32"/>
        </w:rPr>
        <w:t>（</w:t>
      </w:r>
      <w:r>
        <w:rPr>
          <w:rFonts w:ascii="仿宋_GB2312" w:eastAsia="仿宋_GB2312" w:cs="DengXian-Regular"/>
          <w:sz w:val="32"/>
          <w:szCs w:val="32"/>
        </w:rPr>
        <w:t>3</w:t>
      </w:r>
      <w:r>
        <w:rPr>
          <w:rFonts w:hint="eastAsia" w:ascii="仿宋_GB2312" w:eastAsia="仿宋_GB2312" w:cs="DengXian-Regular"/>
          <w:sz w:val="32"/>
          <w:szCs w:val="32"/>
        </w:rPr>
        <w:t>分）</w:t>
      </w:r>
    </w:p>
    <w:p w14:paraId="5DB7BCF1">
      <w:pPr>
        <w:spacing w:after="0" w:line="360" w:lineRule="auto"/>
        <w:ind w:firstLine="640" w:firstLineChars="200"/>
        <w:jc w:val="both"/>
        <w:textAlignment w:val="baseline"/>
        <w:rPr>
          <w:rFonts w:ascii="仿宋" w:hAnsi="仿宋" w:eastAsia="仿宋" w:cs="DengXian-Regular"/>
          <w:sz w:val="32"/>
          <w:szCs w:val="32"/>
        </w:rPr>
      </w:pPr>
      <w:r>
        <w:rPr>
          <w:rFonts w:hint="eastAsia" w:ascii="仿宋_GB2312" w:eastAsia="仿宋_GB2312" w:cs="DengXian-Regular"/>
          <w:sz w:val="32"/>
          <w:szCs w:val="32"/>
        </w:rPr>
        <w:t>该指标主要评价部门本</w:t>
      </w:r>
      <w:r>
        <w:rPr>
          <w:rFonts w:ascii="仿宋_GB2312" w:eastAsia="仿宋_GB2312" w:cs="DengXian-Regular"/>
          <w:sz w:val="32"/>
          <w:szCs w:val="32"/>
        </w:rPr>
        <w:t>年度</w:t>
      </w:r>
      <w:r>
        <w:rPr>
          <w:rFonts w:hint="eastAsia" w:ascii="仿宋_GB2312" w:eastAsia="仿宋_GB2312" w:cs="DengXian-Regular"/>
          <w:sz w:val="32"/>
          <w:szCs w:val="32"/>
        </w:rPr>
        <w:t>“三</w:t>
      </w:r>
      <w:r>
        <w:rPr>
          <w:rFonts w:ascii="仿宋_GB2312" w:eastAsia="仿宋_GB2312" w:cs="DengXian-Regular"/>
          <w:sz w:val="32"/>
          <w:szCs w:val="32"/>
        </w:rPr>
        <w:t>公经费</w:t>
      </w:r>
      <w:r>
        <w:rPr>
          <w:rFonts w:hint="eastAsia" w:ascii="仿宋" w:hAnsi="仿宋" w:eastAsia="仿宋" w:cs="DengXian-Regular"/>
          <w:sz w:val="32"/>
          <w:szCs w:val="32"/>
        </w:rPr>
        <w:t>”预</w:t>
      </w:r>
      <w:r>
        <w:rPr>
          <w:rFonts w:ascii="仿宋" w:hAnsi="仿宋" w:eastAsia="仿宋" w:cs="DengXian-Regular"/>
          <w:sz w:val="32"/>
          <w:szCs w:val="32"/>
        </w:rPr>
        <w:t>算数与上年度</w:t>
      </w:r>
      <w:r>
        <w:rPr>
          <w:rFonts w:hint="eastAsia" w:ascii="仿宋_GB2312" w:eastAsia="仿宋_GB2312" w:cs="DengXian-Regular"/>
          <w:sz w:val="32"/>
          <w:szCs w:val="32"/>
        </w:rPr>
        <w:t>“三</w:t>
      </w:r>
      <w:r>
        <w:rPr>
          <w:rFonts w:ascii="仿宋_GB2312" w:eastAsia="仿宋_GB2312" w:cs="DengXian-Regular"/>
          <w:sz w:val="32"/>
          <w:szCs w:val="32"/>
        </w:rPr>
        <w:t>公经费</w:t>
      </w:r>
      <w:r>
        <w:rPr>
          <w:rFonts w:hint="eastAsia" w:ascii="仿宋" w:hAnsi="仿宋" w:eastAsia="仿宋" w:cs="DengXian-Regular"/>
          <w:sz w:val="32"/>
          <w:szCs w:val="32"/>
        </w:rPr>
        <w:t>”预</w:t>
      </w:r>
      <w:r>
        <w:rPr>
          <w:rFonts w:ascii="仿宋" w:hAnsi="仿宋" w:eastAsia="仿宋" w:cs="DengXian-Regular"/>
          <w:sz w:val="32"/>
          <w:szCs w:val="32"/>
        </w:rPr>
        <w:t>算数的变动比率，用以</w:t>
      </w:r>
      <w:r>
        <w:rPr>
          <w:rFonts w:hint="eastAsia" w:ascii="仿宋" w:hAnsi="仿宋" w:eastAsia="仿宋" w:cs="DengXian-Regular"/>
          <w:sz w:val="32"/>
          <w:szCs w:val="32"/>
        </w:rPr>
        <w:t>反映</w:t>
      </w:r>
      <w:r>
        <w:rPr>
          <w:rFonts w:ascii="仿宋" w:hAnsi="仿宋" w:eastAsia="仿宋" w:cs="DengXian-Regular"/>
          <w:sz w:val="32"/>
          <w:szCs w:val="32"/>
        </w:rPr>
        <w:t>和考核部门对控制重点行政成本的努力程度。</w:t>
      </w:r>
    </w:p>
    <w:p w14:paraId="6CD843FD">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“三公经费”变动率=[（本年度“三公经费”总额-上年度“三公经费”总额）/上年度“三公经费”总额]×100%。</w:t>
      </w:r>
    </w:p>
    <w:p w14:paraId="3FB523F7">
      <w:pPr>
        <w:spacing w:after="0" w:line="360" w:lineRule="auto"/>
        <w:ind w:firstLine="640" w:firstLineChars="200"/>
        <w:jc w:val="both"/>
        <w:textAlignment w:val="baseline"/>
        <w:rPr>
          <w:rFonts w:ascii="仿宋_GB2312" w:eastAsia="仿宋_GB2312" w:cs="DengXian-Regular"/>
          <w:sz w:val="32"/>
          <w:szCs w:val="32"/>
        </w:rPr>
      </w:pPr>
      <w:r>
        <w:rPr>
          <w:rFonts w:hint="eastAsia" w:ascii="仿宋" w:hAnsi="仿宋" w:eastAsia="仿宋" w:cs="DengXian-Regular"/>
          <w:sz w:val="32"/>
          <w:szCs w:val="32"/>
        </w:rPr>
        <w:t>“三公经费”：年度预算安排的因公出国（境）费、公务车辆购置及运行费和公务招待费。</w:t>
      </w:r>
    </w:p>
    <w:p w14:paraId="233199A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根据崔</w:t>
      </w:r>
      <w:r>
        <w:rPr>
          <w:rFonts w:ascii="仿宋_GB2312" w:eastAsia="仿宋_GB2312" w:cs="DengXian-Regular"/>
          <w:sz w:val="32"/>
          <w:szCs w:val="32"/>
        </w:rPr>
        <w:t>庄镇</w:t>
      </w:r>
      <w:r>
        <w:rPr>
          <w:rFonts w:hint="eastAsia" w:ascii="仿宋_GB2312" w:eastAsia="仿宋_GB2312" w:cs="DengXian-Regular"/>
          <w:sz w:val="32"/>
          <w:szCs w:val="32"/>
        </w:rPr>
        <w:t>2022年预算文本及相关会计资料，该指标实际得分</w:t>
      </w:r>
      <w:r>
        <w:rPr>
          <w:rFonts w:ascii="仿宋_GB2312" w:eastAsia="仿宋_GB2312" w:cs="DengXian-Regular"/>
          <w:sz w:val="32"/>
          <w:szCs w:val="32"/>
        </w:rPr>
        <w:t>3</w:t>
      </w:r>
      <w:r>
        <w:rPr>
          <w:rFonts w:hint="eastAsia" w:ascii="仿宋_GB2312" w:eastAsia="仿宋_GB2312" w:cs="DengXian-Regular"/>
          <w:sz w:val="32"/>
          <w:szCs w:val="32"/>
        </w:rPr>
        <w:t>分。</w:t>
      </w:r>
    </w:p>
    <w:p w14:paraId="40E0EDE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（2）重点</w:t>
      </w:r>
      <w:r>
        <w:rPr>
          <w:rFonts w:ascii="仿宋_GB2312" w:eastAsia="仿宋_GB2312" w:cs="DengXian-Regular"/>
          <w:sz w:val="32"/>
          <w:szCs w:val="32"/>
        </w:rPr>
        <w:t>支出安排</w:t>
      </w:r>
      <w:r>
        <w:rPr>
          <w:rFonts w:hint="eastAsia" w:ascii="仿宋_GB2312" w:eastAsia="仿宋_GB2312" w:cs="DengXian-Regular"/>
          <w:sz w:val="32"/>
          <w:szCs w:val="32"/>
        </w:rPr>
        <w:t>率（3分）</w:t>
      </w:r>
    </w:p>
    <w:p w14:paraId="10141E1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该指标主要评价部门（单位）本年度预算安排的重点项目支出与部门项目总支出的比率，用以反映和考核部门（单位）对履行主要职责或完成重点任务的保障程度。</w:t>
      </w:r>
    </w:p>
    <w:p w14:paraId="6ED2803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重点支出安排率=（重点项目支出/项目总支出）×100%。</w:t>
      </w:r>
    </w:p>
    <w:p w14:paraId="1C8E8CF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重点项目支出：部门（单位）年度预算安排的，与本部门履职和发展密切相关、具有明显社会和经济影响、党委政府关心或社会比较关注的项目支出总额。</w:t>
      </w:r>
    </w:p>
    <w:p w14:paraId="23C37DE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项目总支出：部门（单位）年度预算安排的项目支出总额。</w:t>
      </w:r>
    </w:p>
    <w:p w14:paraId="1DC114E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根据崔</w:t>
      </w:r>
      <w:r>
        <w:rPr>
          <w:rFonts w:ascii="仿宋_GB2312" w:eastAsia="仿宋_GB2312" w:cs="DengXian-Regular"/>
          <w:sz w:val="32"/>
          <w:szCs w:val="32"/>
        </w:rPr>
        <w:t>庄镇</w:t>
      </w:r>
      <w:r>
        <w:rPr>
          <w:rFonts w:hint="eastAsia" w:ascii="仿宋_GB2312" w:eastAsia="仿宋_GB2312" w:cs="DengXian-Regular"/>
          <w:sz w:val="32"/>
          <w:szCs w:val="32"/>
        </w:rPr>
        <w:t>2022年预算文本—部门项目支出预算表，该指标实际得分</w:t>
      </w:r>
      <w:r>
        <w:rPr>
          <w:rFonts w:ascii="仿宋_GB2312" w:eastAsia="仿宋_GB2312" w:cs="DengXian-Regular"/>
          <w:sz w:val="32"/>
          <w:szCs w:val="32"/>
        </w:rPr>
        <w:t>3</w:t>
      </w:r>
      <w:r>
        <w:rPr>
          <w:rFonts w:hint="eastAsia" w:ascii="仿宋_GB2312" w:eastAsia="仿宋_GB2312" w:cs="DengXian-Regular"/>
          <w:sz w:val="32"/>
          <w:szCs w:val="32"/>
        </w:rPr>
        <w:t>分。</w:t>
      </w:r>
    </w:p>
    <w:bookmarkEnd w:id="60"/>
    <w:bookmarkEnd w:id="61"/>
    <w:p w14:paraId="134AC40C">
      <w:pPr>
        <w:pStyle w:val="4"/>
        <w:spacing w:before="0" w:after="0"/>
        <w:ind w:firstLine="643" w:firstLineChars="200"/>
        <w:jc w:val="both"/>
        <w:rPr>
          <w:rFonts w:ascii="楷体" w:hAnsi="楷体" w:eastAsia="楷体"/>
          <w:sz w:val="32"/>
        </w:rPr>
      </w:pPr>
      <w:bookmarkStart w:id="62" w:name="_Toc19940"/>
      <w:r>
        <w:rPr>
          <w:rFonts w:hint="eastAsia" w:ascii="楷体" w:hAnsi="楷体" w:eastAsia="楷体"/>
          <w:sz w:val="32"/>
        </w:rPr>
        <w:t>（二）过程（48分）</w:t>
      </w:r>
      <w:bookmarkEnd w:id="62"/>
    </w:p>
    <w:p w14:paraId="364FBEB3">
      <w:pPr>
        <w:spacing w:after="0" w:line="360" w:lineRule="auto"/>
        <w:ind w:firstLine="640" w:firstLineChars="200"/>
        <w:jc w:val="both"/>
        <w:textAlignment w:val="baseline"/>
        <w:rPr>
          <w:rFonts w:ascii="仿宋_GB2312" w:eastAsia="仿宋_GB2312" w:cs="DengXian-Regular"/>
          <w:sz w:val="32"/>
          <w:szCs w:val="32"/>
        </w:rPr>
      </w:pPr>
      <w:bookmarkStart w:id="63" w:name="_Toc464638480"/>
      <w:r>
        <w:rPr>
          <w:rFonts w:hint="eastAsia" w:ascii="仿宋_GB2312" w:eastAsia="仿宋_GB2312" w:cs="DengXian-Regular"/>
          <w:sz w:val="32"/>
          <w:szCs w:val="32"/>
        </w:rPr>
        <w:t>该一级指标包含预算执行、预算管理和资产</w:t>
      </w:r>
      <w:r>
        <w:rPr>
          <w:rFonts w:ascii="仿宋_GB2312" w:eastAsia="仿宋_GB2312" w:cs="DengXian-Regular"/>
          <w:sz w:val="32"/>
          <w:szCs w:val="32"/>
        </w:rPr>
        <w:t>管理</w:t>
      </w:r>
      <w:r>
        <w:rPr>
          <w:rFonts w:hint="eastAsia" w:ascii="仿宋_GB2312" w:eastAsia="仿宋_GB2312" w:cs="DengXian-Regular"/>
          <w:sz w:val="32"/>
          <w:szCs w:val="32"/>
        </w:rPr>
        <w:t>三个二级指标，主要反映预算调整、收入支出完成情况，“三公”经费、政府采购执行情况，财务管理是否规范、资金使用是否合规，决算真实性。</w:t>
      </w:r>
    </w:p>
    <w:p w14:paraId="2C53B7AA">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表3  过程指标及得分情况表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57"/>
        <w:gridCol w:w="1388"/>
        <w:gridCol w:w="2277"/>
        <w:gridCol w:w="1155"/>
        <w:gridCol w:w="1276"/>
      </w:tblGrid>
      <w:tr w14:paraId="1BD9E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Align w:val="center"/>
          </w:tcPr>
          <w:p w14:paraId="22B9B80C">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388" w:type="dxa"/>
            <w:vAlign w:val="center"/>
          </w:tcPr>
          <w:p w14:paraId="49D65C2E">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277" w:type="dxa"/>
            <w:vAlign w:val="center"/>
          </w:tcPr>
          <w:p w14:paraId="3F9B36EA">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55" w:type="dxa"/>
            <w:vAlign w:val="center"/>
          </w:tcPr>
          <w:p w14:paraId="40967F8E">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276" w:type="dxa"/>
            <w:vAlign w:val="center"/>
          </w:tcPr>
          <w:p w14:paraId="68A84E8A">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1D9F9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restart"/>
            <w:vAlign w:val="center"/>
          </w:tcPr>
          <w:p w14:paraId="11EB96B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过程　</w:t>
            </w:r>
            <w:r>
              <w:rPr>
                <w:rFonts w:cs="宋体" w:asciiTheme="minorEastAsia" w:hAnsiTheme="minorEastAsia" w:eastAsiaTheme="minorEastAsia"/>
                <w:sz w:val="21"/>
                <w:szCs w:val="21"/>
              </w:rPr>
              <w:t>　　　（</w:t>
            </w:r>
            <w:r>
              <w:rPr>
                <w:rFonts w:hint="eastAsia" w:cs="宋体" w:asciiTheme="minorEastAsia" w:hAnsiTheme="minorEastAsia" w:eastAsiaTheme="minorEastAsia"/>
                <w:sz w:val="21"/>
                <w:szCs w:val="21"/>
              </w:rPr>
              <w:t>48分</w:t>
            </w:r>
            <w:r>
              <w:rPr>
                <w:rFonts w:cs="宋体" w:asciiTheme="minorEastAsia" w:hAnsiTheme="minorEastAsia" w:eastAsiaTheme="minorEastAsia"/>
                <w:sz w:val="21"/>
                <w:szCs w:val="21"/>
              </w:rPr>
              <w:t>）</w:t>
            </w:r>
          </w:p>
        </w:tc>
        <w:tc>
          <w:tcPr>
            <w:tcW w:w="1388" w:type="dxa"/>
            <w:vMerge w:val="restart"/>
            <w:vAlign w:val="center"/>
          </w:tcPr>
          <w:p w14:paraId="1601051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w:t>
            </w:r>
            <w:r>
              <w:rPr>
                <w:rFonts w:cs="宋体" w:asciiTheme="minorEastAsia" w:hAnsiTheme="minorEastAsia" w:eastAsiaTheme="minorEastAsia"/>
                <w:sz w:val="21"/>
                <w:szCs w:val="21"/>
              </w:rPr>
              <w:t>算执行</w:t>
            </w:r>
            <w:r>
              <w:rPr>
                <w:rFonts w:hint="eastAsia" w:cs="宋体" w:asciiTheme="minorEastAsia" w:hAnsiTheme="minorEastAsia" w:eastAsiaTheme="minorEastAsia"/>
                <w:sz w:val="21"/>
                <w:szCs w:val="21"/>
              </w:rPr>
              <w:t>　</w:t>
            </w:r>
            <w:r>
              <w:rPr>
                <w:rFonts w:cs="宋体" w:asciiTheme="minorEastAsia" w:hAnsiTheme="minorEastAsia" w:eastAsiaTheme="minorEastAsia"/>
                <w:sz w:val="21"/>
                <w:szCs w:val="21"/>
              </w:rPr>
              <w:t>（</w:t>
            </w:r>
            <w:r>
              <w:rPr>
                <w:rFonts w:hint="eastAsia" w:cs="宋体" w:asciiTheme="minorEastAsia" w:hAnsiTheme="minorEastAsia" w:eastAsiaTheme="minorEastAsia"/>
                <w:sz w:val="21"/>
                <w:szCs w:val="21"/>
              </w:rPr>
              <w:t>24分</w:t>
            </w:r>
            <w:r>
              <w:rPr>
                <w:rFonts w:cs="宋体" w:asciiTheme="minorEastAsia" w:hAnsiTheme="minorEastAsia" w:eastAsiaTheme="minorEastAsia"/>
                <w:sz w:val="21"/>
                <w:szCs w:val="21"/>
              </w:rPr>
              <w:t>）</w:t>
            </w:r>
          </w:p>
        </w:tc>
        <w:tc>
          <w:tcPr>
            <w:tcW w:w="2277" w:type="dxa"/>
            <w:vAlign w:val="center"/>
          </w:tcPr>
          <w:p w14:paraId="402D998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预算完成率</w:t>
            </w:r>
          </w:p>
        </w:tc>
        <w:tc>
          <w:tcPr>
            <w:tcW w:w="1155" w:type="dxa"/>
            <w:vAlign w:val="center"/>
          </w:tcPr>
          <w:p w14:paraId="3066A249">
            <w:pPr>
              <w:jc w:val="center"/>
              <w:textAlignment w:val="center"/>
              <w:rPr>
                <w:rFonts w:cs="宋体" w:asciiTheme="minorEastAsia" w:hAnsiTheme="minorEastAsia" w:eastAsiaTheme="minorEastAsia"/>
                <w:sz w:val="21"/>
                <w:szCs w:val="21"/>
              </w:rPr>
            </w:pPr>
            <w:r>
              <w:rPr>
                <w:rFonts w:hint="eastAsia" w:ascii="宋体" w:hAnsi="宋体" w:eastAsia="宋体" w:cs="宋体"/>
                <w:color w:val="000000"/>
                <w:sz w:val="24"/>
                <w:szCs w:val="24"/>
                <w:lang w:bidi="ar"/>
              </w:rPr>
              <w:t>4</w:t>
            </w:r>
          </w:p>
        </w:tc>
        <w:tc>
          <w:tcPr>
            <w:tcW w:w="1276" w:type="dxa"/>
            <w:vAlign w:val="center"/>
          </w:tcPr>
          <w:p w14:paraId="6C6C9BBD">
            <w:pPr>
              <w:jc w:val="center"/>
              <w:textAlignment w:val="center"/>
              <w:rPr>
                <w:rFonts w:cs="宋体" w:asciiTheme="minorEastAsia" w:hAnsiTheme="minorEastAsia" w:eastAsiaTheme="minorEastAsia"/>
                <w:sz w:val="21"/>
                <w:szCs w:val="21"/>
              </w:rPr>
            </w:pPr>
            <w:r>
              <w:rPr>
                <w:rFonts w:ascii="宋体" w:hAnsi="宋体" w:eastAsia="宋体" w:cs="宋体"/>
                <w:color w:val="000000"/>
                <w:sz w:val="24"/>
                <w:szCs w:val="24"/>
                <w:lang w:bidi="ar"/>
              </w:rPr>
              <w:t>3</w:t>
            </w:r>
          </w:p>
        </w:tc>
      </w:tr>
      <w:tr w14:paraId="3FEDA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0F7BF3C3">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214329F4">
            <w:pPr>
              <w:spacing w:line="420" w:lineRule="exact"/>
              <w:jc w:val="center"/>
              <w:rPr>
                <w:rFonts w:cs="宋体" w:asciiTheme="minorEastAsia" w:hAnsiTheme="minorEastAsia" w:eastAsiaTheme="minorEastAsia"/>
                <w:sz w:val="21"/>
                <w:szCs w:val="21"/>
              </w:rPr>
            </w:pPr>
          </w:p>
        </w:tc>
        <w:tc>
          <w:tcPr>
            <w:tcW w:w="2277" w:type="dxa"/>
            <w:vAlign w:val="center"/>
          </w:tcPr>
          <w:p w14:paraId="28AD2C4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预算调整率</w:t>
            </w:r>
          </w:p>
        </w:tc>
        <w:tc>
          <w:tcPr>
            <w:tcW w:w="1155" w:type="dxa"/>
            <w:vAlign w:val="center"/>
          </w:tcPr>
          <w:p w14:paraId="1687F024">
            <w:pPr>
              <w:jc w:val="center"/>
              <w:textAlignment w:val="center"/>
              <w:rPr>
                <w:rFonts w:cs="宋体" w:asciiTheme="minorEastAsia" w:hAnsiTheme="minorEastAsia" w:eastAsiaTheme="minorEastAsia"/>
                <w:sz w:val="21"/>
                <w:szCs w:val="21"/>
              </w:rPr>
            </w:pPr>
            <w:r>
              <w:rPr>
                <w:rFonts w:hint="eastAsia" w:ascii="宋体" w:hAnsi="宋体" w:eastAsia="宋体" w:cs="宋体"/>
                <w:color w:val="000000"/>
                <w:sz w:val="24"/>
                <w:szCs w:val="24"/>
                <w:lang w:bidi="ar"/>
              </w:rPr>
              <w:t>4</w:t>
            </w:r>
          </w:p>
        </w:tc>
        <w:tc>
          <w:tcPr>
            <w:tcW w:w="1276" w:type="dxa"/>
            <w:vAlign w:val="center"/>
          </w:tcPr>
          <w:p w14:paraId="78145AD5">
            <w:pPr>
              <w:jc w:val="center"/>
              <w:textAlignment w:val="center"/>
              <w:rPr>
                <w:rFonts w:cs="宋体" w:asciiTheme="minorEastAsia" w:hAnsiTheme="minorEastAsia" w:eastAsiaTheme="minorEastAsia"/>
                <w:sz w:val="21"/>
                <w:szCs w:val="21"/>
              </w:rPr>
            </w:pPr>
            <w:r>
              <w:rPr>
                <w:rFonts w:ascii="宋体" w:hAnsi="宋体" w:eastAsia="宋体" w:cs="宋体"/>
                <w:color w:val="000000"/>
                <w:sz w:val="24"/>
                <w:szCs w:val="24"/>
                <w:lang w:bidi="ar"/>
              </w:rPr>
              <w:t>3</w:t>
            </w:r>
          </w:p>
        </w:tc>
      </w:tr>
      <w:tr w14:paraId="16BB4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1A6147D7">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210DC798">
            <w:pPr>
              <w:spacing w:line="420" w:lineRule="exact"/>
              <w:jc w:val="center"/>
              <w:rPr>
                <w:rFonts w:cs="宋体" w:asciiTheme="minorEastAsia" w:hAnsiTheme="minorEastAsia" w:eastAsiaTheme="minorEastAsia"/>
                <w:sz w:val="21"/>
                <w:szCs w:val="21"/>
              </w:rPr>
            </w:pPr>
          </w:p>
        </w:tc>
        <w:tc>
          <w:tcPr>
            <w:tcW w:w="2277" w:type="dxa"/>
            <w:vAlign w:val="center"/>
          </w:tcPr>
          <w:p w14:paraId="28AEC67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结转</w:t>
            </w:r>
            <w:r>
              <w:rPr>
                <w:rFonts w:cs="宋体" w:asciiTheme="minorEastAsia" w:hAnsiTheme="minorEastAsia" w:eastAsiaTheme="minorEastAsia"/>
                <w:sz w:val="21"/>
                <w:szCs w:val="21"/>
              </w:rPr>
              <w:t>结余</w:t>
            </w:r>
            <w:r>
              <w:rPr>
                <w:rFonts w:hint="eastAsia" w:cs="宋体" w:asciiTheme="minorEastAsia" w:hAnsiTheme="minorEastAsia" w:eastAsiaTheme="minorEastAsia"/>
                <w:sz w:val="21"/>
                <w:szCs w:val="21"/>
              </w:rPr>
              <w:t>率</w:t>
            </w:r>
          </w:p>
        </w:tc>
        <w:tc>
          <w:tcPr>
            <w:tcW w:w="1155" w:type="dxa"/>
            <w:vAlign w:val="center"/>
          </w:tcPr>
          <w:p w14:paraId="53FFCE0B">
            <w:pPr>
              <w:jc w:val="center"/>
              <w:textAlignment w:val="center"/>
              <w:rPr>
                <w:rFonts w:cs="宋体" w:asciiTheme="minorEastAsia" w:hAnsiTheme="minorEastAsia" w:eastAsiaTheme="minorEastAsia"/>
                <w:sz w:val="21"/>
                <w:szCs w:val="21"/>
              </w:rPr>
            </w:pPr>
            <w:r>
              <w:rPr>
                <w:rFonts w:hint="eastAsia" w:ascii="宋体" w:hAnsi="宋体" w:eastAsia="宋体" w:cs="宋体"/>
                <w:color w:val="000000"/>
                <w:sz w:val="24"/>
                <w:szCs w:val="24"/>
                <w:lang w:bidi="ar"/>
              </w:rPr>
              <w:t>4</w:t>
            </w:r>
          </w:p>
        </w:tc>
        <w:tc>
          <w:tcPr>
            <w:tcW w:w="1276" w:type="dxa"/>
            <w:vAlign w:val="center"/>
          </w:tcPr>
          <w:p w14:paraId="1790528B">
            <w:pPr>
              <w:jc w:val="center"/>
              <w:textAlignment w:val="center"/>
              <w:rPr>
                <w:rFonts w:cs="宋体" w:asciiTheme="minorEastAsia" w:hAnsiTheme="minorEastAsia" w:eastAsiaTheme="minorEastAsia"/>
                <w:sz w:val="21"/>
                <w:szCs w:val="21"/>
              </w:rPr>
            </w:pPr>
            <w:r>
              <w:rPr>
                <w:rFonts w:hint="eastAsia" w:ascii="宋体" w:hAnsi="宋体" w:eastAsia="宋体" w:cs="宋体"/>
                <w:color w:val="000000"/>
                <w:sz w:val="24"/>
                <w:szCs w:val="24"/>
                <w:lang w:bidi="ar"/>
              </w:rPr>
              <w:t>4</w:t>
            </w:r>
          </w:p>
        </w:tc>
      </w:tr>
      <w:tr w14:paraId="1D92A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2A16BCB6">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45524FDC">
            <w:pPr>
              <w:spacing w:line="420" w:lineRule="exact"/>
              <w:jc w:val="center"/>
              <w:rPr>
                <w:rFonts w:cs="宋体" w:asciiTheme="minorEastAsia" w:hAnsiTheme="minorEastAsia" w:eastAsiaTheme="minorEastAsia"/>
                <w:sz w:val="21"/>
                <w:szCs w:val="21"/>
              </w:rPr>
            </w:pPr>
          </w:p>
        </w:tc>
        <w:tc>
          <w:tcPr>
            <w:tcW w:w="2277" w:type="dxa"/>
            <w:vAlign w:val="center"/>
          </w:tcPr>
          <w:p w14:paraId="01CE782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公用</w:t>
            </w:r>
            <w:r>
              <w:rPr>
                <w:rFonts w:cs="宋体" w:asciiTheme="minorEastAsia" w:hAnsiTheme="minorEastAsia" w:eastAsiaTheme="minorEastAsia"/>
                <w:sz w:val="21"/>
                <w:szCs w:val="21"/>
              </w:rPr>
              <w:t>经费控制率</w:t>
            </w:r>
          </w:p>
        </w:tc>
        <w:tc>
          <w:tcPr>
            <w:tcW w:w="1155" w:type="dxa"/>
            <w:vAlign w:val="center"/>
          </w:tcPr>
          <w:p w14:paraId="68E5143C">
            <w:pPr>
              <w:jc w:val="center"/>
              <w:textAlignment w:val="center"/>
              <w:rPr>
                <w:rFonts w:cs="宋体" w:asciiTheme="minorEastAsia" w:hAnsiTheme="minorEastAsia" w:eastAsiaTheme="minorEastAsia"/>
                <w:sz w:val="21"/>
                <w:szCs w:val="21"/>
              </w:rPr>
            </w:pPr>
            <w:r>
              <w:rPr>
                <w:rFonts w:hint="eastAsia" w:ascii="宋体" w:hAnsi="宋体" w:eastAsia="宋体" w:cs="宋体"/>
                <w:color w:val="000000"/>
                <w:sz w:val="24"/>
                <w:szCs w:val="24"/>
                <w:lang w:bidi="ar"/>
              </w:rPr>
              <w:t>4</w:t>
            </w:r>
          </w:p>
        </w:tc>
        <w:tc>
          <w:tcPr>
            <w:tcW w:w="1276" w:type="dxa"/>
            <w:vAlign w:val="center"/>
          </w:tcPr>
          <w:p w14:paraId="3746435A">
            <w:pPr>
              <w:jc w:val="center"/>
              <w:textAlignment w:val="center"/>
              <w:rPr>
                <w:rFonts w:cs="宋体" w:asciiTheme="minorEastAsia" w:hAnsiTheme="minorEastAsia" w:eastAsiaTheme="minorEastAsia"/>
                <w:sz w:val="21"/>
                <w:szCs w:val="21"/>
              </w:rPr>
            </w:pPr>
            <w:r>
              <w:rPr>
                <w:rFonts w:ascii="宋体" w:hAnsi="宋体" w:eastAsia="宋体" w:cs="宋体"/>
                <w:color w:val="000000"/>
                <w:sz w:val="24"/>
                <w:szCs w:val="24"/>
                <w:lang w:bidi="ar"/>
              </w:rPr>
              <w:t>4</w:t>
            </w:r>
          </w:p>
        </w:tc>
      </w:tr>
      <w:tr w14:paraId="720E2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1D1E4935">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2DEB25AF">
            <w:pPr>
              <w:spacing w:line="420" w:lineRule="exact"/>
              <w:jc w:val="center"/>
              <w:rPr>
                <w:rFonts w:cs="宋体" w:asciiTheme="minorEastAsia" w:hAnsiTheme="minorEastAsia" w:eastAsiaTheme="minorEastAsia"/>
                <w:sz w:val="21"/>
                <w:szCs w:val="21"/>
              </w:rPr>
            </w:pPr>
          </w:p>
        </w:tc>
        <w:tc>
          <w:tcPr>
            <w:tcW w:w="2277" w:type="dxa"/>
            <w:vAlign w:val="center"/>
          </w:tcPr>
          <w:p w14:paraId="3111839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“三公经费”控制率</w:t>
            </w:r>
          </w:p>
        </w:tc>
        <w:tc>
          <w:tcPr>
            <w:tcW w:w="1155" w:type="dxa"/>
            <w:vAlign w:val="center"/>
          </w:tcPr>
          <w:p w14:paraId="07F2099B">
            <w:pPr>
              <w:jc w:val="center"/>
              <w:textAlignment w:val="center"/>
              <w:rPr>
                <w:rFonts w:cs="宋体" w:asciiTheme="minorEastAsia" w:hAnsiTheme="minorEastAsia" w:eastAsiaTheme="minorEastAsia"/>
                <w:sz w:val="21"/>
                <w:szCs w:val="21"/>
              </w:rPr>
            </w:pPr>
            <w:r>
              <w:rPr>
                <w:rFonts w:hint="eastAsia" w:ascii="宋体" w:hAnsi="宋体" w:eastAsia="宋体" w:cs="宋体"/>
                <w:color w:val="000000"/>
                <w:sz w:val="24"/>
                <w:szCs w:val="24"/>
                <w:lang w:bidi="ar"/>
              </w:rPr>
              <w:t>4</w:t>
            </w:r>
          </w:p>
        </w:tc>
        <w:tc>
          <w:tcPr>
            <w:tcW w:w="1276" w:type="dxa"/>
            <w:vAlign w:val="center"/>
          </w:tcPr>
          <w:p w14:paraId="6B67394D">
            <w:pPr>
              <w:jc w:val="center"/>
              <w:textAlignment w:val="center"/>
              <w:rPr>
                <w:rFonts w:cs="宋体" w:asciiTheme="minorEastAsia" w:hAnsiTheme="minorEastAsia" w:eastAsiaTheme="minorEastAsia"/>
                <w:sz w:val="21"/>
                <w:szCs w:val="21"/>
              </w:rPr>
            </w:pPr>
            <w:r>
              <w:rPr>
                <w:rFonts w:hint="eastAsia" w:ascii="宋体" w:hAnsi="宋体" w:eastAsia="宋体" w:cs="宋体"/>
                <w:color w:val="000000"/>
                <w:sz w:val="24"/>
                <w:szCs w:val="24"/>
                <w:lang w:bidi="ar"/>
              </w:rPr>
              <w:t>4</w:t>
            </w:r>
          </w:p>
        </w:tc>
      </w:tr>
      <w:tr w14:paraId="68EE3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253ECE41">
            <w:pPr>
              <w:spacing w:line="420" w:lineRule="exact"/>
              <w:jc w:val="center"/>
              <w:rPr>
                <w:rFonts w:cs="宋体" w:asciiTheme="minorEastAsia" w:hAnsiTheme="minorEastAsia" w:eastAsiaTheme="minorEastAsia"/>
                <w:sz w:val="21"/>
                <w:szCs w:val="21"/>
              </w:rPr>
            </w:pPr>
          </w:p>
        </w:tc>
        <w:tc>
          <w:tcPr>
            <w:tcW w:w="1388" w:type="dxa"/>
            <w:vMerge w:val="restart"/>
            <w:vAlign w:val="center"/>
          </w:tcPr>
          <w:p w14:paraId="757B631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预算管理　（16分）</w:t>
            </w:r>
          </w:p>
        </w:tc>
        <w:tc>
          <w:tcPr>
            <w:tcW w:w="2277" w:type="dxa"/>
            <w:vAlign w:val="center"/>
          </w:tcPr>
          <w:p w14:paraId="19961EA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管理制度健全性</w:t>
            </w:r>
          </w:p>
        </w:tc>
        <w:tc>
          <w:tcPr>
            <w:tcW w:w="1155" w:type="dxa"/>
            <w:vAlign w:val="center"/>
          </w:tcPr>
          <w:p w14:paraId="2F230C0B">
            <w:pPr>
              <w:jc w:val="center"/>
              <w:textAlignment w:val="center"/>
              <w:rPr>
                <w:rFonts w:cs="宋体" w:asciiTheme="minorEastAsia" w:hAnsiTheme="minorEastAsia" w:eastAsiaTheme="minorEastAsia"/>
                <w:sz w:val="21"/>
                <w:szCs w:val="21"/>
              </w:rPr>
            </w:pPr>
            <w:r>
              <w:rPr>
                <w:rFonts w:hint="eastAsia" w:ascii="宋体" w:hAnsi="宋体" w:eastAsia="宋体" w:cs="宋体"/>
                <w:color w:val="000000"/>
                <w:sz w:val="24"/>
                <w:szCs w:val="24"/>
                <w:lang w:bidi="ar"/>
              </w:rPr>
              <w:t>5</w:t>
            </w:r>
          </w:p>
        </w:tc>
        <w:tc>
          <w:tcPr>
            <w:tcW w:w="1276" w:type="dxa"/>
            <w:vAlign w:val="center"/>
          </w:tcPr>
          <w:p w14:paraId="6E91C2E2">
            <w:pPr>
              <w:jc w:val="center"/>
              <w:textAlignment w:val="center"/>
              <w:rPr>
                <w:rFonts w:cs="宋体" w:asciiTheme="minorEastAsia" w:hAnsiTheme="minorEastAsia" w:eastAsiaTheme="minorEastAsia"/>
                <w:sz w:val="21"/>
                <w:szCs w:val="21"/>
              </w:rPr>
            </w:pPr>
            <w:r>
              <w:rPr>
                <w:rFonts w:hint="eastAsia" w:ascii="宋体" w:hAnsi="宋体" w:eastAsia="宋体" w:cs="宋体"/>
                <w:color w:val="000000"/>
                <w:sz w:val="24"/>
                <w:szCs w:val="24"/>
                <w:lang w:bidi="ar"/>
              </w:rPr>
              <w:t>4</w:t>
            </w:r>
          </w:p>
        </w:tc>
      </w:tr>
      <w:tr w14:paraId="44C09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16B96862">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61E64321">
            <w:pPr>
              <w:spacing w:line="420" w:lineRule="exact"/>
              <w:jc w:val="center"/>
              <w:rPr>
                <w:rFonts w:cs="宋体" w:asciiTheme="minorEastAsia" w:hAnsiTheme="minorEastAsia" w:eastAsiaTheme="minorEastAsia"/>
                <w:sz w:val="21"/>
                <w:szCs w:val="21"/>
              </w:rPr>
            </w:pPr>
          </w:p>
        </w:tc>
        <w:tc>
          <w:tcPr>
            <w:tcW w:w="2277" w:type="dxa"/>
            <w:vAlign w:val="center"/>
          </w:tcPr>
          <w:p w14:paraId="59AA266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预决算信息公开</w:t>
            </w:r>
          </w:p>
        </w:tc>
        <w:tc>
          <w:tcPr>
            <w:tcW w:w="1155" w:type="dxa"/>
            <w:vAlign w:val="center"/>
          </w:tcPr>
          <w:p w14:paraId="6F90EA7A">
            <w:pPr>
              <w:jc w:val="center"/>
              <w:textAlignment w:val="center"/>
              <w:rPr>
                <w:rFonts w:cs="宋体" w:asciiTheme="minorEastAsia" w:hAnsiTheme="minorEastAsia" w:eastAsiaTheme="minorEastAsia"/>
                <w:sz w:val="21"/>
                <w:szCs w:val="21"/>
              </w:rPr>
            </w:pPr>
            <w:r>
              <w:rPr>
                <w:rFonts w:hint="eastAsia" w:ascii="宋体" w:hAnsi="宋体" w:eastAsia="宋体" w:cs="宋体"/>
                <w:color w:val="000000"/>
                <w:sz w:val="24"/>
                <w:szCs w:val="24"/>
                <w:lang w:bidi="ar"/>
              </w:rPr>
              <w:t>5</w:t>
            </w:r>
          </w:p>
        </w:tc>
        <w:tc>
          <w:tcPr>
            <w:tcW w:w="1276" w:type="dxa"/>
            <w:vAlign w:val="center"/>
          </w:tcPr>
          <w:p w14:paraId="25804415">
            <w:pPr>
              <w:jc w:val="center"/>
              <w:textAlignment w:val="center"/>
              <w:rPr>
                <w:rFonts w:cs="宋体" w:asciiTheme="minorEastAsia" w:hAnsiTheme="minorEastAsia" w:eastAsiaTheme="minorEastAsia"/>
                <w:sz w:val="21"/>
                <w:szCs w:val="21"/>
              </w:rPr>
            </w:pPr>
            <w:r>
              <w:rPr>
                <w:rFonts w:hint="eastAsia" w:ascii="宋体" w:hAnsi="宋体" w:eastAsia="宋体" w:cs="宋体"/>
                <w:color w:val="000000"/>
                <w:sz w:val="24"/>
                <w:szCs w:val="24"/>
                <w:lang w:bidi="ar"/>
              </w:rPr>
              <w:t>5</w:t>
            </w:r>
          </w:p>
        </w:tc>
      </w:tr>
      <w:tr w14:paraId="01464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2AE94B5C">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52FCD8AB">
            <w:pPr>
              <w:spacing w:line="420" w:lineRule="exact"/>
              <w:jc w:val="center"/>
              <w:rPr>
                <w:rFonts w:cs="宋体" w:asciiTheme="minorEastAsia" w:hAnsiTheme="minorEastAsia" w:eastAsiaTheme="minorEastAsia"/>
                <w:sz w:val="21"/>
                <w:szCs w:val="21"/>
              </w:rPr>
            </w:pPr>
          </w:p>
        </w:tc>
        <w:tc>
          <w:tcPr>
            <w:tcW w:w="2277" w:type="dxa"/>
            <w:vAlign w:val="center"/>
          </w:tcPr>
          <w:p w14:paraId="4911069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基础信息完善性</w:t>
            </w:r>
          </w:p>
        </w:tc>
        <w:tc>
          <w:tcPr>
            <w:tcW w:w="1155" w:type="dxa"/>
            <w:vAlign w:val="center"/>
          </w:tcPr>
          <w:p w14:paraId="2D35B87A">
            <w:pPr>
              <w:jc w:val="center"/>
              <w:textAlignment w:val="center"/>
              <w:rPr>
                <w:rFonts w:cs="宋体" w:asciiTheme="minorEastAsia" w:hAnsiTheme="minorEastAsia" w:eastAsiaTheme="minorEastAsia"/>
                <w:sz w:val="21"/>
                <w:szCs w:val="21"/>
              </w:rPr>
            </w:pPr>
            <w:r>
              <w:rPr>
                <w:rFonts w:hint="eastAsia" w:ascii="宋体" w:hAnsi="宋体" w:eastAsia="宋体" w:cs="宋体"/>
                <w:color w:val="000000"/>
                <w:sz w:val="24"/>
                <w:szCs w:val="24"/>
                <w:lang w:bidi="ar"/>
              </w:rPr>
              <w:t>5</w:t>
            </w:r>
          </w:p>
        </w:tc>
        <w:tc>
          <w:tcPr>
            <w:tcW w:w="1276" w:type="dxa"/>
            <w:vAlign w:val="center"/>
          </w:tcPr>
          <w:p w14:paraId="00F2E4F5">
            <w:pPr>
              <w:jc w:val="center"/>
              <w:textAlignment w:val="center"/>
              <w:rPr>
                <w:rFonts w:cs="宋体" w:asciiTheme="minorEastAsia" w:hAnsiTheme="minorEastAsia" w:eastAsiaTheme="minorEastAsia"/>
                <w:sz w:val="21"/>
                <w:szCs w:val="21"/>
              </w:rPr>
            </w:pPr>
            <w:r>
              <w:rPr>
                <w:rFonts w:hint="eastAsia" w:ascii="宋体" w:hAnsi="宋体" w:eastAsia="宋体" w:cs="宋体"/>
                <w:color w:val="000000"/>
                <w:sz w:val="24"/>
                <w:szCs w:val="24"/>
                <w:lang w:bidi="ar"/>
              </w:rPr>
              <w:t>4</w:t>
            </w:r>
          </w:p>
        </w:tc>
      </w:tr>
      <w:tr w14:paraId="3C926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010B2D03">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24CA8885">
            <w:pPr>
              <w:spacing w:line="420" w:lineRule="exact"/>
              <w:jc w:val="center"/>
              <w:rPr>
                <w:rFonts w:cs="宋体" w:asciiTheme="minorEastAsia" w:hAnsiTheme="minorEastAsia" w:eastAsiaTheme="minorEastAsia"/>
                <w:sz w:val="21"/>
                <w:szCs w:val="21"/>
              </w:rPr>
            </w:pPr>
          </w:p>
        </w:tc>
        <w:tc>
          <w:tcPr>
            <w:tcW w:w="2277" w:type="dxa"/>
            <w:vAlign w:val="center"/>
          </w:tcPr>
          <w:p w14:paraId="08E418E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资金</w:t>
            </w:r>
            <w:r>
              <w:rPr>
                <w:rFonts w:cs="宋体" w:asciiTheme="minorEastAsia" w:hAnsiTheme="minorEastAsia" w:eastAsiaTheme="minorEastAsia"/>
                <w:sz w:val="21"/>
                <w:szCs w:val="21"/>
              </w:rPr>
              <w:t>使用合规</w:t>
            </w:r>
            <w:r>
              <w:rPr>
                <w:rFonts w:hint="eastAsia" w:cs="宋体" w:asciiTheme="minorEastAsia" w:hAnsiTheme="minorEastAsia" w:eastAsiaTheme="minorEastAsia"/>
                <w:sz w:val="21"/>
                <w:szCs w:val="21"/>
              </w:rPr>
              <w:t>性</w:t>
            </w:r>
          </w:p>
        </w:tc>
        <w:tc>
          <w:tcPr>
            <w:tcW w:w="1155" w:type="dxa"/>
            <w:vAlign w:val="center"/>
          </w:tcPr>
          <w:p w14:paraId="319C08D5">
            <w:pPr>
              <w:jc w:val="center"/>
              <w:textAlignment w:val="center"/>
              <w:rPr>
                <w:rFonts w:cs="宋体" w:asciiTheme="minorEastAsia" w:hAnsiTheme="minorEastAsia" w:eastAsiaTheme="minorEastAsia"/>
                <w:sz w:val="21"/>
                <w:szCs w:val="21"/>
              </w:rPr>
            </w:pPr>
            <w:r>
              <w:rPr>
                <w:rFonts w:hint="eastAsia" w:ascii="宋体" w:hAnsi="宋体" w:eastAsia="宋体" w:cs="宋体"/>
                <w:color w:val="000000"/>
                <w:sz w:val="24"/>
                <w:szCs w:val="24"/>
                <w:lang w:bidi="ar"/>
              </w:rPr>
              <w:t>5</w:t>
            </w:r>
          </w:p>
        </w:tc>
        <w:tc>
          <w:tcPr>
            <w:tcW w:w="1276" w:type="dxa"/>
            <w:vAlign w:val="center"/>
          </w:tcPr>
          <w:p w14:paraId="4A0BAA55">
            <w:pPr>
              <w:jc w:val="center"/>
              <w:textAlignment w:val="center"/>
              <w:rPr>
                <w:rFonts w:cs="宋体" w:asciiTheme="minorEastAsia" w:hAnsiTheme="minorEastAsia" w:eastAsiaTheme="minorEastAsia"/>
                <w:sz w:val="21"/>
                <w:szCs w:val="21"/>
              </w:rPr>
            </w:pPr>
            <w:r>
              <w:rPr>
                <w:rFonts w:hint="eastAsia" w:ascii="宋体" w:hAnsi="宋体" w:eastAsia="宋体" w:cs="宋体"/>
                <w:color w:val="000000"/>
                <w:sz w:val="24"/>
                <w:szCs w:val="24"/>
                <w:lang w:bidi="ar"/>
              </w:rPr>
              <w:t>5</w:t>
            </w:r>
          </w:p>
        </w:tc>
      </w:tr>
      <w:tr w14:paraId="6D4B0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7" w:hRule="exact"/>
          <w:jc w:val="center"/>
        </w:trPr>
        <w:tc>
          <w:tcPr>
            <w:tcW w:w="1557" w:type="dxa"/>
            <w:vMerge w:val="continue"/>
            <w:vAlign w:val="center"/>
          </w:tcPr>
          <w:p w14:paraId="5712F903">
            <w:pPr>
              <w:spacing w:line="420" w:lineRule="exact"/>
              <w:jc w:val="center"/>
              <w:rPr>
                <w:rFonts w:cs="宋体" w:asciiTheme="minorEastAsia" w:hAnsiTheme="minorEastAsia" w:eastAsiaTheme="minorEastAsia"/>
                <w:sz w:val="21"/>
                <w:szCs w:val="21"/>
              </w:rPr>
            </w:pPr>
          </w:p>
        </w:tc>
        <w:tc>
          <w:tcPr>
            <w:tcW w:w="1388" w:type="dxa"/>
            <w:vMerge w:val="restart"/>
            <w:vAlign w:val="center"/>
          </w:tcPr>
          <w:p w14:paraId="0DE7DDF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资产</w:t>
            </w:r>
            <w:r>
              <w:rPr>
                <w:rFonts w:cs="宋体" w:asciiTheme="minorEastAsia" w:hAnsiTheme="minorEastAsia" w:eastAsiaTheme="minorEastAsia"/>
                <w:sz w:val="21"/>
                <w:szCs w:val="21"/>
              </w:rPr>
              <w:t>管理</w:t>
            </w:r>
            <w:r>
              <w:rPr>
                <w:rFonts w:hint="eastAsia" w:cs="宋体" w:asciiTheme="minorEastAsia" w:hAnsiTheme="minorEastAsia" w:eastAsiaTheme="minorEastAsia"/>
                <w:sz w:val="21"/>
                <w:szCs w:val="21"/>
              </w:rPr>
              <w:t>　（8分）</w:t>
            </w:r>
          </w:p>
        </w:tc>
        <w:tc>
          <w:tcPr>
            <w:tcW w:w="2277" w:type="dxa"/>
            <w:vAlign w:val="center"/>
          </w:tcPr>
          <w:p w14:paraId="133AA8C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管理</w:t>
            </w:r>
            <w:r>
              <w:rPr>
                <w:rFonts w:cs="宋体" w:asciiTheme="minorEastAsia" w:hAnsiTheme="minorEastAsia" w:eastAsiaTheme="minorEastAsia"/>
                <w:sz w:val="21"/>
                <w:szCs w:val="21"/>
              </w:rPr>
              <w:t>制度健全性</w:t>
            </w:r>
          </w:p>
        </w:tc>
        <w:tc>
          <w:tcPr>
            <w:tcW w:w="1155" w:type="dxa"/>
            <w:vAlign w:val="center"/>
          </w:tcPr>
          <w:p w14:paraId="4C6939D9">
            <w:pPr>
              <w:jc w:val="center"/>
              <w:textAlignment w:val="center"/>
              <w:rPr>
                <w:rFonts w:cs="宋体" w:asciiTheme="minorEastAsia" w:hAnsiTheme="minorEastAsia" w:eastAsiaTheme="minorEastAsia"/>
                <w:sz w:val="21"/>
                <w:szCs w:val="21"/>
              </w:rPr>
            </w:pPr>
            <w:r>
              <w:rPr>
                <w:rFonts w:hint="eastAsia" w:ascii="宋体" w:hAnsi="宋体" w:eastAsia="宋体" w:cs="宋体"/>
                <w:color w:val="000000"/>
                <w:sz w:val="24"/>
                <w:szCs w:val="24"/>
                <w:lang w:bidi="ar"/>
              </w:rPr>
              <w:t>4</w:t>
            </w:r>
          </w:p>
        </w:tc>
        <w:tc>
          <w:tcPr>
            <w:tcW w:w="1276" w:type="dxa"/>
            <w:vAlign w:val="center"/>
          </w:tcPr>
          <w:p w14:paraId="7BDD2114">
            <w:pPr>
              <w:jc w:val="center"/>
              <w:textAlignment w:val="center"/>
              <w:rPr>
                <w:rFonts w:cs="宋体" w:asciiTheme="minorEastAsia" w:hAnsiTheme="minorEastAsia" w:eastAsiaTheme="minorEastAsia"/>
                <w:sz w:val="21"/>
                <w:szCs w:val="21"/>
              </w:rPr>
            </w:pPr>
            <w:r>
              <w:rPr>
                <w:rFonts w:hint="eastAsia" w:ascii="宋体" w:hAnsi="宋体" w:eastAsia="宋体" w:cs="宋体"/>
                <w:color w:val="000000"/>
                <w:sz w:val="24"/>
                <w:szCs w:val="24"/>
                <w:lang w:bidi="ar"/>
              </w:rPr>
              <w:t>3</w:t>
            </w:r>
          </w:p>
        </w:tc>
      </w:tr>
      <w:tr w14:paraId="6C6E3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2" w:hRule="exact"/>
          <w:jc w:val="center"/>
        </w:trPr>
        <w:tc>
          <w:tcPr>
            <w:tcW w:w="1557" w:type="dxa"/>
            <w:vMerge w:val="continue"/>
            <w:vAlign w:val="center"/>
          </w:tcPr>
          <w:p w14:paraId="727F056C">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0DFFF234">
            <w:pPr>
              <w:spacing w:line="420" w:lineRule="exact"/>
              <w:jc w:val="center"/>
              <w:rPr>
                <w:rFonts w:cs="宋体" w:asciiTheme="minorEastAsia" w:hAnsiTheme="minorEastAsia" w:eastAsiaTheme="minorEastAsia"/>
                <w:sz w:val="21"/>
                <w:szCs w:val="21"/>
              </w:rPr>
            </w:pPr>
          </w:p>
        </w:tc>
        <w:tc>
          <w:tcPr>
            <w:tcW w:w="2277" w:type="dxa"/>
            <w:vAlign w:val="center"/>
          </w:tcPr>
          <w:p w14:paraId="2EFB730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资产</w:t>
            </w:r>
            <w:r>
              <w:rPr>
                <w:rFonts w:cs="宋体" w:asciiTheme="minorEastAsia" w:hAnsiTheme="minorEastAsia" w:eastAsiaTheme="minorEastAsia"/>
                <w:sz w:val="21"/>
                <w:szCs w:val="21"/>
              </w:rPr>
              <w:t>管理安全性</w:t>
            </w:r>
          </w:p>
        </w:tc>
        <w:tc>
          <w:tcPr>
            <w:tcW w:w="1155" w:type="dxa"/>
            <w:vAlign w:val="center"/>
          </w:tcPr>
          <w:p w14:paraId="7F77DD74">
            <w:pPr>
              <w:jc w:val="center"/>
              <w:textAlignment w:val="center"/>
              <w:rPr>
                <w:rFonts w:cs="宋体" w:asciiTheme="minorEastAsia" w:hAnsiTheme="minorEastAsia" w:eastAsiaTheme="minorEastAsia"/>
                <w:sz w:val="21"/>
                <w:szCs w:val="21"/>
              </w:rPr>
            </w:pPr>
            <w:r>
              <w:rPr>
                <w:rFonts w:hint="eastAsia" w:ascii="宋体" w:hAnsi="宋体" w:eastAsia="宋体" w:cs="宋体"/>
                <w:color w:val="000000"/>
                <w:sz w:val="24"/>
                <w:szCs w:val="24"/>
                <w:lang w:bidi="ar"/>
              </w:rPr>
              <w:t>4</w:t>
            </w:r>
          </w:p>
        </w:tc>
        <w:tc>
          <w:tcPr>
            <w:tcW w:w="1276" w:type="dxa"/>
            <w:vAlign w:val="center"/>
          </w:tcPr>
          <w:p w14:paraId="3477A127">
            <w:pPr>
              <w:jc w:val="center"/>
              <w:textAlignment w:val="center"/>
              <w:rPr>
                <w:rFonts w:cs="宋体" w:asciiTheme="minorEastAsia" w:hAnsiTheme="minorEastAsia" w:eastAsiaTheme="minorEastAsia"/>
                <w:sz w:val="21"/>
                <w:szCs w:val="21"/>
              </w:rPr>
            </w:pPr>
            <w:r>
              <w:rPr>
                <w:rFonts w:hint="eastAsia" w:ascii="宋体" w:hAnsi="宋体" w:eastAsia="宋体" w:cs="宋体"/>
                <w:color w:val="000000"/>
                <w:sz w:val="24"/>
                <w:szCs w:val="24"/>
                <w:lang w:bidi="ar"/>
              </w:rPr>
              <w:t>4</w:t>
            </w:r>
          </w:p>
        </w:tc>
      </w:tr>
      <w:tr w14:paraId="176B1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2945" w:type="dxa"/>
            <w:gridSpan w:val="2"/>
            <w:vAlign w:val="center"/>
          </w:tcPr>
          <w:p w14:paraId="5A8CABB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277" w:type="dxa"/>
            <w:vAlign w:val="center"/>
          </w:tcPr>
          <w:p w14:paraId="61A422C8">
            <w:pPr>
              <w:spacing w:line="420" w:lineRule="exact"/>
              <w:jc w:val="center"/>
              <w:rPr>
                <w:rFonts w:cs="宋体" w:asciiTheme="minorEastAsia" w:hAnsiTheme="minorEastAsia" w:eastAsiaTheme="minorEastAsia"/>
                <w:sz w:val="21"/>
                <w:szCs w:val="21"/>
              </w:rPr>
            </w:pPr>
          </w:p>
        </w:tc>
        <w:tc>
          <w:tcPr>
            <w:tcW w:w="1155" w:type="dxa"/>
            <w:vAlign w:val="center"/>
          </w:tcPr>
          <w:p w14:paraId="70D73F4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48</w:t>
            </w:r>
          </w:p>
        </w:tc>
        <w:tc>
          <w:tcPr>
            <w:tcW w:w="1276" w:type="dxa"/>
            <w:vAlign w:val="center"/>
          </w:tcPr>
          <w:p w14:paraId="0CA4555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r>
              <w:rPr>
                <w:rFonts w:cs="宋体" w:asciiTheme="minorEastAsia" w:hAnsiTheme="minorEastAsia" w:eastAsiaTheme="minorEastAsia"/>
                <w:sz w:val="21"/>
                <w:szCs w:val="21"/>
              </w:rPr>
              <w:t>3</w:t>
            </w:r>
          </w:p>
        </w:tc>
      </w:tr>
      <w:bookmarkEnd w:id="63"/>
    </w:tbl>
    <w:p w14:paraId="01A6D4DA">
      <w:pPr>
        <w:spacing w:after="0" w:line="360" w:lineRule="auto"/>
        <w:ind w:firstLine="640" w:firstLineChars="200"/>
        <w:jc w:val="both"/>
        <w:textAlignment w:val="baseline"/>
        <w:rPr>
          <w:rFonts w:ascii="仿宋_GB2312" w:eastAsia="仿宋_GB2312" w:cs="DengXian-Regular"/>
          <w:sz w:val="32"/>
          <w:szCs w:val="32"/>
        </w:rPr>
      </w:pPr>
      <w:bookmarkStart w:id="64" w:name="_Toc464638487"/>
      <w:bookmarkStart w:id="65" w:name="_Toc465149514"/>
      <w:r>
        <w:rPr>
          <w:rFonts w:hint="eastAsia" w:ascii="仿宋_GB2312" w:eastAsia="仿宋_GB2312" w:cs="DengXian-Regular"/>
          <w:sz w:val="32"/>
          <w:szCs w:val="32"/>
        </w:rPr>
        <w:t>1.预算执行（2</w:t>
      </w:r>
      <w:r>
        <w:rPr>
          <w:rFonts w:ascii="仿宋_GB2312" w:eastAsia="仿宋_GB2312" w:cs="DengXian-Regular"/>
          <w:sz w:val="32"/>
          <w:szCs w:val="32"/>
        </w:rPr>
        <w:t>0</w:t>
      </w:r>
      <w:r>
        <w:rPr>
          <w:rFonts w:hint="eastAsia" w:ascii="仿宋_GB2312" w:eastAsia="仿宋_GB2312" w:cs="DengXian-Regular"/>
          <w:sz w:val="32"/>
          <w:szCs w:val="32"/>
        </w:rPr>
        <w:t>分）</w:t>
      </w:r>
    </w:p>
    <w:p w14:paraId="78404EE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w:t>
      </w:r>
      <w:r>
        <w:rPr>
          <w:rFonts w:ascii="仿宋_GB2312" w:eastAsia="仿宋_GB2312" w:cs="DengXian-Regular"/>
          <w:sz w:val="32"/>
          <w:szCs w:val="32"/>
        </w:rPr>
        <w:t>算</w:t>
      </w:r>
      <w:r>
        <w:rPr>
          <w:rFonts w:hint="eastAsia" w:ascii="仿宋_GB2312" w:eastAsia="仿宋_GB2312" w:cs="DengXian-Regular"/>
          <w:sz w:val="32"/>
          <w:szCs w:val="32"/>
        </w:rPr>
        <w:t>完成率（</w:t>
      </w:r>
      <w:r>
        <w:rPr>
          <w:rFonts w:ascii="仿宋_GB2312" w:eastAsia="仿宋_GB2312" w:cs="DengXian-Regular"/>
          <w:sz w:val="32"/>
          <w:szCs w:val="32"/>
        </w:rPr>
        <w:t>4</w:t>
      </w:r>
      <w:r>
        <w:rPr>
          <w:rFonts w:hint="eastAsia" w:ascii="仿宋_GB2312" w:eastAsia="仿宋_GB2312" w:cs="DengXian-Regular"/>
          <w:sz w:val="32"/>
          <w:szCs w:val="32"/>
        </w:rPr>
        <w:t>分）</w:t>
      </w:r>
    </w:p>
    <w:p w14:paraId="561F544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该指标主要评价部门预算收入的完成情况，用以反映部门预算收入的完成程度，通过收入完成率衡量。</w:t>
      </w:r>
    </w:p>
    <w:p w14:paraId="0AF1DA5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收入完成率=（决算收入/预算收入）×100%。</w:t>
      </w:r>
    </w:p>
    <w:p w14:paraId="7B517F8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根据2022年预算文本、决算文本，2022年收入预算数</w:t>
      </w:r>
      <w:r>
        <w:rPr>
          <w:rFonts w:ascii="仿宋" w:hAnsi="仿宋" w:eastAsia="仿宋"/>
          <w:sz w:val="32"/>
          <w:szCs w:val="32"/>
        </w:rPr>
        <w:t>4106.17</w:t>
      </w:r>
      <w:r>
        <w:rPr>
          <w:rFonts w:hint="eastAsia" w:ascii="仿宋_GB2312" w:eastAsia="仿宋_GB2312" w:cs="DengXian-Regular"/>
          <w:sz w:val="32"/>
          <w:szCs w:val="32"/>
        </w:rPr>
        <w:t>万元，收入决算数</w:t>
      </w:r>
      <w:r>
        <w:rPr>
          <w:rFonts w:ascii="仿宋_GB2312" w:eastAsia="仿宋_GB2312" w:cs="DengXian-Regular"/>
          <w:sz w:val="32"/>
          <w:szCs w:val="32"/>
        </w:rPr>
        <w:t>2909.04</w:t>
      </w:r>
      <w:r>
        <w:rPr>
          <w:rFonts w:hint="eastAsia" w:ascii="仿宋_GB2312" w:eastAsia="仿宋_GB2312" w:cs="DengXian-Regular"/>
          <w:sz w:val="32"/>
          <w:szCs w:val="32"/>
        </w:rPr>
        <w:t>万元，收入完成率=（决算数/预算数）*100%=</w:t>
      </w:r>
      <w:r>
        <w:rPr>
          <w:rFonts w:ascii="仿宋_GB2312" w:eastAsia="仿宋_GB2312" w:cs="DengXian-Regular"/>
          <w:sz w:val="32"/>
          <w:szCs w:val="32"/>
        </w:rPr>
        <w:t>70.85</w:t>
      </w:r>
      <w:r>
        <w:rPr>
          <w:rFonts w:hint="eastAsia" w:ascii="仿宋_GB2312" w:eastAsia="仿宋_GB2312" w:cs="DengXian-Regular"/>
          <w:sz w:val="32"/>
          <w:szCs w:val="32"/>
        </w:rPr>
        <w:t>%。</w:t>
      </w:r>
    </w:p>
    <w:p w14:paraId="0095AAD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3</w:t>
      </w:r>
      <w:r>
        <w:rPr>
          <w:rFonts w:hint="eastAsia" w:ascii="仿宋_GB2312" w:eastAsia="仿宋_GB2312" w:cs="DengXian-Regular"/>
          <w:sz w:val="32"/>
          <w:szCs w:val="32"/>
        </w:rPr>
        <w:t>分。</w:t>
      </w:r>
    </w:p>
    <w:p w14:paraId="08C8DE3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（2）预算调整率（</w:t>
      </w:r>
      <w:r>
        <w:rPr>
          <w:rFonts w:ascii="仿宋_GB2312" w:eastAsia="仿宋_GB2312" w:cs="DengXian-Regular"/>
          <w:sz w:val="32"/>
          <w:szCs w:val="32"/>
        </w:rPr>
        <w:t>4</w:t>
      </w:r>
      <w:r>
        <w:rPr>
          <w:rFonts w:hint="eastAsia" w:ascii="仿宋_GB2312" w:eastAsia="仿宋_GB2312" w:cs="DengXian-Regular"/>
          <w:sz w:val="32"/>
          <w:szCs w:val="32"/>
        </w:rPr>
        <w:t>分）</w:t>
      </w:r>
    </w:p>
    <w:p w14:paraId="1D02B0F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该指标主要评价预算收入的调整情况，进而衡量预算收入编制的准确性，通过预算收入调整率衡量。</w:t>
      </w:r>
    </w:p>
    <w:p w14:paraId="0B4BBAC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预算收入调整率=（调整预算数-年初预算数）/年初预算数*100%</w:t>
      </w:r>
    </w:p>
    <w:p w14:paraId="734A1C1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根据部门</w:t>
      </w:r>
      <w:r>
        <w:rPr>
          <w:rFonts w:ascii="仿宋_GB2312" w:eastAsia="仿宋_GB2312" w:cs="DengXian-Regular"/>
          <w:sz w:val="32"/>
          <w:szCs w:val="32"/>
        </w:rPr>
        <w:t>预算、决算数据查询，</w:t>
      </w:r>
      <w:r>
        <w:rPr>
          <w:rFonts w:hint="eastAsia" w:ascii="仿宋_GB2312" w:eastAsia="仿宋_GB2312" w:cs="DengXian-Regular"/>
          <w:sz w:val="32"/>
          <w:szCs w:val="32"/>
        </w:rPr>
        <w:t>2022年度预算收入的追加数为</w:t>
      </w:r>
      <w:r>
        <w:rPr>
          <w:rFonts w:ascii="仿宋_GB2312" w:eastAsia="仿宋_GB2312" w:cs="DengXian-Regular"/>
          <w:sz w:val="32"/>
          <w:szCs w:val="32"/>
        </w:rPr>
        <w:t>-1197.13</w:t>
      </w:r>
      <w:r>
        <w:rPr>
          <w:rFonts w:hint="eastAsia" w:ascii="仿宋_GB2312" w:eastAsia="仿宋_GB2312" w:cs="DengXian-Regular"/>
          <w:sz w:val="32"/>
          <w:szCs w:val="32"/>
        </w:rPr>
        <w:t>万元，年初预算数为</w:t>
      </w:r>
      <w:r>
        <w:rPr>
          <w:rFonts w:hint="eastAsia" w:ascii="仿宋_GB2312" w:hAnsi="宋体" w:eastAsia="仿宋_GB2312" w:cs="宋体"/>
          <w:sz w:val="32"/>
          <w:szCs w:val="32"/>
        </w:rPr>
        <w:t>4106.17</w:t>
      </w:r>
      <w:r>
        <w:rPr>
          <w:rFonts w:hint="eastAsia" w:ascii="仿宋_GB2312" w:eastAsia="仿宋_GB2312" w:cs="DengXian-Regular"/>
          <w:sz w:val="32"/>
          <w:szCs w:val="32"/>
        </w:rPr>
        <w:t>万元，预算收入调整率为</w:t>
      </w:r>
      <w:r>
        <w:rPr>
          <w:rFonts w:ascii="仿宋_GB2312" w:eastAsia="仿宋_GB2312" w:cs="DengXian-Regular"/>
          <w:sz w:val="32"/>
          <w:szCs w:val="32"/>
        </w:rPr>
        <w:t>29.15</w:t>
      </w:r>
      <w:r>
        <w:rPr>
          <w:rFonts w:hint="eastAsia" w:ascii="仿宋_GB2312" w:eastAsia="仿宋_GB2312" w:cs="DengXian-Regular"/>
          <w:sz w:val="32"/>
          <w:szCs w:val="32"/>
        </w:rPr>
        <w:t>%，预算调整减少了</w:t>
      </w:r>
      <w:r>
        <w:rPr>
          <w:rFonts w:ascii="仿宋_GB2312" w:eastAsia="仿宋_GB2312" w:cs="DengXian-Regular"/>
          <w:sz w:val="32"/>
          <w:szCs w:val="32"/>
        </w:rPr>
        <w:t>29.15</w:t>
      </w:r>
      <w:r>
        <w:rPr>
          <w:rFonts w:hint="eastAsia" w:ascii="仿宋_GB2312" w:eastAsia="仿宋_GB2312" w:cs="DengXian-Regular"/>
          <w:sz w:val="32"/>
          <w:szCs w:val="32"/>
        </w:rPr>
        <w:t>个百分点，调整减少</w:t>
      </w:r>
      <w:r>
        <w:rPr>
          <w:rFonts w:ascii="仿宋_GB2312" w:eastAsia="仿宋_GB2312" w:cs="DengXian-Regular"/>
          <w:sz w:val="32"/>
          <w:szCs w:val="32"/>
        </w:rPr>
        <w:t>数</w:t>
      </w:r>
      <w:r>
        <w:rPr>
          <w:rFonts w:hint="eastAsia" w:ascii="仿宋_GB2312" w:eastAsia="仿宋_GB2312" w:cs="DengXian-Regular"/>
          <w:sz w:val="32"/>
          <w:szCs w:val="32"/>
        </w:rPr>
        <w:t>小</w:t>
      </w:r>
      <w:r>
        <w:rPr>
          <w:rFonts w:ascii="仿宋_GB2312" w:eastAsia="仿宋_GB2312" w:cs="DengXian-Regular"/>
          <w:sz w:val="32"/>
          <w:szCs w:val="32"/>
        </w:rPr>
        <w:t>于</w:t>
      </w:r>
      <w:r>
        <w:rPr>
          <w:rFonts w:hint="eastAsia" w:ascii="仿宋_GB2312" w:eastAsia="仿宋_GB2312" w:cs="DengXian-Regular"/>
          <w:sz w:val="32"/>
          <w:szCs w:val="32"/>
        </w:rPr>
        <w:t>预</w:t>
      </w:r>
      <w:r>
        <w:rPr>
          <w:rFonts w:ascii="仿宋_GB2312" w:eastAsia="仿宋_GB2312" w:cs="DengXian-Regular"/>
          <w:sz w:val="32"/>
          <w:szCs w:val="32"/>
        </w:rPr>
        <w:t>算数，</w:t>
      </w:r>
      <w:r>
        <w:rPr>
          <w:rFonts w:hint="eastAsia" w:ascii="仿宋_GB2312" w:eastAsia="仿宋_GB2312" w:cs="DengXian-Regular"/>
          <w:sz w:val="32"/>
          <w:szCs w:val="32"/>
        </w:rPr>
        <w:t>该项指标实际得分</w:t>
      </w:r>
      <w:r>
        <w:rPr>
          <w:rFonts w:ascii="仿宋_GB2312" w:eastAsia="仿宋_GB2312" w:cs="DengXian-Regular"/>
          <w:sz w:val="32"/>
          <w:szCs w:val="32"/>
        </w:rPr>
        <w:t>3</w:t>
      </w:r>
      <w:r>
        <w:rPr>
          <w:rFonts w:hint="eastAsia" w:ascii="仿宋_GB2312" w:eastAsia="仿宋_GB2312" w:cs="DengXian-Regular"/>
          <w:sz w:val="32"/>
          <w:szCs w:val="32"/>
        </w:rPr>
        <w:t>分。</w:t>
      </w:r>
    </w:p>
    <w:p w14:paraId="7D2520E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（3）结转结余率（</w:t>
      </w:r>
      <w:r>
        <w:rPr>
          <w:rFonts w:ascii="仿宋_GB2312" w:eastAsia="仿宋_GB2312" w:cs="DengXian-Regular"/>
          <w:sz w:val="32"/>
          <w:szCs w:val="32"/>
        </w:rPr>
        <w:t>4</w:t>
      </w:r>
      <w:r>
        <w:rPr>
          <w:rFonts w:hint="eastAsia" w:ascii="仿宋_GB2312" w:eastAsia="仿宋_GB2312" w:cs="DengXian-Regular"/>
          <w:sz w:val="32"/>
          <w:szCs w:val="32"/>
        </w:rPr>
        <w:t>分）</w:t>
      </w:r>
    </w:p>
    <w:p w14:paraId="146BD4C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该指标主要评价部门的结转结余情况，通过结转结余率衡量。</w:t>
      </w:r>
    </w:p>
    <w:p w14:paraId="07CE72D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结转结余率=（本年结转结余数/决算收入数）*100%。</w:t>
      </w:r>
    </w:p>
    <w:p w14:paraId="161883D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根据2022年决算文本及相关资料， 2022年结转结余资金</w:t>
      </w:r>
      <w:r>
        <w:rPr>
          <w:rFonts w:ascii="仿宋_GB2312" w:eastAsia="仿宋_GB2312" w:cs="DengXian-Regular"/>
          <w:sz w:val="32"/>
          <w:szCs w:val="32"/>
        </w:rPr>
        <w:t>0.97</w:t>
      </w:r>
      <w:r>
        <w:rPr>
          <w:rFonts w:hint="eastAsia" w:ascii="仿宋_GB2312" w:eastAsia="仿宋_GB2312" w:cs="DengXian-Regular"/>
          <w:sz w:val="32"/>
          <w:szCs w:val="32"/>
        </w:rPr>
        <w:t>万元，决算收入2909.04万元，结转结余率</w:t>
      </w:r>
      <w:r>
        <w:rPr>
          <w:rFonts w:ascii="仿宋_GB2312" w:eastAsia="仿宋_GB2312" w:cs="DengXian-Regular"/>
          <w:sz w:val="32"/>
          <w:szCs w:val="32"/>
        </w:rPr>
        <w:t>0</w:t>
      </w:r>
      <w:r>
        <w:rPr>
          <w:rFonts w:hint="eastAsia" w:ascii="仿宋_GB2312" w:eastAsia="仿宋_GB2312" w:cs="DengXian-Regular"/>
          <w:sz w:val="32"/>
          <w:szCs w:val="32"/>
        </w:rPr>
        <w:t>%，该项指标实际得分</w:t>
      </w:r>
      <w:r>
        <w:rPr>
          <w:rFonts w:ascii="仿宋_GB2312" w:eastAsia="仿宋_GB2312" w:cs="DengXian-Regular"/>
          <w:sz w:val="32"/>
          <w:szCs w:val="32"/>
        </w:rPr>
        <w:t>4</w:t>
      </w:r>
      <w:r>
        <w:rPr>
          <w:rFonts w:hint="eastAsia" w:ascii="仿宋_GB2312" w:eastAsia="仿宋_GB2312" w:cs="DengXian-Regular"/>
          <w:sz w:val="32"/>
          <w:szCs w:val="32"/>
        </w:rPr>
        <w:t>分。</w:t>
      </w:r>
    </w:p>
    <w:p w14:paraId="4585970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w:t>
      </w:r>
      <w:r>
        <w:rPr>
          <w:rFonts w:ascii="仿宋_GB2312" w:eastAsia="仿宋_GB2312" w:cs="DengXian-Regular"/>
          <w:sz w:val="32"/>
          <w:szCs w:val="32"/>
        </w:rPr>
        <w:t>4</w:t>
      </w:r>
      <w:r>
        <w:rPr>
          <w:rFonts w:hint="eastAsia" w:ascii="仿宋_GB2312" w:eastAsia="仿宋_GB2312" w:cs="DengXian-Regular"/>
          <w:sz w:val="32"/>
          <w:szCs w:val="32"/>
        </w:rPr>
        <w:t>）公用经费控制率（</w:t>
      </w:r>
      <w:r>
        <w:rPr>
          <w:rFonts w:ascii="仿宋_GB2312" w:eastAsia="仿宋_GB2312" w:cs="DengXian-Regular"/>
          <w:sz w:val="32"/>
          <w:szCs w:val="32"/>
        </w:rPr>
        <w:t>4</w:t>
      </w:r>
      <w:r>
        <w:rPr>
          <w:rFonts w:hint="eastAsia" w:ascii="仿宋_GB2312" w:eastAsia="仿宋_GB2312" w:cs="DengXian-Regular"/>
          <w:sz w:val="32"/>
          <w:szCs w:val="32"/>
        </w:rPr>
        <w:t>）</w:t>
      </w:r>
    </w:p>
    <w:p w14:paraId="30FEF66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部门（单位）本年度实际支出的公用经费总额与预算安排的公用经费总额的比率，用以反映和考核部门（单位）对机构运转成本的实际控制程度。</w:t>
      </w:r>
    </w:p>
    <w:p w14:paraId="403F9C9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公用经费控制率=（实际支出公用经费总额/预算安排公用经费总额）×100%。</w:t>
      </w:r>
    </w:p>
    <w:p w14:paraId="6368330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根据2022年决算文本及相关资料， 2022年公用</w:t>
      </w:r>
      <w:r>
        <w:rPr>
          <w:rFonts w:ascii="仿宋_GB2312" w:eastAsia="仿宋_GB2312" w:cs="DengXian-Regular"/>
          <w:sz w:val="32"/>
          <w:szCs w:val="32"/>
        </w:rPr>
        <w:t>经费支出200.95</w:t>
      </w:r>
      <w:r>
        <w:rPr>
          <w:rFonts w:hint="eastAsia" w:ascii="仿宋_GB2312" w:eastAsia="仿宋_GB2312" w:cs="DengXian-Regular"/>
          <w:sz w:val="32"/>
          <w:szCs w:val="32"/>
        </w:rPr>
        <w:t>，预</w:t>
      </w:r>
      <w:r>
        <w:rPr>
          <w:rFonts w:ascii="仿宋_GB2312" w:eastAsia="仿宋_GB2312" w:cs="DengXian-Regular"/>
          <w:sz w:val="32"/>
          <w:szCs w:val="32"/>
        </w:rPr>
        <w:t>算安排200.62</w:t>
      </w:r>
      <w:r>
        <w:rPr>
          <w:rFonts w:hint="eastAsia" w:ascii="仿宋_GB2312" w:eastAsia="仿宋_GB2312" w:cs="DengXian-Regular"/>
          <w:sz w:val="32"/>
          <w:szCs w:val="32"/>
        </w:rPr>
        <w:t>万</w:t>
      </w:r>
      <w:r>
        <w:rPr>
          <w:rFonts w:ascii="仿宋_GB2312" w:eastAsia="仿宋_GB2312" w:cs="DengXian-Regular"/>
          <w:sz w:val="32"/>
          <w:szCs w:val="32"/>
        </w:rPr>
        <w:t>元，公用经费控制率为</w:t>
      </w:r>
      <w:r>
        <w:rPr>
          <w:rFonts w:hint="eastAsia" w:ascii="仿宋_GB2312" w:eastAsia="仿宋_GB2312" w:cs="DengXian-Regular"/>
          <w:sz w:val="32"/>
          <w:szCs w:val="32"/>
        </w:rPr>
        <w:t>1</w:t>
      </w:r>
      <w:r>
        <w:rPr>
          <w:rFonts w:ascii="仿宋_GB2312" w:eastAsia="仿宋_GB2312" w:cs="DengXian-Regular"/>
          <w:sz w:val="32"/>
          <w:szCs w:val="32"/>
        </w:rPr>
        <w:t>00.16</w:t>
      </w:r>
      <w:r>
        <w:rPr>
          <w:rFonts w:hint="eastAsia" w:ascii="仿宋_GB2312" w:eastAsia="仿宋_GB2312" w:cs="DengXian-Regular"/>
          <w:sz w:val="32"/>
          <w:szCs w:val="32"/>
        </w:rPr>
        <w:t>%，该项指标实际得分</w:t>
      </w:r>
      <w:r>
        <w:rPr>
          <w:rFonts w:ascii="仿宋_GB2312" w:eastAsia="仿宋_GB2312" w:cs="DengXian-Regular"/>
          <w:sz w:val="32"/>
          <w:szCs w:val="32"/>
        </w:rPr>
        <w:t>4</w:t>
      </w:r>
      <w:r>
        <w:rPr>
          <w:rFonts w:hint="eastAsia" w:ascii="仿宋_GB2312" w:eastAsia="仿宋_GB2312" w:cs="DengXian-Regular"/>
          <w:sz w:val="32"/>
          <w:szCs w:val="32"/>
        </w:rPr>
        <w:t>分。</w:t>
      </w:r>
    </w:p>
    <w:p w14:paraId="2F79DD3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（5）“三公”经费控制率（</w:t>
      </w:r>
      <w:r>
        <w:rPr>
          <w:rFonts w:ascii="仿宋_GB2312" w:eastAsia="仿宋_GB2312" w:cs="DengXian-Regular"/>
          <w:sz w:val="32"/>
          <w:szCs w:val="32"/>
        </w:rPr>
        <w:t>4</w:t>
      </w:r>
      <w:r>
        <w:rPr>
          <w:rFonts w:hint="eastAsia" w:ascii="仿宋_GB2312" w:eastAsia="仿宋_GB2312" w:cs="DengXian-Regular"/>
          <w:sz w:val="32"/>
          <w:szCs w:val="32"/>
        </w:rPr>
        <w:t>分）</w:t>
      </w:r>
    </w:p>
    <w:p w14:paraId="7128931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该指标主要评价“三公”经费是否得到有效控制，通过“三公”经费控制率来衡量。</w:t>
      </w:r>
    </w:p>
    <w:p w14:paraId="3C9FF32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“三公”经费控制率=（实际支出数/预算数）*100%。</w:t>
      </w:r>
    </w:p>
    <w:p w14:paraId="5F41287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根据区2022年预算文本及决算文本，“三公”经费年初预算数</w:t>
      </w:r>
      <w:r>
        <w:rPr>
          <w:rFonts w:ascii="仿宋_GB2312" w:eastAsia="仿宋_GB2312" w:cs="DengXian-Regular"/>
          <w:sz w:val="32"/>
          <w:szCs w:val="32"/>
        </w:rPr>
        <w:t>17.15</w:t>
      </w:r>
      <w:r>
        <w:rPr>
          <w:rFonts w:hint="eastAsia" w:ascii="仿宋_GB2312" w:eastAsia="仿宋_GB2312" w:cs="DengXian-Regular"/>
          <w:sz w:val="32"/>
          <w:szCs w:val="32"/>
        </w:rPr>
        <w:t>万元，年末决算数</w:t>
      </w:r>
      <w:r>
        <w:rPr>
          <w:rFonts w:ascii="仿宋_GB2312" w:eastAsia="仿宋_GB2312" w:cs="DengXian-Regular"/>
          <w:sz w:val="32"/>
          <w:szCs w:val="32"/>
        </w:rPr>
        <w:t>10.08</w:t>
      </w:r>
      <w:r>
        <w:rPr>
          <w:rFonts w:hint="eastAsia" w:ascii="仿宋_GB2312" w:eastAsia="仿宋_GB2312" w:cs="DengXian-Regular"/>
          <w:sz w:val="32"/>
          <w:szCs w:val="32"/>
        </w:rPr>
        <w:t>万元，“三公”经费控制率=（年末决算数/年初预算数）*100%=</w:t>
      </w:r>
      <w:r>
        <w:rPr>
          <w:rFonts w:ascii="仿宋_GB2312" w:eastAsia="仿宋_GB2312" w:cs="DengXian-Regular"/>
          <w:sz w:val="32"/>
          <w:szCs w:val="32"/>
        </w:rPr>
        <w:t>58.76</w:t>
      </w:r>
      <w:r>
        <w:rPr>
          <w:rFonts w:hint="eastAsia" w:ascii="仿宋_GB2312" w:eastAsia="仿宋_GB2312" w:cs="DengXian-Regular"/>
          <w:sz w:val="32"/>
          <w:szCs w:val="32"/>
        </w:rPr>
        <w:t>%。</w:t>
      </w:r>
    </w:p>
    <w:p w14:paraId="61BA47A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4</w:t>
      </w:r>
      <w:r>
        <w:rPr>
          <w:rFonts w:hint="eastAsia" w:ascii="仿宋_GB2312" w:eastAsia="仿宋_GB2312" w:cs="DengXian-Regular"/>
          <w:sz w:val="32"/>
          <w:szCs w:val="32"/>
        </w:rPr>
        <w:t>分。</w:t>
      </w:r>
    </w:p>
    <w:p w14:paraId="425AC2A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2.预算管理（</w:t>
      </w:r>
      <w:r>
        <w:rPr>
          <w:rFonts w:ascii="仿宋_GB2312" w:eastAsia="仿宋_GB2312" w:cs="DengXian-Regular"/>
          <w:sz w:val="32"/>
          <w:szCs w:val="32"/>
        </w:rPr>
        <w:t>20</w:t>
      </w:r>
      <w:r>
        <w:rPr>
          <w:rFonts w:hint="eastAsia" w:ascii="仿宋_GB2312" w:eastAsia="仿宋_GB2312" w:cs="DengXian-Regular"/>
          <w:sz w:val="32"/>
          <w:szCs w:val="32"/>
        </w:rPr>
        <w:t>分）</w:t>
      </w:r>
    </w:p>
    <w:p w14:paraId="2EE97DD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（1）管理制度健全性（</w:t>
      </w:r>
      <w:r>
        <w:rPr>
          <w:rFonts w:ascii="仿宋_GB2312" w:eastAsia="仿宋_GB2312" w:cs="DengXian-Regular"/>
          <w:sz w:val="32"/>
          <w:szCs w:val="32"/>
        </w:rPr>
        <w:t>5</w:t>
      </w:r>
      <w:r>
        <w:rPr>
          <w:rFonts w:hint="eastAsia" w:ascii="仿宋_GB2312" w:eastAsia="仿宋_GB2312" w:cs="DengXian-Regular"/>
          <w:sz w:val="32"/>
          <w:szCs w:val="32"/>
        </w:rPr>
        <w:t>分）</w:t>
      </w:r>
    </w:p>
    <w:p w14:paraId="4E8D9BC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该指标主要评价部门是否制定资金管理办法、财务管理制度、会计核算制度等相关内部控制制度，制度执行是否得到有效执行。</w:t>
      </w:r>
    </w:p>
    <w:p w14:paraId="299D6EF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崔</w:t>
      </w:r>
      <w:r>
        <w:rPr>
          <w:rFonts w:ascii="仿宋_GB2312" w:eastAsia="仿宋_GB2312" w:cs="DengXian-Regular"/>
          <w:sz w:val="32"/>
          <w:szCs w:val="32"/>
        </w:rPr>
        <w:t>庄镇</w:t>
      </w:r>
      <w:r>
        <w:rPr>
          <w:rFonts w:hint="eastAsia" w:ascii="仿宋_GB2312" w:eastAsia="仿宋_GB2312" w:cs="DengXian-Regular"/>
          <w:sz w:val="32"/>
          <w:szCs w:val="32"/>
        </w:rPr>
        <w:t>工作制度涵盖了预算</w:t>
      </w:r>
      <w:r>
        <w:rPr>
          <w:rFonts w:ascii="仿宋_GB2312" w:eastAsia="仿宋_GB2312" w:cs="DengXian-Regular"/>
          <w:sz w:val="32"/>
          <w:szCs w:val="32"/>
        </w:rPr>
        <w:t>管理制度、</w:t>
      </w:r>
      <w:r>
        <w:rPr>
          <w:rFonts w:hint="eastAsia" w:ascii="仿宋_GB2312" w:eastAsia="仿宋_GB2312" w:cs="DengXian-Regular"/>
          <w:sz w:val="32"/>
          <w:szCs w:val="32"/>
        </w:rPr>
        <w:t>财务收支</w:t>
      </w:r>
      <w:r>
        <w:rPr>
          <w:rFonts w:ascii="仿宋_GB2312" w:eastAsia="仿宋_GB2312" w:cs="DengXian-Regular"/>
          <w:sz w:val="32"/>
          <w:szCs w:val="32"/>
        </w:rPr>
        <w:t>管理</w:t>
      </w:r>
      <w:r>
        <w:rPr>
          <w:rFonts w:hint="eastAsia" w:ascii="仿宋_GB2312" w:eastAsia="仿宋_GB2312" w:cs="DengXian-Regular"/>
          <w:sz w:val="32"/>
          <w:szCs w:val="32"/>
        </w:rPr>
        <w:t>制度、国有资产</w:t>
      </w:r>
      <w:r>
        <w:rPr>
          <w:rFonts w:ascii="仿宋_GB2312" w:eastAsia="仿宋_GB2312" w:cs="DengXian-Regular"/>
          <w:sz w:val="32"/>
          <w:szCs w:val="32"/>
        </w:rPr>
        <w:t>管理</w:t>
      </w:r>
      <w:r>
        <w:rPr>
          <w:rFonts w:hint="eastAsia" w:ascii="仿宋_GB2312" w:eastAsia="仿宋_GB2312" w:cs="DengXian-Regular"/>
          <w:sz w:val="32"/>
          <w:szCs w:val="32"/>
        </w:rPr>
        <w:t>制度等相关制度，经检查单位付款流程审批单、资产盘点表等资料，崔</w:t>
      </w:r>
      <w:r>
        <w:rPr>
          <w:rFonts w:ascii="仿宋_GB2312" w:eastAsia="仿宋_GB2312" w:cs="DengXian-Regular"/>
          <w:sz w:val="32"/>
          <w:szCs w:val="32"/>
        </w:rPr>
        <w:t>庄镇</w:t>
      </w:r>
      <w:r>
        <w:rPr>
          <w:rFonts w:hint="eastAsia" w:ascii="仿宋_GB2312" w:eastAsia="仿宋_GB2312" w:cs="DengXian-Regular"/>
          <w:sz w:val="32"/>
          <w:szCs w:val="32"/>
        </w:rPr>
        <w:t>已按照相关管理制度的规定执行。</w:t>
      </w:r>
    </w:p>
    <w:p w14:paraId="17B5EAF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ascii="仿宋_GB2312" w:eastAsia="仿宋_GB2312" w:cs="DengXian-Regular"/>
          <w:sz w:val="32"/>
          <w:szCs w:val="32"/>
        </w:rPr>
        <w:t>4</w:t>
      </w:r>
      <w:r>
        <w:rPr>
          <w:rFonts w:hint="eastAsia" w:ascii="仿宋_GB2312" w:eastAsia="仿宋_GB2312" w:cs="DengXian-Regular"/>
          <w:sz w:val="32"/>
          <w:szCs w:val="32"/>
        </w:rPr>
        <w:t>分。</w:t>
      </w:r>
    </w:p>
    <w:p w14:paraId="3904EB2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（2）预决算信息公开性（</w:t>
      </w:r>
      <w:r>
        <w:rPr>
          <w:rFonts w:ascii="仿宋_GB2312" w:eastAsia="仿宋_GB2312" w:cs="DengXian-Regular"/>
          <w:sz w:val="32"/>
          <w:szCs w:val="32"/>
        </w:rPr>
        <w:t>5</w:t>
      </w:r>
      <w:r>
        <w:rPr>
          <w:rFonts w:hint="eastAsia" w:ascii="仿宋_GB2312" w:eastAsia="仿宋_GB2312" w:cs="DengXian-Regular"/>
          <w:sz w:val="32"/>
          <w:szCs w:val="32"/>
        </w:rPr>
        <w:t>分）</w:t>
      </w:r>
    </w:p>
    <w:p w14:paraId="0CBD87E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该指标主要评价部门是否按照政府信息公开的有关要求在相关网站公开部门预算、预算执行情况、年度工作任务等相关信息。</w:t>
      </w:r>
    </w:p>
    <w:p w14:paraId="5E12F81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崔</w:t>
      </w:r>
      <w:r>
        <w:rPr>
          <w:rFonts w:ascii="仿宋_GB2312" w:eastAsia="仿宋_GB2312" w:cs="DengXian-Regular"/>
          <w:sz w:val="32"/>
          <w:szCs w:val="32"/>
        </w:rPr>
        <w:t>庄镇</w:t>
      </w:r>
      <w:r>
        <w:rPr>
          <w:rFonts w:hint="eastAsia" w:ascii="仿宋_GB2312" w:eastAsia="仿宋_GB2312" w:cs="DengXian-Regular"/>
          <w:sz w:val="32"/>
          <w:szCs w:val="32"/>
        </w:rPr>
        <w:t>2022年按政府信息公开的有关要求在保定市徐水区人民政府网公开了2022年的预决算情况、部门责任清单、行政监督清单等相关信息。</w:t>
      </w:r>
    </w:p>
    <w:p w14:paraId="18C36D8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5</w:t>
      </w:r>
      <w:r>
        <w:rPr>
          <w:rFonts w:hint="eastAsia" w:ascii="仿宋_GB2312" w:eastAsia="仿宋_GB2312" w:cs="DengXian-Regular"/>
          <w:sz w:val="32"/>
          <w:szCs w:val="32"/>
        </w:rPr>
        <w:t>分。</w:t>
      </w:r>
    </w:p>
    <w:p w14:paraId="1C4DCD9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（3）基础信息完善性（</w:t>
      </w:r>
      <w:r>
        <w:rPr>
          <w:rFonts w:ascii="仿宋_GB2312" w:eastAsia="仿宋_GB2312" w:cs="DengXian-Regular"/>
          <w:sz w:val="32"/>
          <w:szCs w:val="32"/>
        </w:rPr>
        <w:t>5</w:t>
      </w:r>
      <w:r>
        <w:rPr>
          <w:rFonts w:hint="eastAsia" w:ascii="仿宋_GB2312" w:eastAsia="仿宋_GB2312" w:cs="DengXian-Regular"/>
          <w:sz w:val="32"/>
          <w:szCs w:val="32"/>
        </w:rPr>
        <w:t>分）</w:t>
      </w:r>
    </w:p>
    <w:p w14:paraId="6FD4721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该指标主要评价基础数据信息和财务信息资料是否真实、完整。</w:t>
      </w:r>
    </w:p>
    <w:p w14:paraId="4428E51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根据崔</w:t>
      </w:r>
      <w:r>
        <w:rPr>
          <w:rFonts w:ascii="仿宋_GB2312" w:eastAsia="仿宋_GB2312" w:cs="DengXian-Regular"/>
          <w:sz w:val="32"/>
          <w:szCs w:val="32"/>
        </w:rPr>
        <w:t>庄镇部门</w:t>
      </w:r>
      <w:r>
        <w:rPr>
          <w:rFonts w:hint="eastAsia" w:ascii="仿宋_GB2312" w:eastAsia="仿宋_GB2312" w:cs="DengXian-Regular"/>
          <w:sz w:val="32"/>
          <w:szCs w:val="32"/>
        </w:rPr>
        <w:t>的会计账簿、凭证及其他相关资料，崔</w:t>
      </w:r>
      <w:r>
        <w:rPr>
          <w:rFonts w:ascii="仿宋_GB2312" w:eastAsia="仿宋_GB2312" w:cs="DengXian-Regular"/>
          <w:sz w:val="32"/>
          <w:szCs w:val="32"/>
        </w:rPr>
        <w:t>庄镇</w:t>
      </w:r>
      <w:r>
        <w:rPr>
          <w:rFonts w:hint="eastAsia" w:ascii="仿宋_GB2312" w:eastAsia="仿宋_GB2312" w:cs="DengXian-Regular"/>
          <w:sz w:val="32"/>
          <w:szCs w:val="32"/>
        </w:rPr>
        <w:t>会计信息资料真实完整，</w:t>
      </w:r>
    </w:p>
    <w:p w14:paraId="6FE8B6C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4</w:t>
      </w:r>
      <w:r>
        <w:rPr>
          <w:rFonts w:hint="eastAsia" w:ascii="仿宋_GB2312" w:eastAsia="仿宋_GB2312" w:cs="DengXian-Regular"/>
          <w:sz w:val="32"/>
          <w:szCs w:val="32"/>
        </w:rPr>
        <w:t>分。</w:t>
      </w:r>
    </w:p>
    <w:p w14:paraId="4DB90F4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（4）资产管理合规性（</w:t>
      </w:r>
      <w:r>
        <w:rPr>
          <w:rFonts w:ascii="仿宋_GB2312" w:eastAsia="仿宋_GB2312" w:cs="DengXian-Regular"/>
          <w:sz w:val="32"/>
          <w:szCs w:val="32"/>
        </w:rPr>
        <w:t>5</w:t>
      </w:r>
      <w:r>
        <w:rPr>
          <w:rFonts w:hint="eastAsia" w:ascii="仿宋_GB2312" w:eastAsia="仿宋_GB2312" w:cs="DengXian-Regular"/>
          <w:sz w:val="32"/>
          <w:szCs w:val="32"/>
        </w:rPr>
        <w:t>分）</w:t>
      </w:r>
    </w:p>
    <w:p w14:paraId="4F8C74C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该指标主要评价资产管理是否规范，是否建立资产台账，新增资产是否符合规定程序和规定标准，资产的配置是否合规，资产保存是否完整。</w:t>
      </w:r>
    </w:p>
    <w:p w14:paraId="5A69E46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崔</w:t>
      </w:r>
      <w:r>
        <w:rPr>
          <w:rFonts w:ascii="仿宋_GB2312" w:eastAsia="仿宋_GB2312" w:cs="DengXian-Regular"/>
          <w:sz w:val="32"/>
          <w:szCs w:val="32"/>
        </w:rPr>
        <w:t>庄镇</w:t>
      </w:r>
      <w:r>
        <w:rPr>
          <w:rFonts w:hint="eastAsia" w:ascii="仿宋_GB2312" w:eastAsia="仿宋_GB2312" w:cs="DengXian-Regular"/>
          <w:sz w:val="32"/>
          <w:szCs w:val="32"/>
        </w:rPr>
        <w:t>建立了固定资产台账、无形资产台账，资产保存完整，2022年新增资产购置手续完备，配置符合要求，资产管理整体较规范。</w:t>
      </w:r>
    </w:p>
    <w:p w14:paraId="2B6BBD3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ascii="仿宋_GB2312" w:eastAsia="仿宋_GB2312" w:cs="DengXian-Regular"/>
          <w:sz w:val="32"/>
          <w:szCs w:val="32"/>
        </w:rPr>
        <w:t>5</w:t>
      </w:r>
      <w:r>
        <w:rPr>
          <w:rFonts w:hint="eastAsia" w:ascii="仿宋_GB2312" w:eastAsia="仿宋_GB2312" w:cs="DengXian-Regular"/>
          <w:sz w:val="32"/>
          <w:szCs w:val="32"/>
        </w:rPr>
        <w:t>分。</w:t>
      </w:r>
    </w:p>
    <w:p w14:paraId="5F46247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3.资产</w:t>
      </w:r>
      <w:r>
        <w:rPr>
          <w:rFonts w:ascii="仿宋_GB2312" w:eastAsia="仿宋_GB2312" w:cs="DengXian-Regular"/>
          <w:sz w:val="32"/>
          <w:szCs w:val="32"/>
        </w:rPr>
        <w:t>管理</w:t>
      </w:r>
      <w:r>
        <w:rPr>
          <w:rFonts w:hint="eastAsia" w:ascii="仿宋_GB2312" w:eastAsia="仿宋_GB2312" w:cs="DengXian-Regular"/>
          <w:sz w:val="32"/>
          <w:szCs w:val="32"/>
        </w:rPr>
        <w:t>（8分）</w:t>
      </w:r>
    </w:p>
    <w:p w14:paraId="20F0F7D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（1）管理</w:t>
      </w:r>
      <w:r>
        <w:rPr>
          <w:rFonts w:ascii="仿宋_GB2312" w:eastAsia="仿宋_GB2312" w:cs="DengXian-Regular"/>
          <w:sz w:val="32"/>
          <w:szCs w:val="32"/>
        </w:rPr>
        <w:t>制度健全性</w:t>
      </w:r>
      <w:r>
        <w:rPr>
          <w:rFonts w:hint="eastAsia" w:ascii="仿宋_GB2312" w:eastAsia="仿宋_GB2312" w:cs="DengXian-Regular"/>
          <w:sz w:val="32"/>
          <w:szCs w:val="32"/>
        </w:rPr>
        <w:t>（4分）</w:t>
      </w:r>
    </w:p>
    <w:p w14:paraId="5761B9F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该指标主要评价部门（单位）为加强资产管理、规范资产管理行为而制定的管理制度是否健全完整，用以反映和考核部门（单位）资产管理制度对完成主要职责或促进社会发展的保障情况。</w:t>
      </w:r>
    </w:p>
    <w:p w14:paraId="5B27388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崔</w:t>
      </w:r>
      <w:r>
        <w:rPr>
          <w:rFonts w:ascii="仿宋_GB2312" w:eastAsia="仿宋_GB2312" w:cs="DengXian-Regular"/>
          <w:sz w:val="32"/>
          <w:szCs w:val="32"/>
        </w:rPr>
        <w:t>庄镇</w:t>
      </w:r>
      <w:r>
        <w:rPr>
          <w:rFonts w:hint="eastAsia" w:ascii="仿宋_GB2312" w:eastAsia="仿宋_GB2312" w:cs="DengXian-Regular"/>
          <w:sz w:val="32"/>
          <w:szCs w:val="32"/>
        </w:rPr>
        <w:t>已制定资产管理制度，相关资金管理制度合法、合规、完整相关资产管理制度是否得到有效执行。该指标实际得分</w:t>
      </w:r>
      <w:r>
        <w:rPr>
          <w:rFonts w:ascii="仿宋_GB2312" w:eastAsia="仿宋_GB2312" w:cs="DengXian-Regular"/>
          <w:sz w:val="32"/>
          <w:szCs w:val="32"/>
        </w:rPr>
        <w:t>3</w:t>
      </w:r>
      <w:r>
        <w:rPr>
          <w:rFonts w:hint="eastAsia" w:ascii="仿宋_GB2312" w:eastAsia="仿宋_GB2312" w:cs="DengXian-Regular"/>
          <w:sz w:val="32"/>
          <w:szCs w:val="32"/>
        </w:rPr>
        <w:t>分。</w:t>
      </w:r>
    </w:p>
    <w:p w14:paraId="0AB0750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（2）资产管理安全性（4分）</w:t>
      </w:r>
    </w:p>
    <w:p w14:paraId="2E873DA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该指标主要评价部门（单位）的资产是否保存完整、使用合规、配置合理、处置规范、收入及时足额上缴，用以反映和考核部门（单位）资产安全运行情况。</w:t>
      </w:r>
    </w:p>
    <w:p w14:paraId="1555FA6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崔</w:t>
      </w:r>
      <w:r>
        <w:rPr>
          <w:rFonts w:ascii="仿宋_GB2312" w:eastAsia="仿宋_GB2312" w:cs="DengXian-Regular"/>
          <w:sz w:val="32"/>
          <w:szCs w:val="32"/>
        </w:rPr>
        <w:t>庄镇</w:t>
      </w:r>
      <w:r>
        <w:rPr>
          <w:rFonts w:hint="eastAsia" w:ascii="仿宋_GB2312" w:eastAsia="仿宋_GB2312" w:cs="DengXian-Regular"/>
          <w:sz w:val="32"/>
          <w:szCs w:val="32"/>
        </w:rPr>
        <w:t>资产保存完整，资产配置合理，资产处置规范，资产账务管理合规，帐实相符，资产处置收入及时足额上缴。</w:t>
      </w:r>
    </w:p>
    <w:p w14:paraId="1E74121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4</w:t>
      </w:r>
      <w:r>
        <w:rPr>
          <w:rFonts w:hint="eastAsia" w:ascii="仿宋_GB2312" w:eastAsia="仿宋_GB2312" w:cs="DengXian-Regular"/>
          <w:sz w:val="32"/>
          <w:szCs w:val="32"/>
        </w:rPr>
        <w:t>分。</w:t>
      </w:r>
      <w:bookmarkEnd w:id="64"/>
      <w:bookmarkEnd w:id="65"/>
    </w:p>
    <w:p w14:paraId="65E7D46D">
      <w:pPr>
        <w:pStyle w:val="4"/>
        <w:spacing w:before="0" w:after="0"/>
        <w:ind w:firstLine="643" w:firstLineChars="200"/>
        <w:jc w:val="both"/>
        <w:rPr>
          <w:rFonts w:ascii="楷体" w:hAnsi="楷体" w:eastAsia="楷体"/>
          <w:sz w:val="32"/>
        </w:rPr>
      </w:pPr>
      <w:bookmarkStart w:id="66" w:name="_Toc12330"/>
      <w:r>
        <w:rPr>
          <w:rFonts w:hint="eastAsia" w:ascii="楷体" w:hAnsi="楷体" w:eastAsia="楷体"/>
          <w:sz w:val="32"/>
        </w:rPr>
        <w:t>（三）产出（2</w:t>
      </w:r>
      <w:r>
        <w:rPr>
          <w:rFonts w:ascii="楷体" w:hAnsi="楷体" w:eastAsia="楷体"/>
          <w:sz w:val="32"/>
        </w:rPr>
        <w:t>4</w:t>
      </w:r>
      <w:r>
        <w:rPr>
          <w:rFonts w:hint="eastAsia" w:ascii="楷体" w:hAnsi="楷体" w:eastAsia="楷体"/>
          <w:sz w:val="32"/>
        </w:rPr>
        <w:t>分）</w:t>
      </w:r>
      <w:bookmarkEnd w:id="66"/>
    </w:p>
    <w:p w14:paraId="09CD370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该一级指标包含责任履行一个二级指标，三</w:t>
      </w:r>
      <w:r>
        <w:rPr>
          <w:rFonts w:ascii="仿宋_GB2312" w:eastAsia="仿宋_GB2312" w:cs="DengXian-Regular"/>
          <w:sz w:val="32"/>
          <w:szCs w:val="32"/>
        </w:rPr>
        <w:t>个三级指标，</w:t>
      </w:r>
      <w:r>
        <w:rPr>
          <w:rFonts w:hint="eastAsia" w:ascii="仿宋_GB2312" w:eastAsia="仿宋_GB2312" w:cs="DengXian-Regular"/>
          <w:sz w:val="32"/>
          <w:szCs w:val="32"/>
        </w:rPr>
        <w:t>主要反映实际</w:t>
      </w:r>
      <w:r>
        <w:rPr>
          <w:rFonts w:ascii="仿宋_GB2312" w:eastAsia="仿宋_GB2312" w:cs="DengXian-Regular"/>
          <w:sz w:val="32"/>
          <w:szCs w:val="32"/>
        </w:rPr>
        <w:t>完成率、质量达标率、重点工作</w:t>
      </w:r>
      <w:r>
        <w:rPr>
          <w:rFonts w:hint="eastAsia" w:ascii="仿宋_GB2312" w:eastAsia="仿宋_GB2312" w:cs="DengXian-Regular"/>
          <w:sz w:val="32"/>
          <w:szCs w:val="32"/>
        </w:rPr>
        <w:t>办结率。</w:t>
      </w:r>
    </w:p>
    <w:p w14:paraId="20C51B27">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表4  产出指标及得分情况表</w:t>
      </w:r>
    </w:p>
    <w:tbl>
      <w:tblPr>
        <w:tblStyle w:val="23"/>
        <w:tblW w:w="0" w:type="auto"/>
        <w:jc w:val="center"/>
        <w:tblLayout w:type="fixed"/>
        <w:tblCellMar>
          <w:top w:w="15" w:type="dxa"/>
          <w:left w:w="15" w:type="dxa"/>
          <w:bottom w:w="15" w:type="dxa"/>
          <w:right w:w="15" w:type="dxa"/>
        </w:tblCellMar>
      </w:tblPr>
      <w:tblGrid>
        <w:gridCol w:w="1577"/>
        <w:gridCol w:w="1004"/>
        <w:gridCol w:w="2536"/>
        <w:gridCol w:w="1125"/>
        <w:gridCol w:w="853"/>
      </w:tblGrid>
      <w:tr w14:paraId="359561E7">
        <w:tblPrEx>
          <w:tblCellMar>
            <w:top w:w="15" w:type="dxa"/>
            <w:left w:w="15" w:type="dxa"/>
            <w:bottom w:w="15" w:type="dxa"/>
            <w:right w:w="15" w:type="dxa"/>
          </w:tblCellMar>
        </w:tblPrEx>
        <w:trPr>
          <w:trHeight w:val="397" w:hRule="exact"/>
          <w:jc w:val="center"/>
        </w:trPr>
        <w:tc>
          <w:tcPr>
            <w:tcW w:w="1577" w:type="dxa"/>
            <w:tcBorders>
              <w:top w:val="single" w:color="000000" w:sz="4" w:space="0"/>
              <w:left w:val="single" w:color="000000" w:sz="4" w:space="0"/>
              <w:bottom w:val="single" w:color="000000" w:sz="4" w:space="0"/>
              <w:right w:val="single" w:color="000000" w:sz="4" w:space="0"/>
            </w:tcBorders>
            <w:vAlign w:val="center"/>
          </w:tcPr>
          <w:p w14:paraId="44AF7A90">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004" w:type="dxa"/>
            <w:tcBorders>
              <w:top w:val="single" w:color="000000" w:sz="4" w:space="0"/>
              <w:left w:val="single" w:color="000000" w:sz="4" w:space="0"/>
              <w:bottom w:val="single" w:color="000000" w:sz="4" w:space="0"/>
              <w:right w:val="single" w:color="000000" w:sz="4" w:space="0"/>
            </w:tcBorders>
            <w:vAlign w:val="center"/>
          </w:tcPr>
          <w:p w14:paraId="1AFDC686">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536" w:type="dxa"/>
            <w:tcBorders>
              <w:top w:val="single" w:color="000000" w:sz="4" w:space="0"/>
              <w:left w:val="single" w:color="000000" w:sz="4" w:space="0"/>
              <w:bottom w:val="single" w:color="000000" w:sz="4" w:space="0"/>
              <w:right w:val="single" w:color="000000" w:sz="4" w:space="0"/>
            </w:tcBorders>
            <w:vAlign w:val="center"/>
          </w:tcPr>
          <w:p w14:paraId="14B5BEDA">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25" w:type="dxa"/>
            <w:tcBorders>
              <w:top w:val="single" w:color="000000" w:sz="4" w:space="0"/>
              <w:left w:val="single" w:color="000000" w:sz="4" w:space="0"/>
              <w:bottom w:val="single" w:color="000000" w:sz="4" w:space="0"/>
              <w:right w:val="single" w:color="000000" w:sz="4" w:space="0"/>
            </w:tcBorders>
            <w:vAlign w:val="center"/>
          </w:tcPr>
          <w:p w14:paraId="1B675F34">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853" w:type="dxa"/>
            <w:tcBorders>
              <w:top w:val="single" w:color="000000" w:sz="4" w:space="0"/>
              <w:left w:val="single" w:color="000000" w:sz="4" w:space="0"/>
              <w:bottom w:val="single" w:color="000000" w:sz="4" w:space="0"/>
              <w:right w:val="single" w:color="000000" w:sz="4" w:space="0"/>
            </w:tcBorders>
            <w:vAlign w:val="center"/>
          </w:tcPr>
          <w:p w14:paraId="67BC1598">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5A174E1B">
        <w:tblPrEx>
          <w:tblCellMar>
            <w:top w:w="15" w:type="dxa"/>
            <w:left w:w="15" w:type="dxa"/>
            <w:bottom w:w="15" w:type="dxa"/>
            <w:right w:w="15" w:type="dxa"/>
          </w:tblCellMar>
        </w:tblPrEx>
        <w:trPr>
          <w:trHeight w:val="397" w:hRule="exact"/>
          <w:jc w:val="center"/>
        </w:trPr>
        <w:tc>
          <w:tcPr>
            <w:tcW w:w="1577" w:type="dxa"/>
            <w:vMerge w:val="restart"/>
            <w:tcBorders>
              <w:top w:val="single" w:color="000000" w:sz="4" w:space="0"/>
              <w:left w:val="single" w:color="000000" w:sz="4" w:space="0"/>
              <w:bottom w:val="single" w:color="000000" w:sz="4" w:space="0"/>
              <w:right w:val="single" w:color="000000" w:sz="4" w:space="0"/>
            </w:tcBorders>
            <w:vAlign w:val="center"/>
          </w:tcPr>
          <w:p w14:paraId="3ED9B42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产出</w:t>
            </w:r>
          </w:p>
          <w:p w14:paraId="40E1492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r>
              <w:rPr>
                <w:rFonts w:cs="宋体" w:asciiTheme="minorEastAsia" w:hAnsiTheme="minorEastAsia" w:eastAsiaTheme="minorEastAsia"/>
                <w:sz w:val="21"/>
                <w:szCs w:val="21"/>
              </w:rPr>
              <w:t>4</w:t>
            </w:r>
            <w:r>
              <w:rPr>
                <w:rFonts w:hint="eastAsia" w:cs="宋体" w:asciiTheme="minorEastAsia" w:hAnsiTheme="minorEastAsia" w:eastAsiaTheme="minorEastAsia"/>
                <w:sz w:val="21"/>
                <w:szCs w:val="21"/>
              </w:rPr>
              <w:t>分）</w:t>
            </w:r>
          </w:p>
        </w:tc>
        <w:tc>
          <w:tcPr>
            <w:tcW w:w="1004" w:type="dxa"/>
            <w:vMerge w:val="restart"/>
            <w:tcBorders>
              <w:top w:val="single" w:color="000000" w:sz="4" w:space="0"/>
              <w:left w:val="single" w:color="000000" w:sz="4" w:space="0"/>
              <w:right w:val="single" w:color="000000" w:sz="4" w:space="0"/>
            </w:tcBorders>
            <w:vAlign w:val="center"/>
          </w:tcPr>
          <w:p w14:paraId="1DC1641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责任履行（2</w:t>
            </w:r>
            <w:r>
              <w:rPr>
                <w:rFonts w:cs="宋体" w:asciiTheme="minorEastAsia" w:hAnsiTheme="minorEastAsia" w:eastAsiaTheme="minorEastAsia"/>
                <w:sz w:val="21"/>
                <w:szCs w:val="21"/>
              </w:rPr>
              <w:t>4</w:t>
            </w:r>
            <w:r>
              <w:rPr>
                <w:rFonts w:hint="eastAsia" w:cs="宋体" w:asciiTheme="minorEastAsia" w:hAnsiTheme="minorEastAsia" w:eastAsiaTheme="minorEastAsia"/>
                <w:sz w:val="21"/>
                <w:szCs w:val="21"/>
              </w:rPr>
              <w:t>分）</w:t>
            </w:r>
          </w:p>
        </w:tc>
        <w:tc>
          <w:tcPr>
            <w:tcW w:w="2536" w:type="dxa"/>
            <w:tcBorders>
              <w:top w:val="single" w:color="000000" w:sz="4" w:space="0"/>
              <w:left w:val="single" w:color="000000" w:sz="4" w:space="0"/>
              <w:bottom w:val="single" w:color="000000" w:sz="4" w:space="0"/>
              <w:right w:val="single" w:color="000000" w:sz="4" w:space="0"/>
            </w:tcBorders>
            <w:vAlign w:val="center"/>
          </w:tcPr>
          <w:p w14:paraId="1F28D1C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实际</w:t>
            </w:r>
            <w:r>
              <w:rPr>
                <w:rFonts w:cs="宋体" w:asciiTheme="minorEastAsia" w:hAnsiTheme="minorEastAsia" w:eastAsiaTheme="minorEastAsia"/>
                <w:sz w:val="21"/>
                <w:szCs w:val="21"/>
              </w:rPr>
              <w:t>完成</w:t>
            </w:r>
            <w:r>
              <w:rPr>
                <w:rFonts w:hint="eastAsia" w:cs="宋体" w:asciiTheme="minorEastAsia" w:hAnsiTheme="minorEastAsia" w:eastAsiaTheme="minorEastAsia"/>
                <w:sz w:val="21"/>
                <w:szCs w:val="21"/>
              </w:rPr>
              <w:t>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7C043420">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8</w:t>
            </w:r>
          </w:p>
        </w:tc>
        <w:tc>
          <w:tcPr>
            <w:tcW w:w="853" w:type="dxa"/>
            <w:tcBorders>
              <w:top w:val="single" w:color="000000" w:sz="4" w:space="0"/>
              <w:left w:val="single" w:color="000000" w:sz="4" w:space="0"/>
              <w:bottom w:val="single" w:color="000000" w:sz="4" w:space="0"/>
              <w:right w:val="single" w:color="000000" w:sz="4" w:space="0"/>
            </w:tcBorders>
            <w:vAlign w:val="center"/>
          </w:tcPr>
          <w:p w14:paraId="4850AD5B">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7</w:t>
            </w:r>
          </w:p>
        </w:tc>
      </w:tr>
      <w:tr w14:paraId="55F53BA4">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4B1C37AD">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1490C7D5">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114F040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质量</w:t>
            </w:r>
            <w:r>
              <w:rPr>
                <w:rFonts w:cs="宋体" w:asciiTheme="minorEastAsia" w:hAnsiTheme="minorEastAsia" w:eastAsiaTheme="minorEastAsia"/>
                <w:sz w:val="21"/>
                <w:szCs w:val="21"/>
              </w:rPr>
              <w:t>达标</w:t>
            </w:r>
            <w:r>
              <w:rPr>
                <w:rFonts w:hint="eastAsia" w:cs="宋体" w:asciiTheme="minorEastAsia" w:hAnsiTheme="minorEastAsia" w:eastAsiaTheme="minorEastAsia"/>
                <w:sz w:val="21"/>
                <w:szCs w:val="21"/>
              </w:rPr>
              <w:t>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1F597B19">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8</w:t>
            </w:r>
          </w:p>
        </w:tc>
        <w:tc>
          <w:tcPr>
            <w:tcW w:w="853" w:type="dxa"/>
            <w:tcBorders>
              <w:top w:val="single" w:color="000000" w:sz="4" w:space="0"/>
              <w:left w:val="single" w:color="000000" w:sz="4" w:space="0"/>
              <w:bottom w:val="single" w:color="000000" w:sz="4" w:space="0"/>
              <w:right w:val="single" w:color="000000" w:sz="4" w:space="0"/>
            </w:tcBorders>
            <w:vAlign w:val="center"/>
          </w:tcPr>
          <w:p w14:paraId="46D434A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w:t>
            </w:r>
          </w:p>
        </w:tc>
      </w:tr>
      <w:tr w14:paraId="12CF4E88">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3BFDF345">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186A7F1A">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489AC48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重点</w:t>
            </w:r>
            <w:r>
              <w:rPr>
                <w:rFonts w:cs="宋体" w:asciiTheme="minorEastAsia" w:hAnsiTheme="minorEastAsia" w:eastAsiaTheme="minorEastAsia"/>
                <w:sz w:val="21"/>
                <w:szCs w:val="21"/>
              </w:rPr>
              <w:t>工作办结</w:t>
            </w:r>
            <w:r>
              <w:rPr>
                <w:rFonts w:hint="eastAsia" w:cs="宋体" w:asciiTheme="minorEastAsia" w:hAnsiTheme="minorEastAsia" w:eastAsiaTheme="minorEastAsia"/>
                <w:sz w:val="21"/>
                <w:szCs w:val="21"/>
              </w:rPr>
              <w:t>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7472AF88">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8</w:t>
            </w:r>
          </w:p>
        </w:tc>
        <w:tc>
          <w:tcPr>
            <w:tcW w:w="853" w:type="dxa"/>
            <w:tcBorders>
              <w:top w:val="single" w:color="000000" w:sz="4" w:space="0"/>
              <w:left w:val="single" w:color="000000" w:sz="4" w:space="0"/>
              <w:bottom w:val="single" w:color="000000" w:sz="4" w:space="0"/>
              <w:right w:val="single" w:color="000000" w:sz="4" w:space="0"/>
            </w:tcBorders>
            <w:vAlign w:val="center"/>
          </w:tcPr>
          <w:p w14:paraId="6EC4E69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w:t>
            </w:r>
          </w:p>
        </w:tc>
      </w:tr>
      <w:tr w14:paraId="075225F8">
        <w:tblPrEx>
          <w:tblCellMar>
            <w:top w:w="15" w:type="dxa"/>
            <w:left w:w="15" w:type="dxa"/>
            <w:bottom w:w="15" w:type="dxa"/>
            <w:right w:w="15" w:type="dxa"/>
          </w:tblCellMar>
        </w:tblPrEx>
        <w:trPr>
          <w:trHeight w:val="397" w:hRule="exact"/>
          <w:jc w:val="center"/>
        </w:trPr>
        <w:tc>
          <w:tcPr>
            <w:tcW w:w="2581" w:type="dxa"/>
            <w:gridSpan w:val="2"/>
            <w:tcBorders>
              <w:top w:val="single" w:color="000000" w:sz="4" w:space="0"/>
              <w:left w:val="single" w:color="000000" w:sz="4" w:space="0"/>
              <w:bottom w:val="single" w:color="000000" w:sz="4" w:space="0"/>
              <w:right w:val="single" w:color="000000" w:sz="4" w:space="0"/>
            </w:tcBorders>
            <w:vAlign w:val="center"/>
          </w:tcPr>
          <w:p w14:paraId="36046DE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536" w:type="dxa"/>
            <w:tcBorders>
              <w:top w:val="single" w:color="000000" w:sz="4" w:space="0"/>
              <w:left w:val="single" w:color="000000" w:sz="4" w:space="0"/>
              <w:bottom w:val="single" w:color="000000" w:sz="4" w:space="0"/>
              <w:right w:val="single" w:color="000000" w:sz="4" w:space="0"/>
            </w:tcBorders>
            <w:vAlign w:val="center"/>
          </w:tcPr>
          <w:p w14:paraId="62F82C99">
            <w:pPr>
              <w:spacing w:line="420" w:lineRule="exact"/>
              <w:jc w:val="center"/>
              <w:rPr>
                <w:rFonts w:cs="宋体" w:asciiTheme="minorEastAsia" w:hAnsiTheme="minorEastAsia" w:eastAsiaTheme="minorEastAsia"/>
                <w:sz w:val="21"/>
                <w:szCs w:val="21"/>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65D3DDF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r>
              <w:rPr>
                <w:rFonts w:cs="宋体" w:asciiTheme="minorEastAsia" w:hAnsiTheme="minorEastAsia" w:eastAsiaTheme="minorEastAsia"/>
                <w:sz w:val="21"/>
                <w:szCs w:val="21"/>
              </w:rPr>
              <w:t>4</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66A2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24</w:t>
            </w:r>
          </w:p>
        </w:tc>
      </w:tr>
    </w:tbl>
    <w:p w14:paraId="7587547C">
      <w:pPr>
        <w:spacing w:after="0" w:line="360" w:lineRule="auto"/>
        <w:ind w:firstLine="640"/>
        <w:jc w:val="both"/>
        <w:textAlignment w:val="baseline"/>
        <w:rPr>
          <w:rFonts w:ascii="仿宋_GB2312" w:eastAsia="仿宋_GB2312" w:cs="DengXian-Regular"/>
          <w:sz w:val="32"/>
          <w:szCs w:val="32"/>
        </w:rPr>
      </w:pPr>
      <w:bookmarkStart w:id="67" w:name="_Toc465149515"/>
      <w:bookmarkStart w:id="68" w:name="_Toc464638518"/>
      <w:r>
        <w:rPr>
          <w:rFonts w:hint="eastAsia" w:ascii="仿宋_GB2312" w:eastAsia="仿宋_GB2312" w:cs="DengXian-Regular"/>
          <w:sz w:val="32"/>
          <w:szCs w:val="32"/>
        </w:rPr>
        <w:t>1. 实际完成率（</w:t>
      </w:r>
      <w:r>
        <w:rPr>
          <w:rFonts w:ascii="仿宋_GB2312" w:eastAsia="仿宋_GB2312" w:cs="DengXian-Regular"/>
          <w:sz w:val="32"/>
          <w:szCs w:val="32"/>
        </w:rPr>
        <w:t>8</w:t>
      </w:r>
      <w:r>
        <w:rPr>
          <w:rFonts w:hint="eastAsia" w:ascii="仿宋_GB2312" w:eastAsia="仿宋_GB2312" w:cs="DengXian-Regular"/>
          <w:sz w:val="32"/>
          <w:szCs w:val="32"/>
        </w:rPr>
        <w:t>分）</w:t>
      </w:r>
    </w:p>
    <w:p w14:paraId="63C11E7E">
      <w:pPr>
        <w:spacing w:after="0" w:line="360" w:lineRule="auto"/>
        <w:ind w:firstLine="640" w:firstLineChars="200"/>
        <w:jc w:val="both"/>
        <w:textAlignment w:val="baseline"/>
        <w:rPr>
          <w:rFonts w:ascii="仿宋" w:hAnsi="仿宋" w:eastAsia="仿宋"/>
          <w:sz w:val="32"/>
          <w:szCs w:val="32"/>
        </w:rPr>
      </w:pPr>
      <w:r>
        <w:rPr>
          <w:rFonts w:hint="eastAsia" w:ascii="仿宋_GB2312" w:eastAsia="仿宋_GB2312" w:cs="DengXian-Regular"/>
          <w:sz w:val="32"/>
          <w:szCs w:val="32"/>
        </w:rPr>
        <w:t>该指标主要评价</w:t>
      </w:r>
      <w:r>
        <w:rPr>
          <w:rFonts w:hint="eastAsia" w:ascii="仿宋" w:hAnsi="仿宋" w:eastAsia="仿宋"/>
          <w:sz w:val="32"/>
          <w:szCs w:val="32"/>
        </w:rPr>
        <w:t>部门履行职责而实际完成工作数与计划工作数的比率，用以反映和考核部门履职工作任务目标的实现程度。</w:t>
      </w:r>
    </w:p>
    <w:p w14:paraId="02BBB4F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实际完成率=（实际完成工作数/计划工作数）×100%。</w:t>
      </w:r>
    </w:p>
    <w:p w14:paraId="7619745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实际完成工作数：一定时期（年度或规划期）内部门（单位）实际完成工作任务的数量。</w:t>
      </w:r>
    </w:p>
    <w:p w14:paraId="499111F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计划工作数：部门（单位）整体绩效目标确定的一定时期（年度或规划期）内预计完成工作任务的数量。</w:t>
      </w:r>
    </w:p>
    <w:p w14:paraId="5D69F6F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根据部门</w:t>
      </w:r>
      <w:r>
        <w:rPr>
          <w:rFonts w:ascii="仿宋_GB2312" w:eastAsia="仿宋_GB2312" w:cs="DengXian-Regular"/>
          <w:sz w:val="32"/>
          <w:szCs w:val="32"/>
        </w:rPr>
        <w:t>预算、决算数据查询，</w:t>
      </w:r>
      <w:r>
        <w:rPr>
          <w:rFonts w:hint="eastAsia" w:ascii="仿宋_GB2312" w:eastAsia="仿宋_GB2312" w:cs="DengXian-Regular"/>
          <w:sz w:val="32"/>
          <w:szCs w:val="32"/>
        </w:rPr>
        <w:t>2022年度预算支出</w:t>
      </w:r>
      <w:r>
        <w:rPr>
          <w:rFonts w:ascii="仿宋_GB2312" w:eastAsia="仿宋_GB2312" w:cs="Times New Roman" w:hAnsiTheme="minorEastAsia"/>
          <w:sz w:val="32"/>
          <w:szCs w:val="32"/>
          <w:u w:color="000000"/>
        </w:rPr>
        <w:t>4106.17</w:t>
      </w:r>
      <w:r>
        <w:rPr>
          <w:rFonts w:hint="eastAsia" w:ascii="仿宋_GB2312" w:eastAsia="仿宋_GB2312" w:cs="DengXian-Regular"/>
          <w:sz w:val="32"/>
          <w:szCs w:val="32"/>
        </w:rPr>
        <w:t>万</w:t>
      </w:r>
      <w:r>
        <w:rPr>
          <w:rFonts w:ascii="仿宋_GB2312" w:eastAsia="仿宋_GB2312" w:cs="DengXian-Regular"/>
          <w:sz w:val="32"/>
          <w:szCs w:val="32"/>
        </w:rPr>
        <w:t>元，决算支出</w:t>
      </w:r>
      <w:r>
        <w:rPr>
          <w:rFonts w:ascii="仿宋_GB2312" w:eastAsia="仿宋_GB2312" w:cs="Times New Roman" w:hAnsiTheme="minorEastAsia"/>
          <w:sz w:val="32"/>
          <w:szCs w:val="32"/>
          <w:u w:color="000000"/>
        </w:rPr>
        <w:t>2908.06</w:t>
      </w:r>
      <w:r>
        <w:rPr>
          <w:rFonts w:hint="eastAsia" w:ascii="仿宋_GB2312" w:eastAsia="仿宋_GB2312" w:cs="DengXian-Regular"/>
          <w:sz w:val="32"/>
          <w:szCs w:val="32"/>
        </w:rPr>
        <w:t>万</w:t>
      </w:r>
      <w:r>
        <w:rPr>
          <w:rFonts w:ascii="仿宋_GB2312" w:eastAsia="仿宋_GB2312" w:cs="DengXian-Regular"/>
          <w:sz w:val="32"/>
          <w:szCs w:val="32"/>
        </w:rPr>
        <w:t>元，实际完成率为70.82</w:t>
      </w:r>
      <w:r>
        <w:rPr>
          <w:rFonts w:hint="eastAsia" w:ascii="仿宋_GB2312" w:eastAsia="仿宋_GB2312" w:cs="DengXian-Regular"/>
          <w:sz w:val="32"/>
          <w:szCs w:val="32"/>
        </w:rPr>
        <w:t>%，该指标实际得分</w:t>
      </w:r>
      <w:r>
        <w:rPr>
          <w:rFonts w:ascii="仿宋_GB2312" w:eastAsia="仿宋_GB2312" w:cs="DengXian-Regular"/>
          <w:sz w:val="32"/>
          <w:szCs w:val="32"/>
        </w:rPr>
        <w:t>7</w:t>
      </w:r>
      <w:r>
        <w:rPr>
          <w:rFonts w:hint="eastAsia" w:ascii="仿宋_GB2312" w:eastAsia="仿宋_GB2312" w:cs="DengXian-Regular"/>
          <w:sz w:val="32"/>
          <w:szCs w:val="32"/>
        </w:rPr>
        <w:t>分。</w:t>
      </w:r>
    </w:p>
    <w:p w14:paraId="4534F05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w:t>
      </w:r>
      <w:r>
        <w:rPr>
          <w:rFonts w:hint="eastAsia"/>
        </w:rPr>
        <w:t xml:space="preserve"> </w:t>
      </w:r>
      <w:r>
        <w:rPr>
          <w:rFonts w:hint="eastAsia" w:ascii="仿宋_GB2312" w:eastAsia="仿宋_GB2312" w:cs="DengXian-Regular"/>
          <w:sz w:val="32"/>
          <w:szCs w:val="32"/>
        </w:rPr>
        <w:t>质量达标率（</w:t>
      </w:r>
      <w:r>
        <w:rPr>
          <w:rFonts w:ascii="仿宋_GB2312" w:eastAsia="仿宋_GB2312" w:cs="DengXian-Regular"/>
          <w:sz w:val="32"/>
          <w:szCs w:val="32"/>
        </w:rPr>
        <w:t>8</w:t>
      </w:r>
      <w:r>
        <w:rPr>
          <w:rFonts w:hint="eastAsia" w:ascii="仿宋_GB2312" w:eastAsia="仿宋_GB2312" w:cs="DengXian-Regular"/>
          <w:sz w:val="32"/>
          <w:szCs w:val="32"/>
        </w:rPr>
        <w:t>分）</w:t>
      </w:r>
    </w:p>
    <w:p w14:paraId="1AF649A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w:t>
      </w:r>
      <w:r>
        <w:rPr>
          <w:rFonts w:hint="eastAsia" w:ascii="仿宋" w:hAnsi="仿宋" w:eastAsia="仿宋"/>
          <w:sz w:val="32"/>
          <w:szCs w:val="32"/>
        </w:rPr>
        <w:t>部门</w:t>
      </w:r>
      <w:r>
        <w:rPr>
          <w:rFonts w:hint="eastAsia" w:ascii="仿宋_GB2312" w:eastAsia="仿宋_GB2312" w:cs="DengXian-Regular"/>
          <w:sz w:val="32"/>
          <w:szCs w:val="32"/>
        </w:rPr>
        <w:t>达到绩效标准值的实际工作数与计划工作数的比率,用以反映和考核部门履职质量目标的实现程度。</w:t>
      </w:r>
    </w:p>
    <w:p w14:paraId="757436A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质量达标率=（质量达标实际工作数/计划工作数）×100%。</w:t>
      </w:r>
    </w:p>
    <w:p w14:paraId="06626EB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质量达标实际工作数：一定时期（年度或规划期）内部门（单位）实际完成工作数中达到部门绩效目标要求（绩效标准值）的工作任务数量。根据2022年</w:t>
      </w:r>
      <w:r>
        <w:rPr>
          <w:rFonts w:ascii="仿宋_GB2312" w:eastAsia="仿宋_GB2312" w:cs="DengXian-Regular"/>
          <w:sz w:val="32"/>
          <w:szCs w:val="32"/>
        </w:rPr>
        <w:t>各项目绩效目标完成情况，</w:t>
      </w:r>
      <w:r>
        <w:rPr>
          <w:rFonts w:hint="eastAsia" w:ascii="仿宋_GB2312" w:eastAsia="仿宋_GB2312" w:cs="DengXian-Regular"/>
          <w:sz w:val="32"/>
          <w:szCs w:val="32"/>
        </w:rPr>
        <w:t>该指标实际得分</w:t>
      </w:r>
      <w:r>
        <w:rPr>
          <w:rFonts w:ascii="仿宋_GB2312" w:eastAsia="仿宋_GB2312" w:cs="DengXian-Regular"/>
          <w:sz w:val="32"/>
          <w:szCs w:val="32"/>
        </w:rPr>
        <w:t>8</w:t>
      </w:r>
      <w:r>
        <w:rPr>
          <w:rFonts w:hint="eastAsia" w:ascii="仿宋_GB2312" w:eastAsia="仿宋_GB2312" w:cs="DengXian-Regular"/>
          <w:sz w:val="32"/>
          <w:szCs w:val="32"/>
        </w:rPr>
        <w:t>分。</w:t>
      </w:r>
    </w:p>
    <w:p w14:paraId="093EB45C">
      <w:pPr>
        <w:spacing w:after="0" w:line="360" w:lineRule="auto"/>
        <w:ind w:firstLine="640" w:firstLineChars="200"/>
        <w:jc w:val="both"/>
        <w:textAlignment w:val="baseline"/>
        <w:rPr>
          <w:rFonts w:ascii="仿宋_GB2312" w:eastAsia="仿宋_GB2312" w:cs="DengXian-Regular"/>
          <w:sz w:val="32"/>
          <w:szCs w:val="32"/>
        </w:rPr>
      </w:pPr>
      <w:r>
        <w:rPr>
          <w:rFonts w:ascii="仿宋_GB2312" w:eastAsia="仿宋_GB2312" w:cs="DengXian-Regular"/>
          <w:sz w:val="32"/>
          <w:szCs w:val="32"/>
        </w:rPr>
        <w:t>3</w:t>
      </w:r>
      <w:r>
        <w:rPr>
          <w:rFonts w:hint="eastAsia" w:ascii="仿宋_GB2312" w:eastAsia="仿宋_GB2312" w:cs="DengXian-Regular"/>
          <w:sz w:val="32"/>
          <w:szCs w:val="32"/>
        </w:rPr>
        <w:t>.重点</w:t>
      </w:r>
      <w:r>
        <w:rPr>
          <w:rFonts w:ascii="仿宋_GB2312" w:eastAsia="仿宋_GB2312" w:cs="DengXian-Regular"/>
          <w:sz w:val="32"/>
          <w:szCs w:val="32"/>
        </w:rPr>
        <w:t>工作办结</w:t>
      </w:r>
      <w:r>
        <w:rPr>
          <w:rFonts w:hint="eastAsia" w:ascii="仿宋_GB2312" w:eastAsia="仿宋_GB2312" w:cs="DengXian-Regular"/>
          <w:sz w:val="32"/>
          <w:szCs w:val="32"/>
        </w:rPr>
        <w:t>率（</w:t>
      </w:r>
      <w:r>
        <w:rPr>
          <w:rFonts w:ascii="仿宋_GB2312" w:eastAsia="仿宋_GB2312" w:cs="DengXian-Regular"/>
          <w:sz w:val="32"/>
          <w:szCs w:val="32"/>
        </w:rPr>
        <w:t>8</w:t>
      </w:r>
      <w:r>
        <w:rPr>
          <w:rFonts w:hint="eastAsia" w:ascii="仿宋_GB2312" w:eastAsia="仿宋_GB2312" w:cs="DengXian-Regular"/>
          <w:sz w:val="32"/>
          <w:szCs w:val="32"/>
        </w:rPr>
        <w:t>分）</w:t>
      </w:r>
    </w:p>
    <w:p w14:paraId="4599D84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该指标主要评价部门（单位）年度重点工作实际完成数与交办或下达数的比率，用以反映部门（单位）对重点工作的办理落实程度。</w:t>
      </w:r>
    </w:p>
    <w:p w14:paraId="3A0B181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重点工作办结率=（重点工作实际完成数/交办或下达数）×100%。</w:t>
      </w:r>
    </w:p>
    <w:p w14:paraId="56A85E0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重点工作是指党委、政府、人大、相关部门交办或下达的工作任务。根据相关部门交办或下达的工作任务完成</w:t>
      </w:r>
      <w:r>
        <w:rPr>
          <w:rFonts w:ascii="仿宋_GB2312" w:eastAsia="仿宋_GB2312" w:cs="DengXian-Regular"/>
          <w:sz w:val="32"/>
          <w:szCs w:val="32"/>
        </w:rPr>
        <w:t>情况，</w:t>
      </w:r>
      <w:r>
        <w:rPr>
          <w:rFonts w:hint="eastAsia" w:ascii="仿宋_GB2312" w:eastAsia="仿宋_GB2312" w:cs="DengXian-Regular"/>
          <w:sz w:val="32"/>
          <w:szCs w:val="32"/>
        </w:rPr>
        <w:t>该指标实际得分</w:t>
      </w:r>
      <w:r>
        <w:rPr>
          <w:rFonts w:ascii="仿宋_GB2312" w:eastAsia="仿宋_GB2312" w:cs="DengXian-Regular"/>
          <w:sz w:val="32"/>
          <w:szCs w:val="32"/>
        </w:rPr>
        <w:t>8</w:t>
      </w:r>
      <w:r>
        <w:rPr>
          <w:rFonts w:hint="eastAsia" w:ascii="仿宋_GB2312" w:eastAsia="仿宋_GB2312" w:cs="DengXian-Regular"/>
          <w:sz w:val="32"/>
          <w:szCs w:val="32"/>
        </w:rPr>
        <w:t>分。</w:t>
      </w:r>
    </w:p>
    <w:p w14:paraId="142C48C7">
      <w:pPr>
        <w:pStyle w:val="4"/>
        <w:spacing w:before="0" w:after="0"/>
        <w:ind w:firstLine="643" w:firstLineChars="200"/>
        <w:jc w:val="both"/>
        <w:rPr>
          <w:rFonts w:ascii="楷体" w:hAnsi="楷体" w:eastAsia="楷体"/>
          <w:sz w:val="32"/>
        </w:rPr>
      </w:pPr>
      <w:bookmarkStart w:id="69" w:name="_Toc28363"/>
      <w:r>
        <w:rPr>
          <w:rFonts w:hint="eastAsia" w:ascii="楷体" w:hAnsi="楷体" w:eastAsia="楷体"/>
          <w:sz w:val="32"/>
        </w:rPr>
        <w:t>（四）效果</w:t>
      </w:r>
      <w:bookmarkEnd w:id="67"/>
      <w:bookmarkEnd w:id="68"/>
      <w:r>
        <w:rPr>
          <w:rFonts w:hint="eastAsia" w:ascii="楷体" w:hAnsi="楷体" w:eastAsia="楷体"/>
          <w:sz w:val="32"/>
        </w:rPr>
        <w:t>（16）</w:t>
      </w:r>
      <w:bookmarkEnd w:id="69"/>
    </w:p>
    <w:p w14:paraId="01F0B50A">
      <w:pPr>
        <w:spacing w:after="0" w:line="360" w:lineRule="auto"/>
        <w:ind w:firstLine="640" w:firstLineChars="200"/>
        <w:jc w:val="both"/>
        <w:textAlignment w:val="baseline"/>
        <w:rPr>
          <w:rFonts w:ascii="仿宋_GB2312" w:eastAsia="仿宋_GB2312" w:cs="DengXian-Regular"/>
          <w:sz w:val="32"/>
          <w:szCs w:val="32"/>
        </w:rPr>
      </w:pPr>
      <w:bookmarkStart w:id="70" w:name="_Toc464638520"/>
      <w:r>
        <w:rPr>
          <w:rFonts w:hint="eastAsia" w:ascii="仿宋_GB2312" w:eastAsia="仿宋_GB2312" w:cs="DengXian-Regular"/>
          <w:sz w:val="32"/>
          <w:szCs w:val="32"/>
        </w:rPr>
        <w:t>该一级指标包含履职效益一个二级指标。主要反映部门履行职责对社会发展所带来的直接或间接效益及社会公众或部门的服务对象对部门履职效果的满意程度。</w:t>
      </w:r>
    </w:p>
    <w:p w14:paraId="0A5E03B2">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表5  效果指标及得分情况表</w:t>
      </w:r>
    </w:p>
    <w:tbl>
      <w:tblPr>
        <w:tblStyle w:val="23"/>
        <w:tblW w:w="0" w:type="auto"/>
        <w:jc w:val="center"/>
        <w:tblLayout w:type="fixed"/>
        <w:tblCellMar>
          <w:top w:w="15" w:type="dxa"/>
          <w:left w:w="15" w:type="dxa"/>
          <w:bottom w:w="15" w:type="dxa"/>
          <w:right w:w="15" w:type="dxa"/>
        </w:tblCellMar>
      </w:tblPr>
      <w:tblGrid>
        <w:gridCol w:w="1468"/>
        <w:gridCol w:w="1155"/>
        <w:gridCol w:w="2130"/>
        <w:gridCol w:w="1200"/>
        <w:gridCol w:w="1045"/>
      </w:tblGrid>
      <w:tr w14:paraId="49904C64">
        <w:tblPrEx>
          <w:tblCellMar>
            <w:top w:w="15" w:type="dxa"/>
            <w:left w:w="15" w:type="dxa"/>
            <w:bottom w:w="15" w:type="dxa"/>
            <w:right w:w="15" w:type="dxa"/>
          </w:tblCellMar>
        </w:tblPrEx>
        <w:trPr>
          <w:trHeight w:val="397" w:hRule="exact"/>
          <w:jc w:val="center"/>
        </w:trPr>
        <w:tc>
          <w:tcPr>
            <w:tcW w:w="1468" w:type="dxa"/>
            <w:tcBorders>
              <w:top w:val="single" w:color="000000" w:sz="4" w:space="0"/>
              <w:left w:val="single" w:color="000000" w:sz="4" w:space="0"/>
              <w:bottom w:val="single" w:color="000000" w:sz="4" w:space="0"/>
              <w:right w:val="single" w:color="000000" w:sz="4" w:space="0"/>
            </w:tcBorders>
            <w:vAlign w:val="center"/>
          </w:tcPr>
          <w:p w14:paraId="53C08CF2">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155" w:type="dxa"/>
            <w:tcBorders>
              <w:top w:val="single" w:color="000000" w:sz="4" w:space="0"/>
              <w:left w:val="single" w:color="000000" w:sz="4" w:space="0"/>
              <w:bottom w:val="single" w:color="000000" w:sz="4" w:space="0"/>
              <w:right w:val="single" w:color="000000" w:sz="4" w:space="0"/>
            </w:tcBorders>
            <w:vAlign w:val="center"/>
          </w:tcPr>
          <w:p w14:paraId="1CEC031D">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130" w:type="dxa"/>
            <w:tcBorders>
              <w:top w:val="single" w:color="000000" w:sz="4" w:space="0"/>
              <w:left w:val="single" w:color="000000" w:sz="4" w:space="0"/>
              <w:bottom w:val="single" w:color="000000" w:sz="4" w:space="0"/>
              <w:right w:val="single" w:color="000000" w:sz="4" w:space="0"/>
            </w:tcBorders>
            <w:vAlign w:val="center"/>
          </w:tcPr>
          <w:p w14:paraId="2540269C">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200" w:type="dxa"/>
            <w:tcBorders>
              <w:top w:val="single" w:color="000000" w:sz="4" w:space="0"/>
              <w:left w:val="single" w:color="000000" w:sz="4" w:space="0"/>
              <w:bottom w:val="single" w:color="000000" w:sz="4" w:space="0"/>
              <w:right w:val="single" w:color="000000" w:sz="4" w:space="0"/>
            </w:tcBorders>
            <w:vAlign w:val="center"/>
          </w:tcPr>
          <w:p w14:paraId="2915F58E">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045" w:type="dxa"/>
            <w:tcBorders>
              <w:top w:val="single" w:color="000000" w:sz="4" w:space="0"/>
              <w:left w:val="single" w:color="000000" w:sz="4" w:space="0"/>
              <w:bottom w:val="single" w:color="000000" w:sz="4" w:space="0"/>
              <w:right w:val="single" w:color="000000" w:sz="4" w:space="0"/>
            </w:tcBorders>
            <w:vAlign w:val="center"/>
          </w:tcPr>
          <w:p w14:paraId="4A7A1BFB">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15CA2B04">
        <w:tblPrEx>
          <w:tblCellMar>
            <w:top w:w="15" w:type="dxa"/>
            <w:left w:w="15" w:type="dxa"/>
            <w:bottom w:w="15" w:type="dxa"/>
            <w:right w:w="15" w:type="dxa"/>
          </w:tblCellMar>
        </w:tblPrEx>
        <w:trPr>
          <w:trHeight w:val="397" w:hRule="exact"/>
          <w:jc w:val="center"/>
        </w:trPr>
        <w:tc>
          <w:tcPr>
            <w:tcW w:w="1468" w:type="dxa"/>
            <w:vMerge w:val="restart"/>
            <w:tcBorders>
              <w:top w:val="single" w:color="000000" w:sz="4" w:space="0"/>
              <w:left w:val="single" w:color="000000" w:sz="4" w:space="0"/>
              <w:bottom w:val="single" w:color="000000" w:sz="4" w:space="0"/>
              <w:right w:val="single" w:color="000000" w:sz="4" w:space="0"/>
            </w:tcBorders>
            <w:vAlign w:val="center"/>
          </w:tcPr>
          <w:p w14:paraId="3FCF7ADC">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项目效果</w:t>
            </w:r>
          </w:p>
          <w:p w14:paraId="15A91E4B">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w:t>
            </w:r>
            <w:r>
              <w:rPr>
                <w:rFonts w:cs="宋体" w:asciiTheme="minorEastAsia" w:hAnsiTheme="minorEastAsia" w:eastAsiaTheme="minorEastAsia"/>
                <w:sz w:val="21"/>
                <w:szCs w:val="21"/>
              </w:rPr>
              <w:t>6</w:t>
            </w:r>
            <w:r>
              <w:rPr>
                <w:rFonts w:hint="eastAsia" w:cs="宋体" w:asciiTheme="minorEastAsia" w:hAnsiTheme="minorEastAsia" w:eastAsiaTheme="minorEastAsia"/>
                <w:sz w:val="21"/>
                <w:szCs w:val="21"/>
              </w:rPr>
              <w:t>分）</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14:paraId="13FBEAF5">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履职效益</w:t>
            </w:r>
          </w:p>
          <w:p w14:paraId="427165F6">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w:t>
            </w:r>
            <w:r>
              <w:rPr>
                <w:rFonts w:cs="宋体" w:asciiTheme="minorEastAsia" w:hAnsiTheme="minorEastAsia" w:eastAsiaTheme="minorEastAsia"/>
                <w:sz w:val="21"/>
                <w:szCs w:val="21"/>
              </w:rPr>
              <w:t>6</w:t>
            </w:r>
            <w:r>
              <w:rPr>
                <w:rFonts w:hint="eastAsia" w:cs="宋体" w:asciiTheme="minorEastAsia" w:hAnsiTheme="minorEastAsia" w:eastAsiaTheme="minorEastAsia"/>
                <w:sz w:val="21"/>
                <w:szCs w:val="21"/>
              </w:rPr>
              <w:t>分）</w:t>
            </w:r>
          </w:p>
        </w:tc>
        <w:tc>
          <w:tcPr>
            <w:tcW w:w="2130" w:type="dxa"/>
            <w:tcBorders>
              <w:top w:val="single" w:color="000000" w:sz="4" w:space="0"/>
              <w:left w:val="single" w:color="000000" w:sz="4" w:space="0"/>
              <w:bottom w:val="single" w:color="000000" w:sz="4" w:space="0"/>
              <w:right w:val="single" w:color="000000" w:sz="4" w:space="0"/>
            </w:tcBorders>
            <w:vAlign w:val="center"/>
          </w:tcPr>
          <w:p w14:paraId="1361679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部门整体效益</w:t>
            </w:r>
          </w:p>
        </w:tc>
        <w:tc>
          <w:tcPr>
            <w:tcW w:w="1200" w:type="dxa"/>
            <w:tcBorders>
              <w:top w:val="single" w:color="000000" w:sz="4" w:space="0"/>
              <w:left w:val="single" w:color="000000" w:sz="4" w:space="0"/>
              <w:bottom w:val="single" w:color="000000" w:sz="4" w:space="0"/>
              <w:right w:val="single" w:color="000000" w:sz="4" w:space="0"/>
            </w:tcBorders>
            <w:vAlign w:val="center"/>
          </w:tcPr>
          <w:p w14:paraId="1AD08BF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w:t>
            </w:r>
            <w:r>
              <w:rPr>
                <w:rFonts w:cs="宋体" w:asciiTheme="minorEastAsia" w:hAnsiTheme="minorEastAsia" w:eastAsiaTheme="minorEastAsia"/>
                <w:sz w:val="21"/>
                <w:szCs w:val="21"/>
              </w:rPr>
              <w:t>2</w:t>
            </w:r>
          </w:p>
        </w:tc>
        <w:tc>
          <w:tcPr>
            <w:tcW w:w="1045" w:type="dxa"/>
            <w:tcBorders>
              <w:top w:val="single" w:color="000000" w:sz="4" w:space="0"/>
              <w:left w:val="single" w:color="000000" w:sz="4" w:space="0"/>
              <w:bottom w:val="single" w:color="000000" w:sz="4" w:space="0"/>
              <w:right w:val="single" w:color="000000" w:sz="4" w:space="0"/>
            </w:tcBorders>
            <w:vAlign w:val="center"/>
          </w:tcPr>
          <w:p w14:paraId="4D96305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w:t>
            </w:r>
            <w:r>
              <w:rPr>
                <w:rFonts w:cs="宋体" w:asciiTheme="minorEastAsia" w:hAnsiTheme="minorEastAsia" w:eastAsiaTheme="minorEastAsia"/>
                <w:sz w:val="21"/>
                <w:szCs w:val="21"/>
              </w:rPr>
              <w:t>2</w:t>
            </w:r>
          </w:p>
        </w:tc>
      </w:tr>
      <w:tr w14:paraId="4AB64AC0">
        <w:tblPrEx>
          <w:tblCellMar>
            <w:top w:w="15" w:type="dxa"/>
            <w:left w:w="15" w:type="dxa"/>
            <w:bottom w:w="15" w:type="dxa"/>
            <w:right w:w="15" w:type="dxa"/>
          </w:tblCellMar>
        </w:tblPrEx>
        <w:trPr>
          <w:trHeight w:val="397" w:hRule="exact"/>
          <w:jc w:val="center"/>
        </w:trPr>
        <w:tc>
          <w:tcPr>
            <w:tcW w:w="1468" w:type="dxa"/>
            <w:vMerge w:val="continue"/>
            <w:tcBorders>
              <w:top w:val="single" w:color="000000" w:sz="4" w:space="0"/>
              <w:left w:val="single" w:color="000000" w:sz="4" w:space="0"/>
              <w:bottom w:val="single" w:color="000000" w:sz="4" w:space="0"/>
              <w:right w:val="single" w:color="000000" w:sz="4" w:space="0"/>
            </w:tcBorders>
            <w:vAlign w:val="center"/>
          </w:tcPr>
          <w:p w14:paraId="07E0FA05">
            <w:pPr>
              <w:spacing w:line="420" w:lineRule="exact"/>
              <w:jc w:val="center"/>
              <w:rPr>
                <w:rFonts w:cs="宋体" w:asciiTheme="minorEastAsia" w:hAnsiTheme="minorEastAsia" w:eastAsiaTheme="minorEastAsia"/>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14:paraId="5CE442D1">
            <w:pPr>
              <w:spacing w:line="420" w:lineRule="exact"/>
              <w:jc w:val="center"/>
              <w:rPr>
                <w:rFonts w:cs="宋体" w:asciiTheme="minorEastAsia" w:hAnsiTheme="minorEastAsia" w:eastAsiaTheme="minorEastAsia"/>
                <w:sz w:val="21"/>
                <w:szCs w:val="21"/>
              </w:rPr>
            </w:pPr>
          </w:p>
        </w:tc>
        <w:tc>
          <w:tcPr>
            <w:tcW w:w="2130" w:type="dxa"/>
            <w:tcBorders>
              <w:top w:val="single" w:color="000000" w:sz="4" w:space="0"/>
              <w:left w:val="single" w:color="000000" w:sz="4" w:space="0"/>
              <w:bottom w:val="single" w:color="000000" w:sz="4" w:space="0"/>
              <w:right w:val="single" w:color="000000" w:sz="4" w:space="0"/>
            </w:tcBorders>
            <w:vAlign w:val="center"/>
          </w:tcPr>
          <w:p w14:paraId="3BE4443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考评满意度</w:t>
            </w:r>
          </w:p>
        </w:tc>
        <w:tc>
          <w:tcPr>
            <w:tcW w:w="1200" w:type="dxa"/>
            <w:tcBorders>
              <w:top w:val="single" w:color="000000" w:sz="4" w:space="0"/>
              <w:left w:val="single" w:color="000000" w:sz="4" w:space="0"/>
              <w:bottom w:val="single" w:color="000000" w:sz="4" w:space="0"/>
              <w:right w:val="single" w:color="000000" w:sz="4" w:space="0"/>
            </w:tcBorders>
            <w:vAlign w:val="center"/>
          </w:tcPr>
          <w:p w14:paraId="3F18AD5E">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4</w:t>
            </w:r>
          </w:p>
        </w:tc>
        <w:tc>
          <w:tcPr>
            <w:tcW w:w="1045" w:type="dxa"/>
            <w:tcBorders>
              <w:top w:val="single" w:color="000000" w:sz="4" w:space="0"/>
              <w:left w:val="single" w:color="000000" w:sz="4" w:space="0"/>
              <w:bottom w:val="single" w:color="000000" w:sz="4" w:space="0"/>
              <w:right w:val="single" w:color="000000" w:sz="4" w:space="0"/>
            </w:tcBorders>
            <w:vAlign w:val="center"/>
          </w:tcPr>
          <w:p w14:paraId="30BFD760">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4</w:t>
            </w:r>
          </w:p>
        </w:tc>
      </w:tr>
      <w:tr w14:paraId="18DC569C">
        <w:tblPrEx>
          <w:tblCellMar>
            <w:top w:w="15" w:type="dxa"/>
            <w:left w:w="15" w:type="dxa"/>
            <w:bottom w:w="15" w:type="dxa"/>
            <w:right w:w="15" w:type="dxa"/>
          </w:tblCellMar>
        </w:tblPrEx>
        <w:trPr>
          <w:trHeight w:val="397" w:hRule="exact"/>
          <w:jc w:val="center"/>
        </w:trPr>
        <w:tc>
          <w:tcPr>
            <w:tcW w:w="2623" w:type="dxa"/>
            <w:gridSpan w:val="2"/>
            <w:tcBorders>
              <w:top w:val="single" w:color="000000" w:sz="4" w:space="0"/>
              <w:left w:val="single" w:color="000000" w:sz="4" w:space="0"/>
              <w:bottom w:val="single" w:color="000000" w:sz="4" w:space="0"/>
              <w:right w:val="single" w:color="000000" w:sz="4" w:space="0"/>
            </w:tcBorders>
            <w:vAlign w:val="center"/>
          </w:tcPr>
          <w:p w14:paraId="4E5E8F8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130" w:type="dxa"/>
            <w:tcBorders>
              <w:top w:val="single" w:color="000000" w:sz="4" w:space="0"/>
              <w:left w:val="single" w:color="000000" w:sz="4" w:space="0"/>
              <w:bottom w:val="single" w:color="000000" w:sz="4" w:space="0"/>
              <w:right w:val="single" w:color="000000" w:sz="4" w:space="0"/>
            </w:tcBorders>
            <w:vAlign w:val="center"/>
          </w:tcPr>
          <w:p w14:paraId="1CB4F77A">
            <w:pPr>
              <w:spacing w:line="420" w:lineRule="exact"/>
              <w:jc w:val="center"/>
              <w:rPr>
                <w:rFonts w:cs="宋体" w:asciiTheme="minorEastAsia" w:hAnsiTheme="minorEastAsia" w:eastAsiaTheme="minorEastAsia"/>
                <w:sz w:val="21"/>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6586B71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w:t>
            </w:r>
            <w:r>
              <w:rPr>
                <w:rFonts w:cs="宋体" w:asciiTheme="minorEastAsia" w:hAnsiTheme="minorEastAsia" w:eastAsiaTheme="minorEastAsia"/>
                <w:sz w:val="21"/>
                <w:szCs w:val="21"/>
              </w:rPr>
              <w:t>6</w:t>
            </w:r>
          </w:p>
        </w:tc>
        <w:tc>
          <w:tcPr>
            <w:tcW w:w="1045" w:type="dxa"/>
            <w:tcBorders>
              <w:top w:val="single" w:color="000000" w:sz="4" w:space="0"/>
              <w:left w:val="single" w:color="000000" w:sz="4" w:space="0"/>
              <w:bottom w:val="single" w:color="000000" w:sz="4" w:space="0"/>
              <w:right w:val="single" w:color="000000" w:sz="4" w:space="0"/>
            </w:tcBorders>
            <w:vAlign w:val="center"/>
          </w:tcPr>
          <w:p w14:paraId="7C2B014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w:t>
            </w:r>
            <w:r>
              <w:rPr>
                <w:rFonts w:cs="宋体" w:asciiTheme="minorEastAsia" w:hAnsiTheme="minorEastAsia" w:eastAsiaTheme="minorEastAsia"/>
                <w:sz w:val="21"/>
                <w:szCs w:val="21"/>
              </w:rPr>
              <w:t>6</w:t>
            </w:r>
          </w:p>
        </w:tc>
      </w:tr>
      <w:bookmarkEnd w:id="70"/>
    </w:tbl>
    <w:p w14:paraId="57F36E78">
      <w:pPr>
        <w:spacing w:after="0" w:line="360" w:lineRule="auto"/>
        <w:ind w:firstLine="640" w:firstLineChars="200"/>
        <w:jc w:val="both"/>
        <w:textAlignment w:val="baseline"/>
        <w:rPr>
          <w:rFonts w:ascii="仿宋_GB2312" w:eastAsia="仿宋_GB2312" w:cs="DengXian-Regular"/>
          <w:sz w:val="32"/>
          <w:szCs w:val="32"/>
        </w:rPr>
      </w:pPr>
      <w:bookmarkStart w:id="71" w:name="_Toc464638561"/>
      <w:bookmarkStart w:id="72" w:name="_Toc465149516"/>
      <w:bookmarkStart w:id="73" w:name="_Toc492652784"/>
      <w:r>
        <w:rPr>
          <w:rFonts w:hint="eastAsia" w:ascii="仿宋_GB2312" w:eastAsia="仿宋_GB2312" w:cs="DengXian-Regular"/>
          <w:sz w:val="32"/>
          <w:szCs w:val="32"/>
        </w:rPr>
        <w:t>1.部门整体效益（1</w:t>
      </w:r>
      <w:r>
        <w:rPr>
          <w:rFonts w:ascii="仿宋_GB2312" w:eastAsia="仿宋_GB2312" w:cs="DengXian-Regular"/>
          <w:sz w:val="32"/>
          <w:szCs w:val="32"/>
        </w:rPr>
        <w:t>2</w:t>
      </w:r>
      <w:r>
        <w:rPr>
          <w:rFonts w:hint="eastAsia" w:ascii="仿宋_GB2312" w:eastAsia="仿宋_GB2312" w:cs="DengXian-Regular"/>
          <w:sz w:val="32"/>
          <w:szCs w:val="32"/>
        </w:rPr>
        <w:t>分）</w:t>
      </w:r>
    </w:p>
    <w:p w14:paraId="30E1DC9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该指标主要评价部门履行职责对经济发展、社会发展、生态环境所带来的直接或间接效益。</w:t>
      </w:r>
    </w:p>
    <w:p w14:paraId="63D8756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经查看部门履行职责对社会发展所带来的社会效益较显著，有效的提高了社会公众的发</w:t>
      </w:r>
      <w:r>
        <w:rPr>
          <w:rFonts w:ascii="仿宋_GB2312" w:eastAsia="仿宋_GB2312" w:cs="DengXian-Regular"/>
          <w:sz w:val="32"/>
          <w:szCs w:val="32"/>
        </w:rPr>
        <w:t>展</w:t>
      </w:r>
      <w:r>
        <w:rPr>
          <w:rFonts w:hint="eastAsia" w:ascii="仿宋_GB2312" w:eastAsia="仿宋_GB2312" w:cs="DengXian-Regular"/>
          <w:sz w:val="32"/>
          <w:szCs w:val="32"/>
        </w:rPr>
        <w:t>意识，减少了社会不</w:t>
      </w:r>
      <w:r>
        <w:rPr>
          <w:rFonts w:ascii="仿宋_GB2312" w:eastAsia="仿宋_GB2312" w:cs="DengXian-Regular"/>
          <w:sz w:val="32"/>
          <w:szCs w:val="32"/>
        </w:rPr>
        <w:t>稳定</w:t>
      </w:r>
      <w:r>
        <w:rPr>
          <w:rFonts w:hint="eastAsia" w:ascii="仿宋_GB2312" w:eastAsia="仿宋_GB2312" w:cs="DengXian-Regular"/>
          <w:sz w:val="32"/>
          <w:szCs w:val="32"/>
        </w:rPr>
        <w:t>因素。</w:t>
      </w:r>
    </w:p>
    <w:p w14:paraId="021BF2F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ascii="仿宋_GB2312" w:eastAsia="仿宋_GB2312" w:cs="DengXian-Regular"/>
          <w:sz w:val="32"/>
          <w:szCs w:val="32"/>
        </w:rPr>
        <w:t>12</w:t>
      </w:r>
      <w:r>
        <w:rPr>
          <w:rFonts w:hint="eastAsia" w:ascii="仿宋_GB2312" w:eastAsia="仿宋_GB2312" w:cs="DengXian-Regular"/>
          <w:sz w:val="32"/>
          <w:szCs w:val="32"/>
        </w:rPr>
        <w:t>分。</w:t>
      </w:r>
    </w:p>
    <w:p w14:paraId="0545AB3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2.考评满意度（</w:t>
      </w:r>
      <w:r>
        <w:rPr>
          <w:rFonts w:ascii="仿宋_GB2312" w:eastAsia="仿宋_GB2312" w:cs="DengXian-Regular"/>
          <w:sz w:val="32"/>
          <w:szCs w:val="32"/>
        </w:rPr>
        <w:t>4</w:t>
      </w:r>
      <w:r>
        <w:rPr>
          <w:rFonts w:hint="eastAsia" w:ascii="仿宋_GB2312" w:eastAsia="仿宋_GB2312" w:cs="DengXian-Regular"/>
          <w:sz w:val="32"/>
          <w:szCs w:val="32"/>
        </w:rPr>
        <w:t>分）</w:t>
      </w:r>
    </w:p>
    <w:p w14:paraId="5CC5B4D2">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该指标主要评价社会公众或部门的服务对象对部门履职效果的满意程度。</w:t>
      </w:r>
    </w:p>
    <w:p w14:paraId="27B6BF56">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针对该指标，我们随机选取了</w:t>
      </w:r>
      <w:r>
        <w:rPr>
          <w:rFonts w:ascii="仿宋_GB2312" w:eastAsia="仿宋_GB2312" w:cs="Times New Roman" w:hAnsiTheme="minorEastAsia"/>
          <w:sz w:val="32"/>
          <w:szCs w:val="32"/>
          <w:u w:color="000000"/>
        </w:rPr>
        <w:t>2</w:t>
      </w:r>
      <w:r>
        <w:rPr>
          <w:rFonts w:hint="eastAsia" w:ascii="仿宋_GB2312" w:eastAsia="仿宋_GB2312" w:cs="Times New Roman" w:hAnsiTheme="minorEastAsia"/>
          <w:sz w:val="32"/>
          <w:szCs w:val="32"/>
          <w:u w:color="000000"/>
        </w:rPr>
        <w:t>0个调查对象进行了问卷调查，具体调查情况如下：</w:t>
      </w:r>
    </w:p>
    <w:p w14:paraId="28D715BE">
      <w:pPr>
        <w:spacing w:after="0" w:line="540" w:lineRule="exact"/>
        <w:ind w:firstLine="10601" w:firstLineChars="3300"/>
        <w:jc w:val="both"/>
        <w:textAlignment w:val="baseline"/>
        <w:rPr>
          <w:rFonts w:ascii="仿宋_GB2312" w:eastAsia="仿宋_GB2312" w:cs="Times New Roman" w:hAnsiTheme="minorEastAsia"/>
          <w:sz w:val="32"/>
          <w:szCs w:val="32"/>
          <w:u w:color="000000"/>
        </w:rPr>
      </w:pPr>
      <w:r>
        <w:rPr>
          <w:rFonts w:hint="eastAsia" w:asciiTheme="minorEastAsia" w:hAnsiTheme="minorEastAsia" w:eastAsiaTheme="minorEastAsia" w:cstheme="minorEastAsia"/>
          <w:b/>
          <w:bCs/>
          <w:sz w:val="32"/>
          <w:szCs w:val="32"/>
          <w:u w:color="000000"/>
        </w:rPr>
        <w:t>表6  服务对象满意度调查问卷汇总表</w:t>
      </w:r>
    </w:p>
    <w:p w14:paraId="5E69E925">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sz w:val="21"/>
          <w:szCs w:val="21"/>
          <w:u w:color="000000"/>
        </w:rPr>
        <w:t>　</w:t>
      </w:r>
      <w:r>
        <w:rPr>
          <w:rFonts w:asciiTheme="minorEastAsia" w:hAnsiTheme="minorEastAsia" w:eastAsiaTheme="minorEastAsia" w:cstheme="minorEastAsia"/>
          <w:sz w:val="21"/>
          <w:szCs w:val="21"/>
          <w:u w:color="000000"/>
        </w:rPr>
        <w:t>　　　　　　　　　　　　　　　　　</w:t>
      </w:r>
      <w:r>
        <w:rPr>
          <w:rFonts w:hint="eastAsia" w:asciiTheme="minorEastAsia" w:hAnsiTheme="minorEastAsia" w:eastAsiaTheme="minorEastAsia" w:cstheme="minorEastAsia"/>
          <w:sz w:val="21"/>
          <w:szCs w:val="21"/>
          <w:u w:color="000000"/>
        </w:rPr>
        <w:t>　</w:t>
      </w:r>
      <w:r>
        <w:rPr>
          <w:rFonts w:asciiTheme="minorEastAsia" w:hAnsiTheme="minorEastAsia" w:eastAsiaTheme="minorEastAsia" w:cstheme="minorEastAsia"/>
          <w:sz w:val="21"/>
          <w:szCs w:val="21"/>
          <w:u w:color="000000"/>
        </w:rPr>
        <w:t>　　　　</w:t>
      </w:r>
      <w:r>
        <w:rPr>
          <w:rFonts w:hint="eastAsia" w:asciiTheme="minorEastAsia" w:hAnsiTheme="minorEastAsia" w:eastAsiaTheme="minorEastAsia" w:cstheme="minorEastAsia"/>
          <w:sz w:val="21"/>
          <w:szCs w:val="21"/>
          <w:u w:color="000000"/>
        </w:rPr>
        <w:t>单位：人次</w:t>
      </w:r>
    </w:p>
    <w:tbl>
      <w:tblPr>
        <w:tblStyle w:val="23"/>
        <w:tblW w:w="7948" w:type="dxa"/>
        <w:jc w:val="center"/>
        <w:tblLayout w:type="fixed"/>
        <w:tblCellMar>
          <w:top w:w="15" w:type="dxa"/>
          <w:left w:w="15" w:type="dxa"/>
          <w:bottom w:w="15" w:type="dxa"/>
          <w:right w:w="15" w:type="dxa"/>
        </w:tblCellMar>
      </w:tblPr>
      <w:tblGrid>
        <w:gridCol w:w="3079"/>
        <w:gridCol w:w="869"/>
        <w:gridCol w:w="1134"/>
        <w:gridCol w:w="1218"/>
        <w:gridCol w:w="767"/>
        <w:gridCol w:w="881"/>
      </w:tblGrid>
      <w:tr w14:paraId="30A0C989">
        <w:tblPrEx>
          <w:tblCellMar>
            <w:top w:w="15" w:type="dxa"/>
            <w:left w:w="15" w:type="dxa"/>
            <w:bottom w:w="15" w:type="dxa"/>
            <w:right w:w="15" w:type="dxa"/>
          </w:tblCellMar>
        </w:tblPrEx>
        <w:trPr>
          <w:trHeight w:val="525" w:hRule="atLeast"/>
          <w:jc w:val="center"/>
        </w:trPr>
        <w:tc>
          <w:tcPr>
            <w:tcW w:w="3079" w:type="dxa"/>
            <w:tcBorders>
              <w:top w:val="single" w:color="auto" w:sz="4" w:space="0"/>
              <w:left w:val="single" w:color="auto" w:sz="4" w:space="0"/>
              <w:bottom w:val="single" w:color="auto" w:sz="4" w:space="0"/>
              <w:right w:val="single" w:color="auto" w:sz="4" w:space="0"/>
            </w:tcBorders>
            <w:vAlign w:val="center"/>
          </w:tcPr>
          <w:p w14:paraId="20222974">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调查项目</w:t>
            </w:r>
          </w:p>
        </w:tc>
        <w:tc>
          <w:tcPr>
            <w:tcW w:w="869" w:type="dxa"/>
            <w:tcBorders>
              <w:top w:val="single" w:color="auto" w:sz="4" w:space="0"/>
              <w:left w:val="single" w:color="auto" w:sz="4" w:space="0"/>
              <w:bottom w:val="single" w:color="auto" w:sz="4" w:space="0"/>
              <w:right w:val="single" w:color="auto" w:sz="4" w:space="0"/>
            </w:tcBorders>
            <w:vAlign w:val="center"/>
          </w:tcPr>
          <w:p w14:paraId="599D0807">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满意</w:t>
            </w:r>
          </w:p>
        </w:tc>
        <w:tc>
          <w:tcPr>
            <w:tcW w:w="1134" w:type="dxa"/>
            <w:tcBorders>
              <w:top w:val="single" w:color="auto" w:sz="4" w:space="0"/>
              <w:left w:val="single" w:color="auto" w:sz="4" w:space="0"/>
              <w:bottom w:val="single" w:color="auto" w:sz="4" w:space="0"/>
              <w:right w:val="single" w:color="auto" w:sz="4" w:space="0"/>
            </w:tcBorders>
            <w:vAlign w:val="center"/>
          </w:tcPr>
          <w:p w14:paraId="7849D9EB">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一般</w:t>
            </w:r>
          </w:p>
        </w:tc>
        <w:tc>
          <w:tcPr>
            <w:tcW w:w="1218" w:type="dxa"/>
            <w:tcBorders>
              <w:top w:val="single" w:color="auto" w:sz="4" w:space="0"/>
              <w:left w:val="single" w:color="auto" w:sz="4" w:space="0"/>
              <w:bottom w:val="single" w:color="auto" w:sz="4" w:space="0"/>
              <w:right w:val="single" w:color="auto" w:sz="4" w:space="0"/>
            </w:tcBorders>
            <w:vAlign w:val="center"/>
          </w:tcPr>
          <w:p w14:paraId="443A035B">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不满意</w:t>
            </w:r>
          </w:p>
        </w:tc>
        <w:tc>
          <w:tcPr>
            <w:tcW w:w="767" w:type="dxa"/>
            <w:tcBorders>
              <w:top w:val="single" w:color="auto" w:sz="4" w:space="0"/>
              <w:left w:val="single" w:color="auto" w:sz="4" w:space="0"/>
              <w:bottom w:val="single" w:color="auto" w:sz="4" w:space="0"/>
              <w:right w:val="single" w:color="auto" w:sz="4" w:space="0"/>
            </w:tcBorders>
            <w:vAlign w:val="center"/>
          </w:tcPr>
          <w:p w14:paraId="009FA4FC">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合计</w:t>
            </w:r>
          </w:p>
        </w:tc>
        <w:tc>
          <w:tcPr>
            <w:tcW w:w="881" w:type="dxa"/>
            <w:tcBorders>
              <w:top w:val="single" w:color="auto" w:sz="4" w:space="0"/>
              <w:left w:val="single" w:color="auto" w:sz="4" w:space="0"/>
              <w:bottom w:val="single" w:color="auto" w:sz="4" w:space="0"/>
              <w:right w:val="single" w:color="auto" w:sz="4" w:space="0"/>
            </w:tcBorders>
            <w:vAlign w:val="center"/>
          </w:tcPr>
          <w:p w14:paraId="078912BE">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单项得分</w:t>
            </w:r>
          </w:p>
        </w:tc>
      </w:tr>
      <w:tr w14:paraId="344947FC">
        <w:tblPrEx>
          <w:tblCellMar>
            <w:top w:w="15" w:type="dxa"/>
            <w:left w:w="15" w:type="dxa"/>
            <w:bottom w:w="15" w:type="dxa"/>
            <w:right w:w="15" w:type="dxa"/>
          </w:tblCellMar>
        </w:tblPrEx>
        <w:trPr>
          <w:trHeight w:val="590" w:hRule="atLeast"/>
          <w:jc w:val="center"/>
        </w:trPr>
        <w:tc>
          <w:tcPr>
            <w:tcW w:w="3079" w:type="dxa"/>
            <w:tcBorders>
              <w:top w:val="single" w:color="000000" w:sz="4" w:space="0"/>
              <w:left w:val="single" w:color="000000" w:sz="4" w:space="0"/>
              <w:bottom w:val="single" w:color="000000" w:sz="4" w:space="0"/>
              <w:right w:val="single" w:color="000000" w:sz="4" w:space="0"/>
            </w:tcBorders>
            <w:vAlign w:val="center"/>
          </w:tcPr>
          <w:p w14:paraId="236048D4">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村级</w:t>
            </w:r>
            <w:r>
              <w:rPr>
                <w:rFonts w:cs="Times New Roman" w:asciiTheme="minorEastAsia" w:hAnsiTheme="minorEastAsia" w:eastAsiaTheme="minorEastAsia"/>
                <w:sz w:val="21"/>
                <w:szCs w:val="21"/>
                <w:u w:color="000000"/>
              </w:rPr>
              <w:t>报账流</w:t>
            </w:r>
            <w:r>
              <w:rPr>
                <w:rFonts w:hint="eastAsia" w:cs="Times New Roman" w:asciiTheme="minorEastAsia" w:hAnsiTheme="minorEastAsia" w:eastAsiaTheme="minorEastAsia"/>
                <w:sz w:val="21"/>
                <w:szCs w:val="21"/>
                <w:u w:color="000000"/>
              </w:rPr>
              <w:t>程</w:t>
            </w:r>
          </w:p>
        </w:tc>
        <w:tc>
          <w:tcPr>
            <w:tcW w:w="869" w:type="dxa"/>
            <w:tcBorders>
              <w:top w:val="single" w:color="000000" w:sz="4" w:space="0"/>
              <w:left w:val="single" w:color="000000" w:sz="4" w:space="0"/>
              <w:bottom w:val="single" w:color="000000" w:sz="4" w:space="0"/>
              <w:right w:val="single" w:color="000000" w:sz="4" w:space="0"/>
            </w:tcBorders>
            <w:vAlign w:val="center"/>
          </w:tcPr>
          <w:p w14:paraId="3FD6A3C0">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20</w:t>
            </w:r>
          </w:p>
        </w:tc>
        <w:tc>
          <w:tcPr>
            <w:tcW w:w="1134" w:type="dxa"/>
            <w:tcBorders>
              <w:top w:val="single" w:color="000000" w:sz="4" w:space="0"/>
              <w:left w:val="single" w:color="000000" w:sz="4" w:space="0"/>
              <w:bottom w:val="single" w:color="000000" w:sz="4" w:space="0"/>
              <w:right w:val="single" w:color="000000" w:sz="4" w:space="0"/>
            </w:tcBorders>
            <w:vAlign w:val="center"/>
          </w:tcPr>
          <w:p w14:paraId="2854DDD2">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0</w:t>
            </w:r>
          </w:p>
        </w:tc>
        <w:tc>
          <w:tcPr>
            <w:tcW w:w="1218" w:type="dxa"/>
            <w:tcBorders>
              <w:top w:val="single" w:color="000000" w:sz="4" w:space="0"/>
              <w:left w:val="single" w:color="000000" w:sz="4" w:space="0"/>
              <w:bottom w:val="single" w:color="000000" w:sz="4" w:space="0"/>
              <w:right w:val="single" w:color="000000" w:sz="4" w:space="0"/>
            </w:tcBorders>
            <w:vAlign w:val="center"/>
          </w:tcPr>
          <w:p w14:paraId="5ACE9402">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0</w:t>
            </w:r>
          </w:p>
        </w:tc>
        <w:tc>
          <w:tcPr>
            <w:tcW w:w="767" w:type="dxa"/>
            <w:tcBorders>
              <w:top w:val="single" w:color="000000" w:sz="4" w:space="0"/>
              <w:left w:val="single" w:color="000000" w:sz="4" w:space="0"/>
              <w:bottom w:val="single" w:color="000000" w:sz="4" w:space="0"/>
              <w:right w:val="single" w:color="000000" w:sz="4" w:space="0"/>
            </w:tcBorders>
          </w:tcPr>
          <w:p w14:paraId="4210FEF2">
            <w:r>
              <w:t>20</w:t>
            </w:r>
          </w:p>
        </w:tc>
        <w:tc>
          <w:tcPr>
            <w:tcW w:w="881" w:type="dxa"/>
            <w:tcBorders>
              <w:top w:val="single" w:color="000000" w:sz="4" w:space="0"/>
              <w:left w:val="single" w:color="000000" w:sz="4" w:space="0"/>
              <w:bottom w:val="single" w:color="000000" w:sz="4" w:space="0"/>
              <w:right w:val="single" w:color="000000" w:sz="4" w:space="0"/>
            </w:tcBorders>
            <w:vAlign w:val="center"/>
          </w:tcPr>
          <w:p w14:paraId="21116B2C">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100</w:t>
            </w:r>
          </w:p>
        </w:tc>
      </w:tr>
      <w:tr w14:paraId="65CC0E28">
        <w:tblPrEx>
          <w:tblCellMar>
            <w:top w:w="15" w:type="dxa"/>
            <w:left w:w="15" w:type="dxa"/>
            <w:bottom w:w="15" w:type="dxa"/>
            <w:right w:w="15" w:type="dxa"/>
          </w:tblCellMar>
        </w:tblPrEx>
        <w:trPr>
          <w:trHeight w:val="510" w:hRule="atLeast"/>
          <w:jc w:val="center"/>
        </w:trPr>
        <w:tc>
          <w:tcPr>
            <w:tcW w:w="3079" w:type="dxa"/>
            <w:tcBorders>
              <w:top w:val="single" w:color="000000" w:sz="4" w:space="0"/>
              <w:left w:val="single" w:color="000000" w:sz="4" w:space="0"/>
              <w:bottom w:val="single" w:color="000000" w:sz="4" w:space="0"/>
              <w:right w:val="single" w:color="000000" w:sz="4" w:space="0"/>
            </w:tcBorders>
            <w:vAlign w:val="center"/>
          </w:tcPr>
          <w:p w14:paraId="7A5B4F95">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村级</w:t>
            </w:r>
            <w:r>
              <w:rPr>
                <w:rFonts w:cs="Times New Roman" w:asciiTheme="minorEastAsia" w:hAnsiTheme="minorEastAsia" w:eastAsiaTheme="minorEastAsia"/>
                <w:sz w:val="21"/>
                <w:szCs w:val="21"/>
                <w:u w:color="000000"/>
              </w:rPr>
              <w:t>财务人员</w:t>
            </w:r>
            <w:r>
              <w:rPr>
                <w:rFonts w:hint="eastAsia" w:cs="Times New Roman" w:asciiTheme="minorEastAsia" w:hAnsiTheme="minorEastAsia" w:eastAsiaTheme="minorEastAsia"/>
                <w:sz w:val="21"/>
                <w:szCs w:val="21"/>
                <w:u w:color="000000"/>
              </w:rPr>
              <w:t>工作是否满意</w:t>
            </w:r>
          </w:p>
        </w:tc>
        <w:tc>
          <w:tcPr>
            <w:tcW w:w="869" w:type="dxa"/>
            <w:tcBorders>
              <w:top w:val="single" w:color="000000" w:sz="4" w:space="0"/>
              <w:left w:val="single" w:color="000000" w:sz="4" w:space="0"/>
              <w:bottom w:val="single" w:color="000000" w:sz="4" w:space="0"/>
              <w:right w:val="single" w:color="000000" w:sz="4" w:space="0"/>
            </w:tcBorders>
            <w:vAlign w:val="center"/>
          </w:tcPr>
          <w:p w14:paraId="1C08FA72">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20</w:t>
            </w:r>
          </w:p>
        </w:tc>
        <w:tc>
          <w:tcPr>
            <w:tcW w:w="1134" w:type="dxa"/>
            <w:tcBorders>
              <w:top w:val="single" w:color="000000" w:sz="4" w:space="0"/>
              <w:left w:val="single" w:color="000000" w:sz="4" w:space="0"/>
              <w:bottom w:val="single" w:color="000000" w:sz="4" w:space="0"/>
              <w:right w:val="single" w:color="000000" w:sz="4" w:space="0"/>
            </w:tcBorders>
            <w:vAlign w:val="center"/>
          </w:tcPr>
          <w:p w14:paraId="1F7CAFDF">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0</w:t>
            </w:r>
          </w:p>
        </w:tc>
        <w:tc>
          <w:tcPr>
            <w:tcW w:w="1218" w:type="dxa"/>
            <w:tcBorders>
              <w:top w:val="single" w:color="000000" w:sz="4" w:space="0"/>
              <w:left w:val="single" w:color="000000" w:sz="4" w:space="0"/>
              <w:bottom w:val="single" w:color="000000" w:sz="4" w:space="0"/>
              <w:right w:val="single" w:color="000000" w:sz="4" w:space="0"/>
            </w:tcBorders>
            <w:vAlign w:val="center"/>
          </w:tcPr>
          <w:p w14:paraId="0D73CA4B">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0</w:t>
            </w:r>
          </w:p>
        </w:tc>
        <w:tc>
          <w:tcPr>
            <w:tcW w:w="767" w:type="dxa"/>
            <w:tcBorders>
              <w:top w:val="single" w:color="000000" w:sz="4" w:space="0"/>
              <w:left w:val="single" w:color="000000" w:sz="4" w:space="0"/>
              <w:bottom w:val="single" w:color="000000" w:sz="4" w:space="0"/>
              <w:right w:val="single" w:color="000000" w:sz="4" w:space="0"/>
            </w:tcBorders>
          </w:tcPr>
          <w:p w14:paraId="2E244F47">
            <w:r>
              <w:t>20</w:t>
            </w:r>
          </w:p>
        </w:tc>
        <w:tc>
          <w:tcPr>
            <w:tcW w:w="881" w:type="dxa"/>
            <w:tcBorders>
              <w:top w:val="single" w:color="000000" w:sz="4" w:space="0"/>
              <w:left w:val="single" w:color="000000" w:sz="4" w:space="0"/>
              <w:bottom w:val="single" w:color="000000" w:sz="4" w:space="0"/>
              <w:right w:val="single" w:color="000000" w:sz="4" w:space="0"/>
            </w:tcBorders>
            <w:vAlign w:val="center"/>
          </w:tcPr>
          <w:p w14:paraId="42021AD4">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100</w:t>
            </w:r>
          </w:p>
        </w:tc>
      </w:tr>
      <w:tr w14:paraId="0D761CE7">
        <w:tblPrEx>
          <w:tblCellMar>
            <w:top w:w="15" w:type="dxa"/>
            <w:left w:w="15" w:type="dxa"/>
            <w:bottom w:w="15" w:type="dxa"/>
            <w:right w:w="15" w:type="dxa"/>
          </w:tblCellMar>
        </w:tblPrEx>
        <w:trPr>
          <w:trHeight w:val="585" w:hRule="atLeast"/>
          <w:jc w:val="center"/>
        </w:trPr>
        <w:tc>
          <w:tcPr>
            <w:tcW w:w="3079" w:type="dxa"/>
            <w:tcBorders>
              <w:top w:val="single" w:color="000000" w:sz="4" w:space="0"/>
              <w:left w:val="single" w:color="000000" w:sz="4" w:space="0"/>
              <w:bottom w:val="single" w:color="000000" w:sz="4" w:space="0"/>
              <w:right w:val="single" w:color="000000" w:sz="4" w:space="0"/>
            </w:tcBorders>
            <w:vAlign w:val="center"/>
          </w:tcPr>
          <w:p w14:paraId="6047F7E2">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村级</w:t>
            </w:r>
            <w:r>
              <w:rPr>
                <w:rFonts w:cs="Times New Roman" w:asciiTheme="minorEastAsia" w:hAnsiTheme="minorEastAsia" w:eastAsiaTheme="minorEastAsia"/>
                <w:sz w:val="21"/>
                <w:szCs w:val="21"/>
                <w:u w:color="000000"/>
              </w:rPr>
              <w:t>财务报账</w:t>
            </w:r>
            <w:r>
              <w:rPr>
                <w:rFonts w:hint="eastAsia" w:cs="Times New Roman" w:asciiTheme="minorEastAsia" w:hAnsiTheme="minorEastAsia" w:eastAsiaTheme="minorEastAsia"/>
                <w:sz w:val="21"/>
                <w:szCs w:val="21"/>
                <w:u w:color="000000"/>
              </w:rPr>
              <w:t>工作了解程度如何</w:t>
            </w:r>
          </w:p>
        </w:tc>
        <w:tc>
          <w:tcPr>
            <w:tcW w:w="869" w:type="dxa"/>
            <w:tcBorders>
              <w:top w:val="single" w:color="000000" w:sz="4" w:space="0"/>
              <w:left w:val="single" w:color="000000" w:sz="4" w:space="0"/>
              <w:bottom w:val="single" w:color="000000" w:sz="4" w:space="0"/>
              <w:right w:val="single" w:color="000000" w:sz="4" w:space="0"/>
            </w:tcBorders>
            <w:vAlign w:val="center"/>
          </w:tcPr>
          <w:p w14:paraId="43FD93C2">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18</w:t>
            </w:r>
          </w:p>
        </w:tc>
        <w:tc>
          <w:tcPr>
            <w:tcW w:w="1134" w:type="dxa"/>
            <w:tcBorders>
              <w:top w:val="single" w:color="000000" w:sz="4" w:space="0"/>
              <w:left w:val="single" w:color="000000" w:sz="4" w:space="0"/>
              <w:bottom w:val="single" w:color="000000" w:sz="4" w:space="0"/>
              <w:right w:val="single" w:color="000000" w:sz="4" w:space="0"/>
            </w:tcBorders>
            <w:vAlign w:val="center"/>
          </w:tcPr>
          <w:p w14:paraId="721A6093">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2</w:t>
            </w:r>
          </w:p>
        </w:tc>
        <w:tc>
          <w:tcPr>
            <w:tcW w:w="1218" w:type="dxa"/>
            <w:tcBorders>
              <w:top w:val="single" w:color="000000" w:sz="4" w:space="0"/>
              <w:left w:val="single" w:color="000000" w:sz="4" w:space="0"/>
              <w:bottom w:val="single" w:color="000000" w:sz="4" w:space="0"/>
              <w:right w:val="single" w:color="000000" w:sz="4" w:space="0"/>
            </w:tcBorders>
            <w:vAlign w:val="center"/>
          </w:tcPr>
          <w:p w14:paraId="78F7E534">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0</w:t>
            </w:r>
          </w:p>
        </w:tc>
        <w:tc>
          <w:tcPr>
            <w:tcW w:w="767" w:type="dxa"/>
            <w:tcBorders>
              <w:top w:val="single" w:color="000000" w:sz="4" w:space="0"/>
              <w:left w:val="single" w:color="000000" w:sz="4" w:space="0"/>
              <w:bottom w:val="single" w:color="000000" w:sz="4" w:space="0"/>
              <w:right w:val="single" w:color="000000" w:sz="4" w:space="0"/>
            </w:tcBorders>
          </w:tcPr>
          <w:p w14:paraId="5920FB31">
            <w:r>
              <w:t>20</w:t>
            </w:r>
          </w:p>
        </w:tc>
        <w:tc>
          <w:tcPr>
            <w:tcW w:w="881" w:type="dxa"/>
            <w:tcBorders>
              <w:top w:val="single" w:color="000000" w:sz="4" w:space="0"/>
              <w:left w:val="single" w:color="000000" w:sz="4" w:space="0"/>
              <w:bottom w:val="single" w:color="000000" w:sz="4" w:space="0"/>
              <w:right w:val="single" w:color="000000" w:sz="4" w:space="0"/>
            </w:tcBorders>
            <w:vAlign w:val="center"/>
          </w:tcPr>
          <w:p w14:paraId="61517804">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95</w:t>
            </w:r>
          </w:p>
        </w:tc>
      </w:tr>
    </w:tbl>
    <w:p w14:paraId="073F8F88">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调查问卷共分为3个单项，每个单项满分为100分。其中：每一单项满分为100分：满意为100分，一般为50分，不满意为0分。</w:t>
      </w:r>
    </w:p>
    <w:p w14:paraId="2C71FE11">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单项满意度得分=总分数/总人数</w:t>
      </w:r>
    </w:p>
    <w:p w14:paraId="2C2CABB7">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总体满意度得分=∑1/3各单项满意度得分</w:t>
      </w:r>
    </w:p>
    <w:p w14:paraId="48C467A4">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经计算，总体得分为</w:t>
      </w:r>
      <w:r>
        <w:rPr>
          <w:rFonts w:ascii="仿宋_GB2312" w:eastAsia="仿宋_GB2312" w:cs="Times New Roman" w:hAnsiTheme="minorEastAsia"/>
          <w:sz w:val="32"/>
          <w:szCs w:val="32"/>
          <w:u w:color="000000"/>
        </w:rPr>
        <w:t>98</w:t>
      </w:r>
      <w:r>
        <w:rPr>
          <w:rFonts w:hint="eastAsia" w:ascii="仿宋_GB2312" w:eastAsia="仿宋_GB2312" w:cs="Times New Roman" w:hAnsiTheme="minorEastAsia"/>
          <w:sz w:val="32"/>
          <w:szCs w:val="32"/>
          <w:u w:color="000000"/>
        </w:rPr>
        <w:t>分，大于90分，评价等级为“优”。</w:t>
      </w:r>
    </w:p>
    <w:p w14:paraId="31C8E874">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该指标实际得分</w:t>
      </w:r>
      <w:r>
        <w:rPr>
          <w:rFonts w:ascii="仿宋_GB2312" w:eastAsia="仿宋_GB2312" w:cs="Times New Roman" w:hAnsiTheme="minorEastAsia"/>
          <w:sz w:val="32"/>
          <w:szCs w:val="32"/>
          <w:u w:color="000000"/>
        </w:rPr>
        <w:t>4</w:t>
      </w:r>
      <w:r>
        <w:rPr>
          <w:rFonts w:hint="eastAsia" w:ascii="仿宋_GB2312" w:eastAsia="仿宋_GB2312" w:cs="Times New Roman" w:hAnsiTheme="minorEastAsia"/>
          <w:sz w:val="32"/>
          <w:szCs w:val="32"/>
          <w:u w:color="000000"/>
        </w:rPr>
        <w:t>分。</w:t>
      </w:r>
    </w:p>
    <w:p w14:paraId="038A76DF">
      <w:pPr>
        <w:pStyle w:val="3"/>
        <w:keepNext w:val="0"/>
        <w:keepLines w:val="0"/>
        <w:suppressLineNumbers/>
        <w:spacing w:before="0" w:after="0" w:line="360" w:lineRule="auto"/>
        <w:ind w:firstLine="643" w:firstLineChars="200"/>
        <w:rPr>
          <w:rFonts w:ascii="黑体"/>
        </w:rPr>
      </w:pPr>
      <w:bookmarkStart w:id="74" w:name="_Toc13757"/>
      <w:r>
        <w:rPr>
          <w:rFonts w:hint="eastAsia" w:ascii="黑体"/>
        </w:rPr>
        <w:t>五、绩效评价发现的问题</w:t>
      </w:r>
      <w:bookmarkEnd w:id="71"/>
      <w:bookmarkEnd w:id="72"/>
      <w:bookmarkEnd w:id="73"/>
      <w:bookmarkEnd w:id="74"/>
      <w:bookmarkStart w:id="75" w:name="_Toc492652789"/>
    </w:p>
    <w:p w14:paraId="71FEFC7C">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通过对各指标得分及扣分原因的分析，2022年部门整体支出基本按相关要求执行预算、决算完成了绩效目标，资金使用效益良好。通过评价，也发现一些不足之处，具体情况如下：</w:t>
      </w:r>
      <w:bookmarkStart w:id="76" w:name="_Toc20723"/>
    </w:p>
    <w:bookmarkEnd w:id="75"/>
    <w:bookmarkEnd w:id="76"/>
    <w:p w14:paraId="5E291915">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1.部分绩效指标方面：绩效指标设置应更加明确，增强绩效指标的针对性。</w:t>
      </w:r>
    </w:p>
    <w:p w14:paraId="69B4142A">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2.预算决算比较：预算调整率高，年初预算应更加细化，减少追加（追减）项目。在预算执行过程中，应加强预算管理。</w:t>
      </w:r>
    </w:p>
    <w:p w14:paraId="3C7691C9">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3.管理制度健全性：在预算、资产管理制度方面，仍需根据绩效管理要求进一步加强和完善。</w:t>
      </w:r>
    </w:p>
    <w:p w14:paraId="2BC38F88">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4.项目资金使用率方面：在预算执行过程中，应合理调度专项资金，提高项目资金的使用效益。</w:t>
      </w:r>
    </w:p>
    <w:sectPr>
      <w:footerReference r:id="rId5" w:type="default"/>
      <w:pgSz w:w="11906" w:h="16838"/>
      <w:pgMar w:top="1440" w:right="1797" w:bottom="1191" w:left="1797" w:header="709" w:footer="709" w:gutter="0"/>
      <w:pgNumType w:start="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DengXian-Regular">
    <w:altName w:val="宋体"/>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C8A3E">
    <w:pPr>
      <w:pStyle w:val="14"/>
      <w:jc w:val="center"/>
    </w:pPr>
  </w:p>
  <w:p w14:paraId="7EC037AC">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86279">
    <w:pPr>
      <w:pStyle w:val="14"/>
      <w:jc w:val="center"/>
    </w:pPr>
    <w:r>
      <w:fldChar w:fldCharType="begin"/>
    </w:r>
    <w:r>
      <w:instrText xml:space="preserve"> PAGE   \* MERGEFORMAT </w:instrText>
    </w:r>
    <w:r>
      <w:fldChar w:fldCharType="separate"/>
    </w:r>
    <w:r>
      <w:rPr>
        <w:lang w:val="zh-CN"/>
      </w:rPr>
      <w:t>32</w:t>
    </w:r>
    <w:r>
      <w:rPr>
        <w:lang w:val="zh-CN"/>
      </w:rPr>
      <w:fldChar w:fldCharType="end"/>
    </w:r>
  </w:p>
  <w:p w14:paraId="5B269B6A">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hideGrammaticalErrors/>
  <w:documentProtection w:enforcement="0"/>
  <w:defaultTabStop w:val="720"/>
  <w:noPunctuationKerning w:val="1"/>
  <w:characterSpacingControl w:val="doNotCompres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04179"/>
    <w:rsid w:val="0000439F"/>
    <w:rsid w:val="00007CA0"/>
    <w:rsid w:val="000153B7"/>
    <w:rsid w:val="00015C39"/>
    <w:rsid w:val="000174D3"/>
    <w:rsid w:val="00020FC8"/>
    <w:rsid w:val="0002415F"/>
    <w:rsid w:val="00025620"/>
    <w:rsid w:val="0002705B"/>
    <w:rsid w:val="000317D7"/>
    <w:rsid w:val="00032B03"/>
    <w:rsid w:val="000334C2"/>
    <w:rsid w:val="0003450B"/>
    <w:rsid w:val="0003465E"/>
    <w:rsid w:val="00034910"/>
    <w:rsid w:val="0003506D"/>
    <w:rsid w:val="00037BAF"/>
    <w:rsid w:val="000409C0"/>
    <w:rsid w:val="0004123E"/>
    <w:rsid w:val="00044599"/>
    <w:rsid w:val="000446E5"/>
    <w:rsid w:val="00044A25"/>
    <w:rsid w:val="000464EC"/>
    <w:rsid w:val="00047D7B"/>
    <w:rsid w:val="000509B6"/>
    <w:rsid w:val="00050A62"/>
    <w:rsid w:val="000516BA"/>
    <w:rsid w:val="00051DBC"/>
    <w:rsid w:val="00052010"/>
    <w:rsid w:val="00061096"/>
    <w:rsid w:val="000612A2"/>
    <w:rsid w:val="00063117"/>
    <w:rsid w:val="00072BF5"/>
    <w:rsid w:val="000752C6"/>
    <w:rsid w:val="00075B78"/>
    <w:rsid w:val="000772F4"/>
    <w:rsid w:val="00077648"/>
    <w:rsid w:val="00080E48"/>
    <w:rsid w:val="00082375"/>
    <w:rsid w:val="00084686"/>
    <w:rsid w:val="00091D50"/>
    <w:rsid w:val="000935D5"/>
    <w:rsid w:val="0009618D"/>
    <w:rsid w:val="00096195"/>
    <w:rsid w:val="0009756F"/>
    <w:rsid w:val="000A1F67"/>
    <w:rsid w:val="000A2079"/>
    <w:rsid w:val="000A3A9B"/>
    <w:rsid w:val="000A5467"/>
    <w:rsid w:val="000B09F3"/>
    <w:rsid w:val="000B0C4A"/>
    <w:rsid w:val="000B1596"/>
    <w:rsid w:val="000B23E8"/>
    <w:rsid w:val="000B62FE"/>
    <w:rsid w:val="000B72BC"/>
    <w:rsid w:val="000B78D7"/>
    <w:rsid w:val="000C1EA5"/>
    <w:rsid w:val="000C52FB"/>
    <w:rsid w:val="000C55E6"/>
    <w:rsid w:val="000C6D5A"/>
    <w:rsid w:val="000D09B2"/>
    <w:rsid w:val="000D7C38"/>
    <w:rsid w:val="000E0902"/>
    <w:rsid w:val="000E3830"/>
    <w:rsid w:val="000F070B"/>
    <w:rsid w:val="000F3158"/>
    <w:rsid w:val="000F364D"/>
    <w:rsid w:val="000F4432"/>
    <w:rsid w:val="000F465E"/>
    <w:rsid w:val="000F5E8C"/>
    <w:rsid w:val="001000B2"/>
    <w:rsid w:val="00104C6C"/>
    <w:rsid w:val="0010560E"/>
    <w:rsid w:val="0010612A"/>
    <w:rsid w:val="00106FF7"/>
    <w:rsid w:val="00107111"/>
    <w:rsid w:val="001073D6"/>
    <w:rsid w:val="00107819"/>
    <w:rsid w:val="0011574B"/>
    <w:rsid w:val="0011598A"/>
    <w:rsid w:val="00116132"/>
    <w:rsid w:val="00117B9C"/>
    <w:rsid w:val="00117E7D"/>
    <w:rsid w:val="00120EA6"/>
    <w:rsid w:val="00122196"/>
    <w:rsid w:val="0012439D"/>
    <w:rsid w:val="0012587C"/>
    <w:rsid w:val="0013591D"/>
    <w:rsid w:val="001371A7"/>
    <w:rsid w:val="00141DE8"/>
    <w:rsid w:val="00144105"/>
    <w:rsid w:val="00145B4E"/>
    <w:rsid w:val="00153522"/>
    <w:rsid w:val="001544E1"/>
    <w:rsid w:val="001551CE"/>
    <w:rsid w:val="00164732"/>
    <w:rsid w:val="00164FE1"/>
    <w:rsid w:val="001703D7"/>
    <w:rsid w:val="001719D0"/>
    <w:rsid w:val="00172245"/>
    <w:rsid w:val="0017403C"/>
    <w:rsid w:val="00174241"/>
    <w:rsid w:val="00176E7D"/>
    <w:rsid w:val="001804B7"/>
    <w:rsid w:val="001827F5"/>
    <w:rsid w:val="001834A6"/>
    <w:rsid w:val="00183C43"/>
    <w:rsid w:val="00185652"/>
    <w:rsid w:val="00187750"/>
    <w:rsid w:val="00190292"/>
    <w:rsid w:val="001926B8"/>
    <w:rsid w:val="0019341A"/>
    <w:rsid w:val="001952EC"/>
    <w:rsid w:val="001A0F7A"/>
    <w:rsid w:val="001A1677"/>
    <w:rsid w:val="001A5FD3"/>
    <w:rsid w:val="001B0380"/>
    <w:rsid w:val="001B04A4"/>
    <w:rsid w:val="001B1CE4"/>
    <w:rsid w:val="001B30D5"/>
    <w:rsid w:val="001B382A"/>
    <w:rsid w:val="001B5C88"/>
    <w:rsid w:val="001B6CE6"/>
    <w:rsid w:val="001C046D"/>
    <w:rsid w:val="001C0B11"/>
    <w:rsid w:val="001C1412"/>
    <w:rsid w:val="001C2291"/>
    <w:rsid w:val="001C391F"/>
    <w:rsid w:val="001C5135"/>
    <w:rsid w:val="001C796E"/>
    <w:rsid w:val="001D01A8"/>
    <w:rsid w:val="001D1367"/>
    <w:rsid w:val="001D5041"/>
    <w:rsid w:val="001D5A7C"/>
    <w:rsid w:val="001D76AA"/>
    <w:rsid w:val="001E21EA"/>
    <w:rsid w:val="001E288A"/>
    <w:rsid w:val="001E3ABB"/>
    <w:rsid w:val="001E4C24"/>
    <w:rsid w:val="001E5C43"/>
    <w:rsid w:val="001E6BB9"/>
    <w:rsid w:val="001F07B6"/>
    <w:rsid w:val="001F0B92"/>
    <w:rsid w:val="001F1094"/>
    <w:rsid w:val="001F2F0E"/>
    <w:rsid w:val="001F33AA"/>
    <w:rsid w:val="001F6236"/>
    <w:rsid w:val="00200051"/>
    <w:rsid w:val="00202D5A"/>
    <w:rsid w:val="00205F02"/>
    <w:rsid w:val="0021307B"/>
    <w:rsid w:val="002142B8"/>
    <w:rsid w:val="002150CF"/>
    <w:rsid w:val="002161F4"/>
    <w:rsid w:val="00216E75"/>
    <w:rsid w:val="00221907"/>
    <w:rsid w:val="00222FA8"/>
    <w:rsid w:val="0022532A"/>
    <w:rsid w:val="00227AFB"/>
    <w:rsid w:val="002335A2"/>
    <w:rsid w:val="00235741"/>
    <w:rsid w:val="00236B18"/>
    <w:rsid w:val="002401EA"/>
    <w:rsid w:val="00241B9D"/>
    <w:rsid w:val="00242637"/>
    <w:rsid w:val="002439D4"/>
    <w:rsid w:val="00245CB2"/>
    <w:rsid w:val="00246A44"/>
    <w:rsid w:val="00247317"/>
    <w:rsid w:val="00250BAC"/>
    <w:rsid w:val="00260245"/>
    <w:rsid w:val="0026252A"/>
    <w:rsid w:val="00262BB1"/>
    <w:rsid w:val="00263D3A"/>
    <w:rsid w:val="002643BE"/>
    <w:rsid w:val="00265325"/>
    <w:rsid w:val="00266E84"/>
    <w:rsid w:val="00270A1D"/>
    <w:rsid w:val="002715FC"/>
    <w:rsid w:val="002736FD"/>
    <w:rsid w:val="00274CFA"/>
    <w:rsid w:val="00275677"/>
    <w:rsid w:val="00275A3F"/>
    <w:rsid w:val="0028068C"/>
    <w:rsid w:val="00282A89"/>
    <w:rsid w:val="00283F8F"/>
    <w:rsid w:val="002869F9"/>
    <w:rsid w:val="00292F98"/>
    <w:rsid w:val="002939A0"/>
    <w:rsid w:val="002959A3"/>
    <w:rsid w:val="0029626E"/>
    <w:rsid w:val="00296E59"/>
    <w:rsid w:val="00297CEF"/>
    <w:rsid w:val="002A0364"/>
    <w:rsid w:val="002A1661"/>
    <w:rsid w:val="002A1A25"/>
    <w:rsid w:val="002A563C"/>
    <w:rsid w:val="002B05EF"/>
    <w:rsid w:val="002B2952"/>
    <w:rsid w:val="002B2E34"/>
    <w:rsid w:val="002B76FA"/>
    <w:rsid w:val="002C029E"/>
    <w:rsid w:val="002C2C71"/>
    <w:rsid w:val="002C4AF9"/>
    <w:rsid w:val="002C5A65"/>
    <w:rsid w:val="002C6647"/>
    <w:rsid w:val="002C71F3"/>
    <w:rsid w:val="002C7BD2"/>
    <w:rsid w:val="002D2112"/>
    <w:rsid w:val="002D53D7"/>
    <w:rsid w:val="002D5508"/>
    <w:rsid w:val="002D5FC1"/>
    <w:rsid w:val="002D6F07"/>
    <w:rsid w:val="002D7AB3"/>
    <w:rsid w:val="002E1723"/>
    <w:rsid w:val="002E1D3C"/>
    <w:rsid w:val="002E1F73"/>
    <w:rsid w:val="002E269D"/>
    <w:rsid w:val="002E3460"/>
    <w:rsid w:val="002E70AE"/>
    <w:rsid w:val="002F0C41"/>
    <w:rsid w:val="002F1751"/>
    <w:rsid w:val="002F5B6A"/>
    <w:rsid w:val="002F5BF5"/>
    <w:rsid w:val="002F5ECA"/>
    <w:rsid w:val="00306572"/>
    <w:rsid w:val="003079C7"/>
    <w:rsid w:val="00312E14"/>
    <w:rsid w:val="003169F3"/>
    <w:rsid w:val="0032078D"/>
    <w:rsid w:val="00321CE0"/>
    <w:rsid w:val="0032231F"/>
    <w:rsid w:val="00323B43"/>
    <w:rsid w:val="00325BCC"/>
    <w:rsid w:val="003309A3"/>
    <w:rsid w:val="00334160"/>
    <w:rsid w:val="003345BC"/>
    <w:rsid w:val="00337147"/>
    <w:rsid w:val="00343662"/>
    <w:rsid w:val="0035365E"/>
    <w:rsid w:val="00355403"/>
    <w:rsid w:val="003559D6"/>
    <w:rsid w:val="003569A8"/>
    <w:rsid w:val="00357181"/>
    <w:rsid w:val="00361FFF"/>
    <w:rsid w:val="00362340"/>
    <w:rsid w:val="003638E1"/>
    <w:rsid w:val="003653A5"/>
    <w:rsid w:val="00366971"/>
    <w:rsid w:val="00367DF7"/>
    <w:rsid w:val="00370AFA"/>
    <w:rsid w:val="0037120F"/>
    <w:rsid w:val="0037242E"/>
    <w:rsid w:val="003743E9"/>
    <w:rsid w:val="0038005F"/>
    <w:rsid w:val="003803CC"/>
    <w:rsid w:val="00382949"/>
    <w:rsid w:val="00391AE3"/>
    <w:rsid w:val="00396D4C"/>
    <w:rsid w:val="003A02BE"/>
    <w:rsid w:val="003A1765"/>
    <w:rsid w:val="003A3C32"/>
    <w:rsid w:val="003A4D02"/>
    <w:rsid w:val="003A4D52"/>
    <w:rsid w:val="003A536E"/>
    <w:rsid w:val="003B3074"/>
    <w:rsid w:val="003B3E01"/>
    <w:rsid w:val="003B4BEF"/>
    <w:rsid w:val="003B6DEC"/>
    <w:rsid w:val="003B79D3"/>
    <w:rsid w:val="003C17B9"/>
    <w:rsid w:val="003C2B92"/>
    <w:rsid w:val="003C62BD"/>
    <w:rsid w:val="003D126B"/>
    <w:rsid w:val="003D1D33"/>
    <w:rsid w:val="003D22C9"/>
    <w:rsid w:val="003D28AC"/>
    <w:rsid w:val="003D2D6F"/>
    <w:rsid w:val="003D37D8"/>
    <w:rsid w:val="003D7B2A"/>
    <w:rsid w:val="003E266C"/>
    <w:rsid w:val="003E3C05"/>
    <w:rsid w:val="003E7199"/>
    <w:rsid w:val="003F282F"/>
    <w:rsid w:val="003F698F"/>
    <w:rsid w:val="00400E89"/>
    <w:rsid w:val="00401AB4"/>
    <w:rsid w:val="00402CA2"/>
    <w:rsid w:val="00402D95"/>
    <w:rsid w:val="00403ADD"/>
    <w:rsid w:val="00407629"/>
    <w:rsid w:val="004108EE"/>
    <w:rsid w:val="00410F1A"/>
    <w:rsid w:val="00412A31"/>
    <w:rsid w:val="004200B9"/>
    <w:rsid w:val="00426133"/>
    <w:rsid w:val="004300B1"/>
    <w:rsid w:val="00430AF8"/>
    <w:rsid w:val="0043148F"/>
    <w:rsid w:val="0043354D"/>
    <w:rsid w:val="00434EB0"/>
    <w:rsid w:val="004358AB"/>
    <w:rsid w:val="00435DA7"/>
    <w:rsid w:val="004370A2"/>
    <w:rsid w:val="00445C28"/>
    <w:rsid w:val="004468B5"/>
    <w:rsid w:val="00451E9F"/>
    <w:rsid w:val="004551F1"/>
    <w:rsid w:val="00456648"/>
    <w:rsid w:val="00457E00"/>
    <w:rsid w:val="00461E7C"/>
    <w:rsid w:val="004639E0"/>
    <w:rsid w:val="00463A6D"/>
    <w:rsid w:val="00465A21"/>
    <w:rsid w:val="0047047F"/>
    <w:rsid w:val="00472C49"/>
    <w:rsid w:val="00474DE3"/>
    <w:rsid w:val="00477959"/>
    <w:rsid w:val="00486217"/>
    <w:rsid w:val="00486A56"/>
    <w:rsid w:val="004921A7"/>
    <w:rsid w:val="00494D73"/>
    <w:rsid w:val="004A144C"/>
    <w:rsid w:val="004A19C4"/>
    <w:rsid w:val="004A5A02"/>
    <w:rsid w:val="004A6EA4"/>
    <w:rsid w:val="004B146A"/>
    <w:rsid w:val="004B1E69"/>
    <w:rsid w:val="004B2C9C"/>
    <w:rsid w:val="004B4146"/>
    <w:rsid w:val="004B5892"/>
    <w:rsid w:val="004B59DD"/>
    <w:rsid w:val="004B5E88"/>
    <w:rsid w:val="004B5EDE"/>
    <w:rsid w:val="004C0341"/>
    <w:rsid w:val="004C46D3"/>
    <w:rsid w:val="004C5D39"/>
    <w:rsid w:val="004C7656"/>
    <w:rsid w:val="004C7C48"/>
    <w:rsid w:val="004D21B9"/>
    <w:rsid w:val="004D21FF"/>
    <w:rsid w:val="004D2DD5"/>
    <w:rsid w:val="004D41F0"/>
    <w:rsid w:val="004D55F1"/>
    <w:rsid w:val="004D578A"/>
    <w:rsid w:val="004D656B"/>
    <w:rsid w:val="004D7523"/>
    <w:rsid w:val="004E0AA9"/>
    <w:rsid w:val="004E1AEF"/>
    <w:rsid w:val="004E3774"/>
    <w:rsid w:val="004E446B"/>
    <w:rsid w:val="004E5448"/>
    <w:rsid w:val="004E5DFC"/>
    <w:rsid w:val="004E642E"/>
    <w:rsid w:val="004E7ADC"/>
    <w:rsid w:val="004F4875"/>
    <w:rsid w:val="004F4EAA"/>
    <w:rsid w:val="005031BA"/>
    <w:rsid w:val="00507211"/>
    <w:rsid w:val="00507934"/>
    <w:rsid w:val="0051171B"/>
    <w:rsid w:val="00512D1D"/>
    <w:rsid w:val="005131A5"/>
    <w:rsid w:val="00515160"/>
    <w:rsid w:val="00516D5A"/>
    <w:rsid w:val="005170FB"/>
    <w:rsid w:val="0052300D"/>
    <w:rsid w:val="00523B77"/>
    <w:rsid w:val="0052474C"/>
    <w:rsid w:val="00524A13"/>
    <w:rsid w:val="00525074"/>
    <w:rsid w:val="00525520"/>
    <w:rsid w:val="0053098D"/>
    <w:rsid w:val="005319EE"/>
    <w:rsid w:val="00531BE2"/>
    <w:rsid w:val="00533F7A"/>
    <w:rsid w:val="005421AC"/>
    <w:rsid w:val="005435F5"/>
    <w:rsid w:val="00544C1A"/>
    <w:rsid w:val="00546D1B"/>
    <w:rsid w:val="0055027D"/>
    <w:rsid w:val="00554FA1"/>
    <w:rsid w:val="00556934"/>
    <w:rsid w:val="005607DF"/>
    <w:rsid w:val="005626FD"/>
    <w:rsid w:val="00564377"/>
    <w:rsid w:val="00564538"/>
    <w:rsid w:val="00566A89"/>
    <w:rsid w:val="00566BB9"/>
    <w:rsid w:val="00567E07"/>
    <w:rsid w:val="005771F7"/>
    <w:rsid w:val="00577B7B"/>
    <w:rsid w:val="00583F7F"/>
    <w:rsid w:val="0058600B"/>
    <w:rsid w:val="00587913"/>
    <w:rsid w:val="00593428"/>
    <w:rsid w:val="00593B65"/>
    <w:rsid w:val="005A15D6"/>
    <w:rsid w:val="005A1FD8"/>
    <w:rsid w:val="005A317D"/>
    <w:rsid w:val="005A79F9"/>
    <w:rsid w:val="005B221D"/>
    <w:rsid w:val="005C3594"/>
    <w:rsid w:val="005C46B7"/>
    <w:rsid w:val="005C7C8B"/>
    <w:rsid w:val="005D5617"/>
    <w:rsid w:val="005D6591"/>
    <w:rsid w:val="005D6869"/>
    <w:rsid w:val="005D7446"/>
    <w:rsid w:val="005E5F88"/>
    <w:rsid w:val="005F06F5"/>
    <w:rsid w:val="005F46C0"/>
    <w:rsid w:val="005F471D"/>
    <w:rsid w:val="005F720A"/>
    <w:rsid w:val="005F7467"/>
    <w:rsid w:val="005F767A"/>
    <w:rsid w:val="005F774E"/>
    <w:rsid w:val="005F78E7"/>
    <w:rsid w:val="006007F3"/>
    <w:rsid w:val="0060402C"/>
    <w:rsid w:val="0061252A"/>
    <w:rsid w:val="006135B3"/>
    <w:rsid w:val="006138D4"/>
    <w:rsid w:val="00614269"/>
    <w:rsid w:val="00616C03"/>
    <w:rsid w:val="00616F30"/>
    <w:rsid w:val="006215A2"/>
    <w:rsid w:val="00621F7D"/>
    <w:rsid w:val="00622AD1"/>
    <w:rsid w:val="00623267"/>
    <w:rsid w:val="00625428"/>
    <w:rsid w:val="0062670B"/>
    <w:rsid w:val="00630B86"/>
    <w:rsid w:val="00630F5B"/>
    <w:rsid w:val="00634C66"/>
    <w:rsid w:val="006352D1"/>
    <w:rsid w:val="00636E1A"/>
    <w:rsid w:val="0064172D"/>
    <w:rsid w:val="00642BA5"/>
    <w:rsid w:val="006434E0"/>
    <w:rsid w:val="00650C90"/>
    <w:rsid w:val="0065172D"/>
    <w:rsid w:val="0065287D"/>
    <w:rsid w:val="0065671B"/>
    <w:rsid w:val="00656A5A"/>
    <w:rsid w:val="0066092E"/>
    <w:rsid w:val="00663A42"/>
    <w:rsid w:val="0066418E"/>
    <w:rsid w:val="0066469F"/>
    <w:rsid w:val="0067780F"/>
    <w:rsid w:val="00686C30"/>
    <w:rsid w:val="00690FA3"/>
    <w:rsid w:val="0069331D"/>
    <w:rsid w:val="00696DF8"/>
    <w:rsid w:val="0069783E"/>
    <w:rsid w:val="00697E26"/>
    <w:rsid w:val="006A0330"/>
    <w:rsid w:val="006A1339"/>
    <w:rsid w:val="006A3AE1"/>
    <w:rsid w:val="006A3B57"/>
    <w:rsid w:val="006A6AB2"/>
    <w:rsid w:val="006B117D"/>
    <w:rsid w:val="006B19B7"/>
    <w:rsid w:val="006B2F7E"/>
    <w:rsid w:val="006B392C"/>
    <w:rsid w:val="006B4CC0"/>
    <w:rsid w:val="006B65B0"/>
    <w:rsid w:val="006C5198"/>
    <w:rsid w:val="006C6A07"/>
    <w:rsid w:val="006E0A3D"/>
    <w:rsid w:val="006E27F1"/>
    <w:rsid w:val="006E5BC8"/>
    <w:rsid w:val="006E756F"/>
    <w:rsid w:val="006E7CBA"/>
    <w:rsid w:val="006F222F"/>
    <w:rsid w:val="006F7B69"/>
    <w:rsid w:val="0070241F"/>
    <w:rsid w:val="007024A9"/>
    <w:rsid w:val="00703C96"/>
    <w:rsid w:val="007130D7"/>
    <w:rsid w:val="00713E98"/>
    <w:rsid w:val="00715591"/>
    <w:rsid w:val="00715AE8"/>
    <w:rsid w:val="0072516F"/>
    <w:rsid w:val="0073034D"/>
    <w:rsid w:val="00731ADC"/>
    <w:rsid w:val="00732D78"/>
    <w:rsid w:val="007330F2"/>
    <w:rsid w:val="00733DB0"/>
    <w:rsid w:val="00734C0C"/>
    <w:rsid w:val="00735043"/>
    <w:rsid w:val="00740444"/>
    <w:rsid w:val="00744577"/>
    <w:rsid w:val="007446E3"/>
    <w:rsid w:val="00744FAC"/>
    <w:rsid w:val="007452CF"/>
    <w:rsid w:val="00745597"/>
    <w:rsid w:val="00746055"/>
    <w:rsid w:val="00746DA9"/>
    <w:rsid w:val="00747086"/>
    <w:rsid w:val="007515E2"/>
    <w:rsid w:val="00756D66"/>
    <w:rsid w:val="00761D80"/>
    <w:rsid w:val="0076364A"/>
    <w:rsid w:val="00766FC5"/>
    <w:rsid w:val="00770E5B"/>
    <w:rsid w:val="00772930"/>
    <w:rsid w:val="00774589"/>
    <w:rsid w:val="00776E20"/>
    <w:rsid w:val="007814AF"/>
    <w:rsid w:val="007825F0"/>
    <w:rsid w:val="00787F88"/>
    <w:rsid w:val="0079721A"/>
    <w:rsid w:val="007A095C"/>
    <w:rsid w:val="007A0AF8"/>
    <w:rsid w:val="007A0E87"/>
    <w:rsid w:val="007A283A"/>
    <w:rsid w:val="007A65C8"/>
    <w:rsid w:val="007A6B16"/>
    <w:rsid w:val="007A7AC4"/>
    <w:rsid w:val="007B639C"/>
    <w:rsid w:val="007B7036"/>
    <w:rsid w:val="007C0870"/>
    <w:rsid w:val="007C2D10"/>
    <w:rsid w:val="007C457D"/>
    <w:rsid w:val="007D02A9"/>
    <w:rsid w:val="007D166D"/>
    <w:rsid w:val="007D17C7"/>
    <w:rsid w:val="007D2766"/>
    <w:rsid w:val="007D2FF7"/>
    <w:rsid w:val="007D74D8"/>
    <w:rsid w:val="007E13A4"/>
    <w:rsid w:val="007E20CA"/>
    <w:rsid w:val="007E22FB"/>
    <w:rsid w:val="007E3988"/>
    <w:rsid w:val="007E4698"/>
    <w:rsid w:val="007E6959"/>
    <w:rsid w:val="007E6991"/>
    <w:rsid w:val="007E7A36"/>
    <w:rsid w:val="007F222D"/>
    <w:rsid w:val="007F3FB7"/>
    <w:rsid w:val="007F518D"/>
    <w:rsid w:val="007F68FE"/>
    <w:rsid w:val="007F7E7E"/>
    <w:rsid w:val="00803C29"/>
    <w:rsid w:val="00804970"/>
    <w:rsid w:val="00804E5E"/>
    <w:rsid w:val="00804FAA"/>
    <w:rsid w:val="00805678"/>
    <w:rsid w:val="00805D26"/>
    <w:rsid w:val="0081553D"/>
    <w:rsid w:val="00815BE9"/>
    <w:rsid w:val="00815C94"/>
    <w:rsid w:val="00815CF6"/>
    <w:rsid w:val="00816990"/>
    <w:rsid w:val="00817981"/>
    <w:rsid w:val="00822851"/>
    <w:rsid w:val="00824A75"/>
    <w:rsid w:val="0082509A"/>
    <w:rsid w:val="00825A51"/>
    <w:rsid w:val="00825D53"/>
    <w:rsid w:val="008272DF"/>
    <w:rsid w:val="00831065"/>
    <w:rsid w:val="008337A7"/>
    <w:rsid w:val="00835BCB"/>
    <w:rsid w:val="00836773"/>
    <w:rsid w:val="00836E6A"/>
    <w:rsid w:val="00837761"/>
    <w:rsid w:val="008410D0"/>
    <w:rsid w:val="00841559"/>
    <w:rsid w:val="0084558B"/>
    <w:rsid w:val="00845924"/>
    <w:rsid w:val="00846107"/>
    <w:rsid w:val="00847E07"/>
    <w:rsid w:val="00851297"/>
    <w:rsid w:val="00852C43"/>
    <w:rsid w:val="00853737"/>
    <w:rsid w:val="008541B8"/>
    <w:rsid w:val="00857249"/>
    <w:rsid w:val="00861067"/>
    <w:rsid w:val="00862AE2"/>
    <w:rsid w:val="00862C25"/>
    <w:rsid w:val="00863CA2"/>
    <w:rsid w:val="00864A80"/>
    <w:rsid w:val="008655ED"/>
    <w:rsid w:val="00866942"/>
    <w:rsid w:val="00871B0D"/>
    <w:rsid w:val="00871B14"/>
    <w:rsid w:val="008735A1"/>
    <w:rsid w:val="00875962"/>
    <w:rsid w:val="00880325"/>
    <w:rsid w:val="00880A04"/>
    <w:rsid w:val="00882ABD"/>
    <w:rsid w:val="008844A4"/>
    <w:rsid w:val="008857CC"/>
    <w:rsid w:val="0089314F"/>
    <w:rsid w:val="0089328E"/>
    <w:rsid w:val="0089513A"/>
    <w:rsid w:val="00895E0A"/>
    <w:rsid w:val="00896069"/>
    <w:rsid w:val="00896786"/>
    <w:rsid w:val="008976AB"/>
    <w:rsid w:val="008979A9"/>
    <w:rsid w:val="008A2C15"/>
    <w:rsid w:val="008A3DBA"/>
    <w:rsid w:val="008A483E"/>
    <w:rsid w:val="008A5601"/>
    <w:rsid w:val="008B7726"/>
    <w:rsid w:val="008C08EC"/>
    <w:rsid w:val="008C2997"/>
    <w:rsid w:val="008C37EE"/>
    <w:rsid w:val="008C443B"/>
    <w:rsid w:val="008C5259"/>
    <w:rsid w:val="008C538A"/>
    <w:rsid w:val="008D0618"/>
    <w:rsid w:val="008D1AEB"/>
    <w:rsid w:val="008D1E23"/>
    <w:rsid w:val="008D2A7C"/>
    <w:rsid w:val="008D3031"/>
    <w:rsid w:val="008D4A8E"/>
    <w:rsid w:val="008D4F00"/>
    <w:rsid w:val="008D7DBC"/>
    <w:rsid w:val="008E08B2"/>
    <w:rsid w:val="008E0AFC"/>
    <w:rsid w:val="008E1E43"/>
    <w:rsid w:val="008E3064"/>
    <w:rsid w:val="008E3116"/>
    <w:rsid w:val="008E637F"/>
    <w:rsid w:val="008E66FE"/>
    <w:rsid w:val="008F27DB"/>
    <w:rsid w:val="008F5B6F"/>
    <w:rsid w:val="009002A3"/>
    <w:rsid w:val="0090038C"/>
    <w:rsid w:val="009007EC"/>
    <w:rsid w:val="00900EF5"/>
    <w:rsid w:val="00900F84"/>
    <w:rsid w:val="00901EE5"/>
    <w:rsid w:val="0090421D"/>
    <w:rsid w:val="00906447"/>
    <w:rsid w:val="00913197"/>
    <w:rsid w:val="0091349D"/>
    <w:rsid w:val="009141C7"/>
    <w:rsid w:val="009160EA"/>
    <w:rsid w:val="00920597"/>
    <w:rsid w:val="00921E42"/>
    <w:rsid w:val="00922872"/>
    <w:rsid w:val="0092425B"/>
    <w:rsid w:val="00924D39"/>
    <w:rsid w:val="00924FFE"/>
    <w:rsid w:val="009263C3"/>
    <w:rsid w:val="009268AB"/>
    <w:rsid w:val="009364FF"/>
    <w:rsid w:val="00942397"/>
    <w:rsid w:val="009425B4"/>
    <w:rsid w:val="00946F52"/>
    <w:rsid w:val="00950F44"/>
    <w:rsid w:val="00952A7D"/>
    <w:rsid w:val="00952BF8"/>
    <w:rsid w:val="00953747"/>
    <w:rsid w:val="0095565A"/>
    <w:rsid w:val="00955918"/>
    <w:rsid w:val="00960439"/>
    <w:rsid w:val="00961D67"/>
    <w:rsid w:val="00962C15"/>
    <w:rsid w:val="00962D93"/>
    <w:rsid w:val="009636EF"/>
    <w:rsid w:val="0096408D"/>
    <w:rsid w:val="009651A8"/>
    <w:rsid w:val="009657E9"/>
    <w:rsid w:val="0096666B"/>
    <w:rsid w:val="009719C3"/>
    <w:rsid w:val="0097578E"/>
    <w:rsid w:val="00976E55"/>
    <w:rsid w:val="009814B0"/>
    <w:rsid w:val="00984D41"/>
    <w:rsid w:val="009852BB"/>
    <w:rsid w:val="009853C4"/>
    <w:rsid w:val="0098547C"/>
    <w:rsid w:val="009860B4"/>
    <w:rsid w:val="00986724"/>
    <w:rsid w:val="0098718E"/>
    <w:rsid w:val="00992049"/>
    <w:rsid w:val="00994269"/>
    <w:rsid w:val="0099439A"/>
    <w:rsid w:val="00994737"/>
    <w:rsid w:val="009A0F00"/>
    <w:rsid w:val="009A37AE"/>
    <w:rsid w:val="009A4059"/>
    <w:rsid w:val="009A47EF"/>
    <w:rsid w:val="009B1979"/>
    <w:rsid w:val="009B1E1B"/>
    <w:rsid w:val="009B2CC0"/>
    <w:rsid w:val="009B4C38"/>
    <w:rsid w:val="009C0DAB"/>
    <w:rsid w:val="009C1E20"/>
    <w:rsid w:val="009D0378"/>
    <w:rsid w:val="009D0F18"/>
    <w:rsid w:val="009D1EFB"/>
    <w:rsid w:val="009D5964"/>
    <w:rsid w:val="009D6A0C"/>
    <w:rsid w:val="009E0725"/>
    <w:rsid w:val="009E1492"/>
    <w:rsid w:val="009E27C4"/>
    <w:rsid w:val="009E4B3F"/>
    <w:rsid w:val="009E5877"/>
    <w:rsid w:val="009F69B0"/>
    <w:rsid w:val="00A0310D"/>
    <w:rsid w:val="00A073F4"/>
    <w:rsid w:val="00A07BBE"/>
    <w:rsid w:val="00A16439"/>
    <w:rsid w:val="00A16F50"/>
    <w:rsid w:val="00A21057"/>
    <w:rsid w:val="00A217CE"/>
    <w:rsid w:val="00A21E86"/>
    <w:rsid w:val="00A22DFB"/>
    <w:rsid w:val="00A25327"/>
    <w:rsid w:val="00A305E3"/>
    <w:rsid w:val="00A353F1"/>
    <w:rsid w:val="00A357B0"/>
    <w:rsid w:val="00A35B22"/>
    <w:rsid w:val="00A42B99"/>
    <w:rsid w:val="00A479B6"/>
    <w:rsid w:val="00A50D3C"/>
    <w:rsid w:val="00A532E3"/>
    <w:rsid w:val="00A54D9C"/>
    <w:rsid w:val="00A57200"/>
    <w:rsid w:val="00A57865"/>
    <w:rsid w:val="00A62B31"/>
    <w:rsid w:val="00A63230"/>
    <w:rsid w:val="00A64850"/>
    <w:rsid w:val="00A65003"/>
    <w:rsid w:val="00A651B7"/>
    <w:rsid w:val="00A65202"/>
    <w:rsid w:val="00A66E14"/>
    <w:rsid w:val="00A70F25"/>
    <w:rsid w:val="00A71170"/>
    <w:rsid w:val="00A73299"/>
    <w:rsid w:val="00A7536B"/>
    <w:rsid w:val="00A80356"/>
    <w:rsid w:val="00A816B6"/>
    <w:rsid w:val="00A82D81"/>
    <w:rsid w:val="00A94CFF"/>
    <w:rsid w:val="00A96E79"/>
    <w:rsid w:val="00AA2033"/>
    <w:rsid w:val="00AA4A07"/>
    <w:rsid w:val="00AA6230"/>
    <w:rsid w:val="00AB632D"/>
    <w:rsid w:val="00AC5444"/>
    <w:rsid w:val="00AC70E1"/>
    <w:rsid w:val="00AD1D29"/>
    <w:rsid w:val="00AD328E"/>
    <w:rsid w:val="00AD5147"/>
    <w:rsid w:val="00AE0837"/>
    <w:rsid w:val="00AE11C8"/>
    <w:rsid w:val="00AE355C"/>
    <w:rsid w:val="00AE4EFC"/>
    <w:rsid w:val="00AE5731"/>
    <w:rsid w:val="00AE7127"/>
    <w:rsid w:val="00AF6BA2"/>
    <w:rsid w:val="00AF7801"/>
    <w:rsid w:val="00B019E2"/>
    <w:rsid w:val="00B020ED"/>
    <w:rsid w:val="00B036CB"/>
    <w:rsid w:val="00B130D5"/>
    <w:rsid w:val="00B13566"/>
    <w:rsid w:val="00B13A54"/>
    <w:rsid w:val="00B14220"/>
    <w:rsid w:val="00B16868"/>
    <w:rsid w:val="00B17251"/>
    <w:rsid w:val="00B2159A"/>
    <w:rsid w:val="00B21D32"/>
    <w:rsid w:val="00B24A9D"/>
    <w:rsid w:val="00B313B2"/>
    <w:rsid w:val="00B34A43"/>
    <w:rsid w:val="00B359FE"/>
    <w:rsid w:val="00B36912"/>
    <w:rsid w:val="00B404A0"/>
    <w:rsid w:val="00B4256A"/>
    <w:rsid w:val="00B432AB"/>
    <w:rsid w:val="00B462D3"/>
    <w:rsid w:val="00B50624"/>
    <w:rsid w:val="00B52587"/>
    <w:rsid w:val="00B54D75"/>
    <w:rsid w:val="00B60C2A"/>
    <w:rsid w:val="00B65FC0"/>
    <w:rsid w:val="00B707DD"/>
    <w:rsid w:val="00B719F4"/>
    <w:rsid w:val="00B73995"/>
    <w:rsid w:val="00B74DBC"/>
    <w:rsid w:val="00B75E08"/>
    <w:rsid w:val="00B76684"/>
    <w:rsid w:val="00B7698F"/>
    <w:rsid w:val="00B85F5F"/>
    <w:rsid w:val="00B86395"/>
    <w:rsid w:val="00B86E2B"/>
    <w:rsid w:val="00B91DEC"/>
    <w:rsid w:val="00B92A56"/>
    <w:rsid w:val="00B931F8"/>
    <w:rsid w:val="00B95DB0"/>
    <w:rsid w:val="00B9722F"/>
    <w:rsid w:val="00B97741"/>
    <w:rsid w:val="00BA0721"/>
    <w:rsid w:val="00BA1883"/>
    <w:rsid w:val="00BA227D"/>
    <w:rsid w:val="00BA4C84"/>
    <w:rsid w:val="00BC09FC"/>
    <w:rsid w:val="00BC0DD5"/>
    <w:rsid w:val="00BC0E42"/>
    <w:rsid w:val="00BC60E6"/>
    <w:rsid w:val="00BD2177"/>
    <w:rsid w:val="00BE4BA0"/>
    <w:rsid w:val="00BE66AA"/>
    <w:rsid w:val="00BE73B9"/>
    <w:rsid w:val="00BF444F"/>
    <w:rsid w:val="00BF77F5"/>
    <w:rsid w:val="00C01D8A"/>
    <w:rsid w:val="00C023EF"/>
    <w:rsid w:val="00C15415"/>
    <w:rsid w:val="00C16FE4"/>
    <w:rsid w:val="00C172EB"/>
    <w:rsid w:val="00C22136"/>
    <w:rsid w:val="00C22F98"/>
    <w:rsid w:val="00C2363B"/>
    <w:rsid w:val="00C24697"/>
    <w:rsid w:val="00C26560"/>
    <w:rsid w:val="00C3062F"/>
    <w:rsid w:val="00C31E17"/>
    <w:rsid w:val="00C32E7A"/>
    <w:rsid w:val="00C408D9"/>
    <w:rsid w:val="00C42A95"/>
    <w:rsid w:val="00C42DB9"/>
    <w:rsid w:val="00C447FD"/>
    <w:rsid w:val="00C44B90"/>
    <w:rsid w:val="00C51434"/>
    <w:rsid w:val="00C51743"/>
    <w:rsid w:val="00C51A61"/>
    <w:rsid w:val="00C5675B"/>
    <w:rsid w:val="00C57393"/>
    <w:rsid w:val="00C64553"/>
    <w:rsid w:val="00C64C71"/>
    <w:rsid w:val="00C6528B"/>
    <w:rsid w:val="00C661B3"/>
    <w:rsid w:val="00C67EFC"/>
    <w:rsid w:val="00C70300"/>
    <w:rsid w:val="00C7037D"/>
    <w:rsid w:val="00C70637"/>
    <w:rsid w:val="00C71DC8"/>
    <w:rsid w:val="00C73E69"/>
    <w:rsid w:val="00C74592"/>
    <w:rsid w:val="00C767BA"/>
    <w:rsid w:val="00C8048C"/>
    <w:rsid w:val="00C80C68"/>
    <w:rsid w:val="00C86E9A"/>
    <w:rsid w:val="00C93A3D"/>
    <w:rsid w:val="00C94F0A"/>
    <w:rsid w:val="00CA3203"/>
    <w:rsid w:val="00CA6058"/>
    <w:rsid w:val="00CA6BD1"/>
    <w:rsid w:val="00CB1B1B"/>
    <w:rsid w:val="00CB3E03"/>
    <w:rsid w:val="00CB580D"/>
    <w:rsid w:val="00CB6098"/>
    <w:rsid w:val="00CB623E"/>
    <w:rsid w:val="00CC0BA5"/>
    <w:rsid w:val="00CC1F3E"/>
    <w:rsid w:val="00CC236E"/>
    <w:rsid w:val="00CC2B2A"/>
    <w:rsid w:val="00CC6216"/>
    <w:rsid w:val="00CC6A8D"/>
    <w:rsid w:val="00CC70FA"/>
    <w:rsid w:val="00CD37C3"/>
    <w:rsid w:val="00CD3911"/>
    <w:rsid w:val="00CD48EF"/>
    <w:rsid w:val="00CD4BA1"/>
    <w:rsid w:val="00CD59A6"/>
    <w:rsid w:val="00CD7A73"/>
    <w:rsid w:val="00CE33C1"/>
    <w:rsid w:val="00CE3834"/>
    <w:rsid w:val="00CF148C"/>
    <w:rsid w:val="00CF3D94"/>
    <w:rsid w:val="00CF48A3"/>
    <w:rsid w:val="00CF5081"/>
    <w:rsid w:val="00D058E4"/>
    <w:rsid w:val="00D07178"/>
    <w:rsid w:val="00D11C0B"/>
    <w:rsid w:val="00D11EE9"/>
    <w:rsid w:val="00D13F47"/>
    <w:rsid w:val="00D14E66"/>
    <w:rsid w:val="00D17631"/>
    <w:rsid w:val="00D17CD3"/>
    <w:rsid w:val="00D21B22"/>
    <w:rsid w:val="00D24AEB"/>
    <w:rsid w:val="00D24AFD"/>
    <w:rsid w:val="00D27902"/>
    <w:rsid w:val="00D27984"/>
    <w:rsid w:val="00D31D50"/>
    <w:rsid w:val="00D323E9"/>
    <w:rsid w:val="00D34F5B"/>
    <w:rsid w:val="00D35023"/>
    <w:rsid w:val="00D36528"/>
    <w:rsid w:val="00D403B8"/>
    <w:rsid w:val="00D41AB6"/>
    <w:rsid w:val="00D45C1B"/>
    <w:rsid w:val="00D45E14"/>
    <w:rsid w:val="00D51C9A"/>
    <w:rsid w:val="00D5318C"/>
    <w:rsid w:val="00D53371"/>
    <w:rsid w:val="00D53BD5"/>
    <w:rsid w:val="00D55621"/>
    <w:rsid w:val="00D6000E"/>
    <w:rsid w:val="00D713D6"/>
    <w:rsid w:val="00D72DAF"/>
    <w:rsid w:val="00D75BB9"/>
    <w:rsid w:val="00D76276"/>
    <w:rsid w:val="00D77919"/>
    <w:rsid w:val="00D8083C"/>
    <w:rsid w:val="00D85F8D"/>
    <w:rsid w:val="00D87F81"/>
    <w:rsid w:val="00D90E39"/>
    <w:rsid w:val="00D97E89"/>
    <w:rsid w:val="00DA40BF"/>
    <w:rsid w:val="00DA45EE"/>
    <w:rsid w:val="00DA58A3"/>
    <w:rsid w:val="00DB177D"/>
    <w:rsid w:val="00DB2F5B"/>
    <w:rsid w:val="00DB46CB"/>
    <w:rsid w:val="00DB695F"/>
    <w:rsid w:val="00DC03E7"/>
    <w:rsid w:val="00DC16B3"/>
    <w:rsid w:val="00DC3710"/>
    <w:rsid w:val="00DC3B9E"/>
    <w:rsid w:val="00DC4FB9"/>
    <w:rsid w:val="00DC545F"/>
    <w:rsid w:val="00DC54A9"/>
    <w:rsid w:val="00DC6139"/>
    <w:rsid w:val="00DC6686"/>
    <w:rsid w:val="00DC6D84"/>
    <w:rsid w:val="00DC7F68"/>
    <w:rsid w:val="00DD1D7F"/>
    <w:rsid w:val="00DD2790"/>
    <w:rsid w:val="00DD2899"/>
    <w:rsid w:val="00DD360A"/>
    <w:rsid w:val="00DD7F91"/>
    <w:rsid w:val="00DE0985"/>
    <w:rsid w:val="00DE42BF"/>
    <w:rsid w:val="00DE4A1A"/>
    <w:rsid w:val="00DE4E11"/>
    <w:rsid w:val="00DE53FE"/>
    <w:rsid w:val="00DE6ED8"/>
    <w:rsid w:val="00DF39BB"/>
    <w:rsid w:val="00DF5C76"/>
    <w:rsid w:val="00E00A5F"/>
    <w:rsid w:val="00E058A2"/>
    <w:rsid w:val="00E05D64"/>
    <w:rsid w:val="00E07ABB"/>
    <w:rsid w:val="00E07D8F"/>
    <w:rsid w:val="00E13762"/>
    <w:rsid w:val="00E14E2F"/>
    <w:rsid w:val="00E1552D"/>
    <w:rsid w:val="00E1640B"/>
    <w:rsid w:val="00E1784E"/>
    <w:rsid w:val="00E317A6"/>
    <w:rsid w:val="00E3190E"/>
    <w:rsid w:val="00E31F05"/>
    <w:rsid w:val="00E32285"/>
    <w:rsid w:val="00E34295"/>
    <w:rsid w:val="00E3667E"/>
    <w:rsid w:val="00E40581"/>
    <w:rsid w:val="00E4228D"/>
    <w:rsid w:val="00E4254E"/>
    <w:rsid w:val="00E43887"/>
    <w:rsid w:val="00E4608C"/>
    <w:rsid w:val="00E502A2"/>
    <w:rsid w:val="00E521B6"/>
    <w:rsid w:val="00E52931"/>
    <w:rsid w:val="00E53ACE"/>
    <w:rsid w:val="00E5519B"/>
    <w:rsid w:val="00E55FEE"/>
    <w:rsid w:val="00E57BD3"/>
    <w:rsid w:val="00E57D38"/>
    <w:rsid w:val="00E65332"/>
    <w:rsid w:val="00E65F77"/>
    <w:rsid w:val="00E670CD"/>
    <w:rsid w:val="00E67EA9"/>
    <w:rsid w:val="00E7727F"/>
    <w:rsid w:val="00E83519"/>
    <w:rsid w:val="00E91889"/>
    <w:rsid w:val="00E91F0F"/>
    <w:rsid w:val="00E944E2"/>
    <w:rsid w:val="00E95C54"/>
    <w:rsid w:val="00E96103"/>
    <w:rsid w:val="00EA027D"/>
    <w:rsid w:val="00EB22CF"/>
    <w:rsid w:val="00EB3414"/>
    <w:rsid w:val="00EB39DD"/>
    <w:rsid w:val="00EB40E4"/>
    <w:rsid w:val="00EB554C"/>
    <w:rsid w:val="00EB67BA"/>
    <w:rsid w:val="00EC16F8"/>
    <w:rsid w:val="00EC306F"/>
    <w:rsid w:val="00EC408E"/>
    <w:rsid w:val="00EC41F2"/>
    <w:rsid w:val="00EC4EB3"/>
    <w:rsid w:val="00EC5617"/>
    <w:rsid w:val="00EC7C9E"/>
    <w:rsid w:val="00ED230D"/>
    <w:rsid w:val="00ED2440"/>
    <w:rsid w:val="00EE1C0B"/>
    <w:rsid w:val="00EE39A1"/>
    <w:rsid w:val="00EE59D0"/>
    <w:rsid w:val="00EE6B63"/>
    <w:rsid w:val="00EE7FF3"/>
    <w:rsid w:val="00EF26BF"/>
    <w:rsid w:val="00EF4861"/>
    <w:rsid w:val="00EF50C7"/>
    <w:rsid w:val="00EF5E19"/>
    <w:rsid w:val="00EF779D"/>
    <w:rsid w:val="00EF7E82"/>
    <w:rsid w:val="00F004DC"/>
    <w:rsid w:val="00F01970"/>
    <w:rsid w:val="00F01B91"/>
    <w:rsid w:val="00F046FB"/>
    <w:rsid w:val="00F06AF6"/>
    <w:rsid w:val="00F079A5"/>
    <w:rsid w:val="00F07F69"/>
    <w:rsid w:val="00F107F9"/>
    <w:rsid w:val="00F111E0"/>
    <w:rsid w:val="00F117D4"/>
    <w:rsid w:val="00F14721"/>
    <w:rsid w:val="00F16475"/>
    <w:rsid w:val="00F21426"/>
    <w:rsid w:val="00F22D55"/>
    <w:rsid w:val="00F24A9A"/>
    <w:rsid w:val="00F2592D"/>
    <w:rsid w:val="00F25C5F"/>
    <w:rsid w:val="00F3182D"/>
    <w:rsid w:val="00F34EF2"/>
    <w:rsid w:val="00F3580F"/>
    <w:rsid w:val="00F406BB"/>
    <w:rsid w:val="00F40CCA"/>
    <w:rsid w:val="00F44AD0"/>
    <w:rsid w:val="00F50379"/>
    <w:rsid w:val="00F54E21"/>
    <w:rsid w:val="00F55102"/>
    <w:rsid w:val="00F5685E"/>
    <w:rsid w:val="00F57115"/>
    <w:rsid w:val="00F6298B"/>
    <w:rsid w:val="00F63B02"/>
    <w:rsid w:val="00F65350"/>
    <w:rsid w:val="00F65C21"/>
    <w:rsid w:val="00F700A6"/>
    <w:rsid w:val="00F730FE"/>
    <w:rsid w:val="00F760D1"/>
    <w:rsid w:val="00F77FB2"/>
    <w:rsid w:val="00F8151A"/>
    <w:rsid w:val="00F81F04"/>
    <w:rsid w:val="00F83788"/>
    <w:rsid w:val="00F84D69"/>
    <w:rsid w:val="00F85054"/>
    <w:rsid w:val="00F87AEF"/>
    <w:rsid w:val="00F87C14"/>
    <w:rsid w:val="00F87FEC"/>
    <w:rsid w:val="00F94F61"/>
    <w:rsid w:val="00FA17B4"/>
    <w:rsid w:val="00FA312C"/>
    <w:rsid w:val="00FA3581"/>
    <w:rsid w:val="00FB10B8"/>
    <w:rsid w:val="00FB24BA"/>
    <w:rsid w:val="00FB28C8"/>
    <w:rsid w:val="00FB381D"/>
    <w:rsid w:val="00FB6172"/>
    <w:rsid w:val="00FB6492"/>
    <w:rsid w:val="00FC007D"/>
    <w:rsid w:val="00FC131A"/>
    <w:rsid w:val="00FC224A"/>
    <w:rsid w:val="00FC43D6"/>
    <w:rsid w:val="00FD2208"/>
    <w:rsid w:val="00FD2EC4"/>
    <w:rsid w:val="00FD63D3"/>
    <w:rsid w:val="00FD717D"/>
    <w:rsid w:val="00FE44CF"/>
    <w:rsid w:val="00FF1239"/>
    <w:rsid w:val="00FF1AC1"/>
    <w:rsid w:val="00FF5DE3"/>
    <w:rsid w:val="00FF62F7"/>
    <w:rsid w:val="00FF6EAF"/>
    <w:rsid w:val="00FF7408"/>
    <w:rsid w:val="01F65399"/>
    <w:rsid w:val="026A1A9F"/>
    <w:rsid w:val="03226A0E"/>
    <w:rsid w:val="04260169"/>
    <w:rsid w:val="04CC4830"/>
    <w:rsid w:val="050945F2"/>
    <w:rsid w:val="050E4034"/>
    <w:rsid w:val="056F4DC0"/>
    <w:rsid w:val="05F86FA8"/>
    <w:rsid w:val="06174B4A"/>
    <w:rsid w:val="06342461"/>
    <w:rsid w:val="065C2670"/>
    <w:rsid w:val="06677EA2"/>
    <w:rsid w:val="06F06056"/>
    <w:rsid w:val="07021FF9"/>
    <w:rsid w:val="071C7BC7"/>
    <w:rsid w:val="075A67A2"/>
    <w:rsid w:val="0840050B"/>
    <w:rsid w:val="086D38AF"/>
    <w:rsid w:val="08C44882"/>
    <w:rsid w:val="08C94E4D"/>
    <w:rsid w:val="0915227D"/>
    <w:rsid w:val="09164C3B"/>
    <w:rsid w:val="099842FD"/>
    <w:rsid w:val="0A3A2559"/>
    <w:rsid w:val="0A805158"/>
    <w:rsid w:val="0AF87126"/>
    <w:rsid w:val="0B4B1CD9"/>
    <w:rsid w:val="0B9B2EBC"/>
    <w:rsid w:val="0BA309DB"/>
    <w:rsid w:val="0BA556C1"/>
    <w:rsid w:val="0BC90D6D"/>
    <w:rsid w:val="0BCB508B"/>
    <w:rsid w:val="0C070B14"/>
    <w:rsid w:val="0C1A22A8"/>
    <w:rsid w:val="0C26236E"/>
    <w:rsid w:val="0C9306BE"/>
    <w:rsid w:val="0CB05CD1"/>
    <w:rsid w:val="0D1B39E9"/>
    <w:rsid w:val="0DCB2021"/>
    <w:rsid w:val="0E3A01CC"/>
    <w:rsid w:val="0E9172D3"/>
    <w:rsid w:val="0EF1422C"/>
    <w:rsid w:val="0F3B23D4"/>
    <w:rsid w:val="0F3B3DD7"/>
    <w:rsid w:val="107B6AE8"/>
    <w:rsid w:val="11195DC6"/>
    <w:rsid w:val="115A70AD"/>
    <w:rsid w:val="116421D6"/>
    <w:rsid w:val="11EA1B00"/>
    <w:rsid w:val="121F5AC5"/>
    <w:rsid w:val="125037BB"/>
    <w:rsid w:val="12521250"/>
    <w:rsid w:val="12524B60"/>
    <w:rsid w:val="12E866AF"/>
    <w:rsid w:val="130C55D8"/>
    <w:rsid w:val="13244A23"/>
    <w:rsid w:val="13EE6B6B"/>
    <w:rsid w:val="1472386E"/>
    <w:rsid w:val="148F0FC6"/>
    <w:rsid w:val="151600A7"/>
    <w:rsid w:val="159F345A"/>
    <w:rsid w:val="15E43EF8"/>
    <w:rsid w:val="16A81136"/>
    <w:rsid w:val="16AC4207"/>
    <w:rsid w:val="178A56FB"/>
    <w:rsid w:val="17A8647B"/>
    <w:rsid w:val="18253B4C"/>
    <w:rsid w:val="190F1674"/>
    <w:rsid w:val="19132D2F"/>
    <w:rsid w:val="19210747"/>
    <w:rsid w:val="196E7CB2"/>
    <w:rsid w:val="198759D2"/>
    <w:rsid w:val="19D72BB5"/>
    <w:rsid w:val="1AD212BF"/>
    <w:rsid w:val="1AF900F3"/>
    <w:rsid w:val="1AFC6A2C"/>
    <w:rsid w:val="1BE0351A"/>
    <w:rsid w:val="1C120302"/>
    <w:rsid w:val="1C442FCB"/>
    <w:rsid w:val="1C532B00"/>
    <w:rsid w:val="1CCC12C5"/>
    <w:rsid w:val="1D1B1BAD"/>
    <w:rsid w:val="1D401A6B"/>
    <w:rsid w:val="1DCC5DA5"/>
    <w:rsid w:val="1E8A015B"/>
    <w:rsid w:val="1EA00E4A"/>
    <w:rsid w:val="1F4F1109"/>
    <w:rsid w:val="1F6A0646"/>
    <w:rsid w:val="206A0332"/>
    <w:rsid w:val="2091595B"/>
    <w:rsid w:val="20F51AC3"/>
    <w:rsid w:val="21AE6D2F"/>
    <w:rsid w:val="21C21552"/>
    <w:rsid w:val="21C3713A"/>
    <w:rsid w:val="24DA6297"/>
    <w:rsid w:val="252F3CBE"/>
    <w:rsid w:val="26694CDB"/>
    <w:rsid w:val="28245A8D"/>
    <w:rsid w:val="282C171E"/>
    <w:rsid w:val="2849297F"/>
    <w:rsid w:val="2936596A"/>
    <w:rsid w:val="2997006D"/>
    <w:rsid w:val="29AC5EF0"/>
    <w:rsid w:val="2B040631"/>
    <w:rsid w:val="2B0B5AF1"/>
    <w:rsid w:val="2B793244"/>
    <w:rsid w:val="2BBB3BF1"/>
    <w:rsid w:val="2C094BA0"/>
    <w:rsid w:val="2C60205D"/>
    <w:rsid w:val="2C8F5C68"/>
    <w:rsid w:val="2CAD317E"/>
    <w:rsid w:val="2CC97424"/>
    <w:rsid w:val="2D2725F0"/>
    <w:rsid w:val="2D345768"/>
    <w:rsid w:val="2D73679B"/>
    <w:rsid w:val="2E994608"/>
    <w:rsid w:val="2E9C375A"/>
    <w:rsid w:val="2EA60EE0"/>
    <w:rsid w:val="2ED8262F"/>
    <w:rsid w:val="2F242CBD"/>
    <w:rsid w:val="2FB34058"/>
    <w:rsid w:val="300C74C4"/>
    <w:rsid w:val="304B3830"/>
    <w:rsid w:val="307D5A91"/>
    <w:rsid w:val="317B20C5"/>
    <w:rsid w:val="328670E4"/>
    <w:rsid w:val="32A33E31"/>
    <w:rsid w:val="32D048D8"/>
    <w:rsid w:val="32D3622F"/>
    <w:rsid w:val="32D63CF2"/>
    <w:rsid w:val="32F26097"/>
    <w:rsid w:val="3341799D"/>
    <w:rsid w:val="337A399F"/>
    <w:rsid w:val="337F2EFA"/>
    <w:rsid w:val="339029A7"/>
    <w:rsid w:val="33CC5FD9"/>
    <w:rsid w:val="34697607"/>
    <w:rsid w:val="34DC6FBF"/>
    <w:rsid w:val="352019FA"/>
    <w:rsid w:val="35731520"/>
    <w:rsid w:val="35F436C6"/>
    <w:rsid w:val="36037C49"/>
    <w:rsid w:val="36B804EA"/>
    <w:rsid w:val="371766EB"/>
    <w:rsid w:val="3728049C"/>
    <w:rsid w:val="37CD3E9A"/>
    <w:rsid w:val="37D03480"/>
    <w:rsid w:val="37D87189"/>
    <w:rsid w:val="37E87EA7"/>
    <w:rsid w:val="37F761BE"/>
    <w:rsid w:val="380B1A51"/>
    <w:rsid w:val="382056BC"/>
    <w:rsid w:val="38AB6B19"/>
    <w:rsid w:val="39035D73"/>
    <w:rsid w:val="39144BF9"/>
    <w:rsid w:val="39236305"/>
    <w:rsid w:val="397D1814"/>
    <w:rsid w:val="3991694F"/>
    <w:rsid w:val="3A096C45"/>
    <w:rsid w:val="3B3315C9"/>
    <w:rsid w:val="3B3666AA"/>
    <w:rsid w:val="3B5D03F9"/>
    <w:rsid w:val="3B9C69ED"/>
    <w:rsid w:val="3C075E40"/>
    <w:rsid w:val="3C0F314C"/>
    <w:rsid w:val="3C8400FD"/>
    <w:rsid w:val="3C8D5215"/>
    <w:rsid w:val="3CB96E1E"/>
    <w:rsid w:val="3E007092"/>
    <w:rsid w:val="3E2A5A13"/>
    <w:rsid w:val="3E6A5C1B"/>
    <w:rsid w:val="3E951BD3"/>
    <w:rsid w:val="3EB91E59"/>
    <w:rsid w:val="3FA23A80"/>
    <w:rsid w:val="3FB75DF9"/>
    <w:rsid w:val="418368ED"/>
    <w:rsid w:val="425C64FC"/>
    <w:rsid w:val="4278675D"/>
    <w:rsid w:val="431F105C"/>
    <w:rsid w:val="43F003B4"/>
    <w:rsid w:val="446458DA"/>
    <w:rsid w:val="446645C4"/>
    <w:rsid w:val="44E00C2F"/>
    <w:rsid w:val="44F12828"/>
    <w:rsid w:val="453F4EE8"/>
    <w:rsid w:val="457E0C0E"/>
    <w:rsid w:val="45A27895"/>
    <w:rsid w:val="4654463C"/>
    <w:rsid w:val="469D1E1F"/>
    <w:rsid w:val="4703453A"/>
    <w:rsid w:val="47401AE3"/>
    <w:rsid w:val="47847F9B"/>
    <w:rsid w:val="47B6276E"/>
    <w:rsid w:val="47D7714D"/>
    <w:rsid w:val="48CA305E"/>
    <w:rsid w:val="491D1161"/>
    <w:rsid w:val="4945471C"/>
    <w:rsid w:val="49C23604"/>
    <w:rsid w:val="4A6500D9"/>
    <w:rsid w:val="4B4D56DB"/>
    <w:rsid w:val="4BC10A94"/>
    <w:rsid w:val="4BCB58DC"/>
    <w:rsid w:val="4BE87F26"/>
    <w:rsid w:val="4C081E20"/>
    <w:rsid w:val="4C3974A1"/>
    <w:rsid w:val="4C4D743A"/>
    <w:rsid w:val="4C561056"/>
    <w:rsid w:val="4CDC25C4"/>
    <w:rsid w:val="4D2A1AAB"/>
    <w:rsid w:val="4DBE15DE"/>
    <w:rsid w:val="4DFF45BC"/>
    <w:rsid w:val="4E61428A"/>
    <w:rsid w:val="4E7B705D"/>
    <w:rsid w:val="4ECB455C"/>
    <w:rsid w:val="4EF16D21"/>
    <w:rsid w:val="4F4E6BEF"/>
    <w:rsid w:val="4F6745C5"/>
    <w:rsid w:val="4F751E54"/>
    <w:rsid w:val="4FA9510C"/>
    <w:rsid w:val="50891C17"/>
    <w:rsid w:val="520E7D39"/>
    <w:rsid w:val="527310FD"/>
    <w:rsid w:val="52C145B3"/>
    <w:rsid w:val="532C19FA"/>
    <w:rsid w:val="536C046F"/>
    <w:rsid w:val="53777260"/>
    <w:rsid w:val="53BD324D"/>
    <w:rsid w:val="53DA3FDB"/>
    <w:rsid w:val="54B52F23"/>
    <w:rsid w:val="559025B5"/>
    <w:rsid w:val="55BE6F35"/>
    <w:rsid w:val="56AB5747"/>
    <w:rsid w:val="57466A30"/>
    <w:rsid w:val="57E7750E"/>
    <w:rsid w:val="57F22C95"/>
    <w:rsid w:val="582C3304"/>
    <w:rsid w:val="583E683E"/>
    <w:rsid w:val="584263FC"/>
    <w:rsid w:val="58AA248A"/>
    <w:rsid w:val="592757C1"/>
    <w:rsid w:val="5A097D45"/>
    <w:rsid w:val="5A232744"/>
    <w:rsid w:val="5A8E433F"/>
    <w:rsid w:val="5ACC5639"/>
    <w:rsid w:val="5AFE0937"/>
    <w:rsid w:val="5B022AFF"/>
    <w:rsid w:val="5B1C238B"/>
    <w:rsid w:val="5BB72396"/>
    <w:rsid w:val="5BDA2541"/>
    <w:rsid w:val="5C8E70AE"/>
    <w:rsid w:val="5C9700DF"/>
    <w:rsid w:val="5CFF5AEE"/>
    <w:rsid w:val="5D5260D6"/>
    <w:rsid w:val="5E4106DA"/>
    <w:rsid w:val="5E4B362D"/>
    <w:rsid w:val="5E4B3828"/>
    <w:rsid w:val="5EC32979"/>
    <w:rsid w:val="5EFC5263"/>
    <w:rsid w:val="5F2B51D9"/>
    <w:rsid w:val="5F37440C"/>
    <w:rsid w:val="5F86420E"/>
    <w:rsid w:val="609E7926"/>
    <w:rsid w:val="60CC769A"/>
    <w:rsid w:val="60F3280A"/>
    <w:rsid w:val="615A0826"/>
    <w:rsid w:val="616E5025"/>
    <w:rsid w:val="62117B48"/>
    <w:rsid w:val="6233066F"/>
    <w:rsid w:val="625714F8"/>
    <w:rsid w:val="62AF2B34"/>
    <w:rsid w:val="62D7081D"/>
    <w:rsid w:val="63687194"/>
    <w:rsid w:val="638E50BC"/>
    <w:rsid w:val="648250A2"/>
    <w:rsid w:val="64D27A6F"/>
    <w:rsid w:val="65765688"/>
    <w:rsid w:val="65A40D91"/>
    <w:rsid w:val="66F55A6B"/>
    <w:rsid w:val="67327F2E"/>
    <w:rsid w:val="674609A7"/>
    <w:rsid w:val="67465B30"/>
    <w:rsid w:val="67E022F8"/>
    <w:rsid w:val="68082611"/>
    <w:rsid w:val="688C533B"/>
    <w:rsid w:val="692F0DD2"/>
    <w:rsid w:val="692F6DB1"/>
    <w:rsid w:val="696B16A5"/>
    <w:rsid w:val="69772905"/>
    <w:rsid w:val="6A360EF4"/>
    <w:rsid w:val="6A736A2C"/>
    <w:rsid w:val="6AC4173D"/>
    <w:rsid w:val="6B3F6E7C"/>
    <w:rsid w:val="6B4F76A1"/>
    <w:rsid w:val="6BB6746F"/>
    <w:rsid w:val="6BFD03AE"/>
    <w:rsid w:val="6BFF6077"/>
    <w:rsid w:val="6C2308EC"/>
    <w:rsid w:val="6C867767"/>
    <w:rsid w:val="6CA34648"/>
    <w:rsid w:val="6D031FFE"/>
    <w:rsid w:val="6D870368"/>
    <w:rsid w:val="6DEF74D5"/>
    <w:rsid w:val="6E9856D0"/>
    <w:rsid w:val="6EB840FC"/>
    <w:rsid w:val="6EE920DC"/>
    <w:rsid w:val="6F377C99"/>
    <w:rsid w:val="6F7E7DE2"/>
    <w:rsid w:val="6FAA433E"/>
    <w:rsid w:val="704F1D50"/>
    <w:rsid w:val="7062369D"/>
    <w:rsid w:val="70D8666D"/>
    <w:rsid w:val="70F82977"/>
    <w:rsid w:val="711203ED"/>
    <w:rsid w:val="712A76BE"/>
    <w:rsid w:val="716D6D00"/>
    <w:rsid w:val="719901C6"/>
    <w:rsid w:val="71B131C3"/>
    <w:rsid w:val="71CC5821"/>
    <w:rsid w:val="71F26BCA"/>
    <w:rsid w:val="720542F1"/>
    <w:rsid w:val="72380013"/>
    <w:rsid w:val="72540D30"/>
    <w:rsid w:val="72592D74"/>
    <w:rsid w:val="73426C39"/>
    <w:rsid w:val="73594771"/>
    <w:rsid w:val="740F0E4D"/>
    <w:rsid w:val="7469799F"/>
    <w:rsid w:val="74A66F51"/>
    <w:rsid w:val="74E24705"/>
    <w:rsid w:val="750506F3"/>
    <w:rsid w:val="758944AE"/>
    <w:rsid w:val="758C4507"/>
    <w:rsid w:val="75AA1A6C"/>
    <w:rsid w:val="76A31ADB"/>
    <w:rsid w:val="76C0735A"/>
    <w:rsid w:val="76DE39EB"/>
    <w:rsid w:val="774B42DA"/>
    <w:rsid w:val="77CC2AC5"/>
    <w:rsid w:val="78AC0F28"/>
    <w:rsid w:val="78AD7E4B"/>
    <w:rsid w:val="7922758B"/>
    <w:rsid w:val="79766799"/>
    <w:rsid w:val="79B255D2"/>
    <w:rsid w:val="79B45BBB"/>
    <w:rsid w:val="79D0307E"/>
    <w:rsid w:val="79DE121D"/>
    <w:rsid w:val="79E249A2"/>
    <w:rsid w:val="7A5C7B4D"/>
    <w:rsid w:val="7B1F1C18"/>
    <w:rsid w:val="7B387938"/>
    <w:rsid w:val="7C341C52"/>
    <w:rsid w:val="7D033238"/>
    <w:rsid w:val="7D2F6ABF"/>
    <w:rsid w:val="7D50024E"/>
    <w:rsid w:val="7D637EF4"/>
    <w:rsid w:val="7E341B98"/>
    <w:rsid w:val="7E51328E"/>
    <w:rsid w:val="7F14576E"/>
    <w:rsid w:val="7FB735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semiHidden="0"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1"/>
    <w:qFormat/>
    <w:uiPriority w:val="99"/>
    <w:pPr>
      <w:keepNext/>
      <w:keepLines/>
      <w:adjustRightInd/>
      <w:snapToGrid/>
      <w:spacing w:before="200" w:line="360" w:lineRule="auto"/>
      <w:jc w:val="center"/>
      <w:textAlignment w:val="baseline"/>
      <w:outlineLvl w:val="0"/>
    </w:pPr>
    <w:rPr>
      <w:rFonts w:ascii="Times New Roman" w:hAnsi="Times New Roman" w:eastAsia="黑体" w:cs="Times New Roman"/>
      <w:b/>
      <w:bCs/>
      <w:color w:val="000000"/>
      <w:kern w:val="44"/>
      <w:sz w:val="36"/>
      <w:szCs w:val="44"/>
      <w:u w:color="000000"/>
    </w:rPr>
  </w:style>
  <w:style w:type="paragraph" w:styleId="3">
    <w:name w:val="heading 2"/>
    <w:basedOn w:val="1"/>
    <w:next w:val="1"/>
    <w:link w:val="32"/>
    <w:qFormat/>
    <w:uiPriority w:val="99"/>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4">
    <w:name w:val="heading 3"/>
    <w:basedOn w:val="1"/>
    <w:next w:val="1"/>
    <w:link w:val="33"/>
    <w:qFormat/>
    <w:uiPriority w:val="99"/>
    <w:pPr>
      <w:keepNext/>
      <w:keepLines/>
      <w:adjustRightInd/>
      <w:snapToGrid/>
      <w:spacing w:before="260" w:after="260" w:line="360" w:lineRule="auto"/>
      <w:textAlignment w:val="baseline"/>
      <w:outlineLvl w:val="2"/>
    </w:pPr>
    <w:rPr>
      <w:rFonts w:ascii="Times New Roman" w:hAnsi="Times New Roman" w:eastAsia="仿宋_GB2312" w:cs="Times New Roman"/>
      <w:b/>
      <w:bCs/>
      <w:sz w:val="30"/>
      <w:szCs w:val="32"/>
      <w:u w:color="000000"/>
    </w:rPr>
  </w:style>
  <w:style w:type="paragraph" w:styleId="5">
    <w:name w:val="heading 4"/>
    <w:basedOn w:val="1"/>
    <w:next w:val="1"/>
    <w:link w:val="34"/>
    <w:unhideWhenUsed/>
    <w:qFormat/>
    <w:uiPriority w:val="0"/>
    <w:pPr>
      <w:keepNext/>
      <w:keepLines/>
      <w:widowControl w:val="0"/>
      <w:adjustRightInd/>
      <w:snapToGrid/>
      <w:spacing w:before="280" w:after="290" w:line="376" w:lineRule="auto"/>
      <w:jc w:val="both"/>
      <w:outlineLvl w:val="3"/>
    </w:pPr>
    <w:rPr>
      <w:rFonts w:asciiTheme="majorHAnsi" w:hAnsiTheme="majorHAnsi" w:eastAsiaTheme="majorEastAsia" w:cstheme="majorBidi"/>
      <w:b/>
      <w:bCs/>
      <w:kern w:val="2"/>
      <w:sz w:val="28"/>
      <w:szCs w:val="28"/>
    </w:rPr>
  </w:style>
  <w:style w:type="paragraph" w:styleId="6">
    <w:name w:val="heading 5"/>
    <w:basedOn w:val="1"/>
    <w:next w:val="1"/>
    <w:link w:val="35"/>
    <w:unhideWhenUsed/>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paragraph" w:styleId="7">
    <w:name w:val="heading 6"/>
    <w:basedOn w:val="1"/>
    <w:next w:val="1"/>
    <w:link w:val="36"/>
    <w:unhideWhenUsed/>
    <w:qFormat/>
    <w:uiPriority w:val="0"/>
    <w:pPr>
      <w:keepNext/>
      <w:keepLines/>
      <w:widowControl w:val="0"/>
      <w:adjustRightInd/>
      <w:snapToGrid/>
      <w:spacing w:before="240" w:after="64" w:line="320" w:lineRule="auto"/>
      <w:jc w:val="both"/>
      <w:outlineLvl w:val="5"/>
    </w:pPr>
    <w:rPr>
      <w:rFonts w:asciiTheme="majorHAnsi" w:hAnsiTheme="majorHAnsi" w:eastAsiaTheme="majorEastAsia" w:cstheme="majorBidi"/>
      <w:b/>
      <w:bCs/>
      <w:kern w:val="2"/>
      <w:sz w:val="24"/>
      <w:szCs w:val="24"/>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8">
    <w:name w:val="Document Map"/>
    <w:basedOn w:val="1"/>
    <w:link w:val="43"/>
    <w:semiHidden/>
    <w:qFormat/>
    <w:uiPriority w:val="99"/>
    <w:pPr>
      <w:widowControl w:val="0"/>
      <w:shd w:val="clear" w:color="auto" w:fill="000080"/>
      <w:adjustRightInd/>
      <w:snapToGrid/>
      <w:spacing w:after="0"/>
      <w:jc w:val="both"/>
    </w:pPr>
    <w:rPr>
      <w:rFonts w:ascii="Times New Roman" w:hAnsi="Times New Roman" w:eastAsia="宋体" w:cs="Times New Roman"/>
      <w:kern w:val="2"/>
      <w:sz w:val="21"/>
      <w:szCs w:val="24"/>
    </w:rPr>
  </w:style>
  <w:style w:type="paragraph" w:styleId="9">
    <w:name w:val="annotation text"/>
    <w:basedOn w:val="1"/>
    <w:link w:val="41"/>
    <w:unhideWhenUsed/>
    <w:qFormat/>
    <w:uiPriority w:val="99"/>
  </w:style>
  <w:style w:type="paragraph" w:styleId="10">
    <w:name w:val="Body Text"/>
    <w:basedOn w:val="1"/>
    <w:link w:val="44"/>
    <w:qFormat/>
    <w:uiPriority w:val="99"/>
    <w:pPr>
      <w:widowControl w:val="0"/>
      <w:adjustRightInd/>
      <w:snapToGrid/>
      <w:spacing w:after="120"/>
      <w:jc w:val="both"/>
    </w:pPr>
    <w:rPr>
      <w:rFonts w:ascii="Times New Roman" w:hAnsi="Times New Roman" w:eastAsia="宋体" w:cs="Times New Roman"/>
      <w:kern w:val="2"/>
      <w:sz w:val="21"/>
      <w:szCs w:val="24"/>
    </w:rPr>
  </w:style>
  <w:style w:type="paragraph" w:styleId="11">
    <w:name w:val="toc 3"/>
    <w:basedOn w:val="1"/>
    <w:next w:val="1"/>
    <w:qFormat/>
    <w:uiPriority w:val="39"/>
    <w:pPr>
      <w:widowControl w:val="0"/>
      <w:adjustRightInd/>
      <w:snapToGrid/>
      <w:spacing w:after="0"/>
      <w:ind w:left="840" w:leftChars="400"/>
      <w:jc w:val="both"/>
    </w:pPr>
    <w:rPr>
      <w:rFonts w:ascii="Times New Roman" w:hAnsi="Times New Roman" w:eastAsia="宋体" w:cs="Times New Roman"/>
      <w:kern w:val="2"/>
      <w:sz w:val="28"/>
      <w:szCs w:val="24"/>
    </w:rPr>
  </w:style>
  <w:style w:type="paragraph" w:styleId="12">
    <w:name w:val="Plain Text"/>
    <w:basedOn w:val="1"/>
    <w:link w:val="45"/>
    <w:qFormat/>
    <w:uiPriority w:val="99"/>
    <w:pPr>
      <w:adjustRightInd/>
      <w:snapToGrid/>
      <w:spacing w:after="0" w:line="351" w:lineRule="atLeast"/>
      <w:ind w:firstLine="419"/>
      <w:jc w:val="both"/>
      <w:textAlignment w:val="baseline"/>
    </w:pPr>
    <w:rPr>
      <w:rFonts w:ascii="宋体" w:hAnsi="Times New Roman" w:eastAsia="宋体" w:cs="Times New Roman"/>
      <w:color w:val="000000"/>
      <w:sz w:val="21"/>
      <w:szCs w:val="20"/>
      <w:u w:color="000000"/>
    </w:rPr>
  </w:style>
  <w:style w:type="paragraph" w:styleId="13">
    <w:name w:val="Balloon Text"/>
    <w:basedOn w:val="1"/>
    <w:link w:val="46"/>
    <w:qFormat/>
    <w:uiPriority w:val="99"/>
    <w:pPr>
      <w:widowControl w:val="0"/>
      <w:adjustRightInd/>
      <w:snapToGrid/>
      <w:spacing w:after="0"/>
      <w:jc w:val="both"/>
    </w:pPr>
    <w:rPr>
      <w:rFonts w:ascii="Times New Roman" w:hAnsi="Times New Roman" w:eastAsia="宋体" w:cs="Times New Roman"/>
      <w:kern w:val="2"/>
      <w:sz w:val="18"/>
      <w:szCs w:val="18"/>
    </w:rPr>
  </w:style>
  <w:style w:type="paragraph" w:styleId="14">
    <w:name w:val="footer"/>
    <w:basedOn w:val="1"/>
    <w:link w:val="38"/>
    <w:unhideWhenUsed/>
    <w:qFormat/>
    <w:uiPriority w:val="99"/>
    <w:pPr>
      <w:tabs>
        <w:tab w:val="center" w:pos="4153"/>
        <w:tab w:val="right" w:pos="8306"/>
      </w:tabs>
    </w:pPr>
    <w:rPr>
      <w:sz w:val="18"/>
      <w:szCs w:val="18"/>
    </w:rPr>
  </w:style>
  <w:style w:type="paragraph" w:styleId="15">
    <w:name w:val="header"/>
    <w:basedOn w:val="1"/>
    <w:link w:val="37"/>
    <w:unhideWhenUsed/>
    <w:qFormat/>
    <w:uiPriority w:val="99"/>
    <w:pPr>
      <w:pBdr>
        <w:bottom w:val="single" w:color="auto" w:sz="6" w:space="1"/>
      </w:pBdr>
      <w:tabs>
        <w:tab w:val="center" w:pos="4153"/>
        <w:tab w:val="right" w:pos="8306"/>
      </w:tabs>
      <w:jc w:val="center"/>
    </w:pPr>
    <w:rPr>
      <w:sz w:val="18"/>
      <w:szCs w:val="18"/>
    </w:rPr>
  </w:style>
  <w:style w:type="paragraph" w:styleId="16">
    <w:name w:val="toc 1"/>
    <w:basedOn w:val="1"/>
    <w:next w:val="1"/>
    <w:qFormat/>
    <w:uiPriority w:val="39"/>
    <w:pPr>
      <w:widowControl w:val="0"/>
      <w:tabs>
        <w:tab w:val="right" w:leader="dot" w:pos="8777"/>
      </w:tabs>
      <w:adjustRightInd/>
      <w:snapToGrid/>
      <w:spacing w:after="0" w:line="360" w:lineRule="auto"/>
      <w:jc w:val="both"/>
    </w:pPr>
    <w:rPr>
      <w:rFonts w:ascii="Times New Roman" w:hAnsi="Times New Roman" w:eastAsia="黑体" w:cs="Times New Roman"/>
      <w:kern w:val="2"/>
      <w:sz w:val="32"/>
      <w:szCs w:val="32"/>
    </w:rPr>
  </w:style>
  <w:style w:type="paragraph" w:styleId="17">
    <w:name w:val="footnote text"/>
    <w:basedOn w:val="1"/>
    <w:link w:val="47"/>
    <w:qFormat/>
    <w:uiPriority w:val="99"/>
    <w:pPr>
      <w:widowControl w:val="0"/>
      <w:adjustRightInd/>
      <w:spacing w:after="0"/>
    </w:pPr>
    <w:rPr>
      <w:rFonts w:ascii="Times New Roman" w:hAnsi="Times New Roman" w:eastAsia="宋体" w:cs="Times New Roman"/>
      <w:kern w:val="2"/>
      <w:sz w:val="18"/>
      <w:szCs w:val="18"/>
    </w:rPr>
  </w:style>
  <w:style w:type="paragraph" w:styleId="18">
    <w:name w:val="toc 2"/>
    <w:basedOn w:val="1"/>
    <w:next w:val="1"/>
    <w:qFormat/>
    <w:uiPriority w:val="39"/>
    <w:pPr>
      <w:widowControl w:val="0"/>
      <w:adjustRightInd/>
      <w:snapToGrid/>
      <w:spacing w:after="0"/>
      <w:ind w:left="420" w:leftChars="200"/>
      <w:jc w:val="both"/>
    </w:pPr>
    <w:rPr>
      <w:rFonts w:ascii="Times New Roman" w:hAnsi="Times New Roman" w:eastAsia="宋体" w:cs="Times New Roman"/>
      <w:kern w:val="2"/>
      <w:sz w:val="30"/>
      <w:szCs w:val="24"/>
    </w:rPr>
  </w:style>
  <w:style w:type="paragraph" w:styleId="19">
    <w:name w:val="HTML Preformatted"/>
    <w:basedOn w:val="1"/>
    <w:link w:val="48"/>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cs="宋体"/>
      <w:sz w:val="24"/>
      <w:szCs w:val="24"/>
    </w:rPr>
  </w:style>
  <w:style w:type="paragraph" w:styleId="20">
    <w:name w:val="Normal (Web)"/>
    <w:basedOn w:val="1"/>
    <w:qFormat/>
    <w:uiPriority w:val="99"/>
    <w:pPr>
      <w:adjustRightInd/>
      <w:snapToGrid/>
      <w:spacing w:before="100" w:beforeAutospacing="1" w:after="100" w:afterAutospacing="1"/>
    </w:pPr>
    <w:rPr>
      <w:rFonts w:ascii="宋体" w:hAnsi="宋体" w:eastAsia="宋体" w:cs="宋体"/>
      <w:sz w:val="24"/>
      <w:szCs w:val="24"/>
    </w:rPr>
  </w:style>
  <w:style w:type="paragraph" w:styleId="21">
    <w:name w:val="Title"/>
    <w:basedOn w:val="1"/>
    <w:next w:val="1"/>
    <w:link w:val="70"/>
    <w:qFormat/>
    <w:uiPriority w:val="0"/>
    <w:pPr>
      <w:widowControl w:val="0"/>
      <w:adjustRightInd/>
      <w:snapToGrid/>
      <w:spacing w:before="240" w:after="60"/>
      <w:jc w:val="center"/>
      <w:outlineLvl w:val="0"/>
    </w:pPr>
    <w:rPr>
      <w:rFonts w:eastAsia="宋体" w:asciiTheme="majorHAnsi" w:hAnsiTheme="majorHAnsi" w:cstheme="majorBidi"/>
      <w:b/>
      <w:bCs/>
      <w:kern w:val="2"/>
      <w:sz w:val="32"/>
      <w:szCs w:val="32"/>
    </w:rPr>
  </w:style>
  <w:style w:type="paragraph" w:styleId="22">
    <w:name w:val="annotation subject"/>
    <w:basedOn w:val="9"/>
    <w:next w:val="9"/>
    <w:link w:val="42"/>
    <w:qFormat/>
    <w:uiPriority w:val="99"/>
    <w:pPr>
      <w:widowControl w:val="0"/>
      <w:adjustRightInd/>
      <w:snapToGrid/>
      <w:spacing w:after="0"/>
    </w:pPr>
    <w:rPr>
      <w:rFonts w:ascii="Times New Roman" w:hAnsi="Times New Roman" w:eastAsia="宋体" w:cs="Times New Roman"/>
      <w:b/>
      <w:bCs/>
      <w:kern w:val="2"/>
      <w:sz w:val="21"/>
      <w:szCs w:val="24"/>
    </w:rPr>
  </w:style>
  <w:style w:type="character" w:styleId="25">
    <w:name w:val="page number"/>
    <w:basedOn w:val="24"/>
    <w:qFormat/>
    <w:uiPriority w:val="99"/>
  </w:style>
  <w:style w:type="character" w:styleId="26">
    <w:name w:val="FollowedHyperlink"/>
    <w:basedOn w:val="24"/>
    <w:unhideWhenUsed/>
    <w:qFormat/>
    <w:uiPriority w:val="99"/>
    <w:rPr>
      <w:color w:val="800080"/>
      <w:u w:val="single"/>
    </w:rPr>
  </w:style>
  <w:style w:type="character" w:styleId="27">
    <w:name w:val="Emphasis"/>
    <w:qFormat/>
    <w:uiPriority w:val="99"/>
    <w:rPr>
      <w:color w:val="CC0000"/>
    </w:rPr>
  </w:style>
  <w:style w:type="character" w:styleId="28">
    <w:name w:val="Hyperlink"/>
    <w:qFormat/>
    <w:uiPriority w:val="99"/>
    <w:rPr>
      <w:color w:val="0000FF"/>
      <w:u w:val="single"/>
    </w:rPr>
  </w:style>
  <w:style w:type="character" w:styleId="29">
    <w:name w:val="annotation reference"/>
    <w:basedOn w:val="24"/>
    <w:qFormat/>
    <w:uiPriority w:val="99"/>
    <w:rPr>
      <w:sz w:val="21"/>
      <w:szCs w:val="21"/>
    </w:rPr>
  </w:style>
  <w:style w:type="character" w:styleId="30">
    <w:name w:val="footnote reference"/>
    <w:basedOn w:val="24"/>
    <w:qFormat/>
    <w:uiPriority w:val="99"/>
    <w:rPr>
      <w:vertAlign w:val="superscript"/>
    </w:rPr>
  </w:style>
  <w:style w:type="character" w:customStyle="1" w:styleId="31">
    <w:name w:val="标题 1 字符"/>
    <w:basedOn w:val="24"/>
    <w:link w:val="2"/>
    <w:qFormat/>
    <w:uiPriority w:val="99"/>
    <w:rPr>
      <w:rFonts w:ascii="Times New Roman" w:hAnsi="Times New Roman" w:eastAsia="黑体" w:cs="Times New Roman"/>
      <w:b/>
      <w:bCs/>
      <w:color w:val="000000"/>
      <w:kern w:val="44"/>
      <w:sz w:val="36"/>
      <w:szCs w:val="44"/>
      <w:u w:color="000000"/>
    </w:rPr>
  </w:style>
  <w:style w:type="character" w:customStyle="1" w:styleId="32">
    <w:name w:val="标题 2 字符"/>
    <w:basedOn w:val="24"/>
    <w:link w:val="3"/>
    <w:qFormat/>
    <w:uiPriority w:val="99"/>
    <w:rPr>
      <w:rFonts w:ascii="Arial" w:hAnsi="Arial" w:eastAsia="黑体" w:cs="Times New Roman"/>
      <w:b/>
      <w:bCs/>
      <w:kern w:val="2"/>
      <w:sz w:val="32"/>
      <w:szCs w:val="32"/>
    </w:rPr>
  </w:style>
  <w:style w:type="character" w:customStyle="1" w:styleId="33">
    <w:name w:val="标题 3 字符"/>
    <w:basedOn w:val="24"/>
    <w:link w:val="4"/>
    <w:qFormat/>
    <w:uiPriority w:val="99"/>
    <w:rPr>
      <w:rFonts w:ascii="Times New Roman" w:hAnsi="Times New Roman" w:eastAsia="仿宋_GB2312" w:cs="Times New Roman"/>
      <w:b/>
      <w:bCs/>
      <w:sz w:val="30"/>
      <w:szCs w:val="32"/>
      <w:u w:color="000000"/>
    </w:rPr>
  </w:style>
  <w:style w:type="character" w:customStyle="1" w:styleId="34">
    <w:name w:val="标题 4 字符"/>
    <w:basedOn w:val="24"/>
    <w:link w:val="5"/>
    <w:qFormat/>
    <w:uiPriority w:val="0"/>
    <w:rPr>
      <w:rFonts w:asciiTheme="majorHAnsi" w:hAnsiTheme="majorHAnsi" w:eastAsiaTheme="majorEastAsia" w:cstheme="majorBidi"/>
      <w:b/>
      <w:bCs/>
      <w:kern w:val="2"/>
      <w:sz w:val="28"/>
      <w:szCs w:val="28"/>
    </w:rPr>
  </w:style>
  <w:style w:type="character" w:customStyle="1" w:styleId="35">
    <w:name w:val="标题 5 字符"/>
    <w:basedOn w:val="24"/>
    <w:link w:val="6"/>
    <w:qFormat/>
    <w:uiPriority w:val="0"/>
    <w:rPr>
      <w:rFonts w:ascii="Times New Roman" w:hAnsi="Times New Roman" w:eastAsia="宋体" w:cs="Times New Roman"/>
      <w:b/>
      <w:bCs/>
      <w:kern w:val="2"/>
      <w:sz w:val="28"/>
      <w:szCs w:val="28"/>
    </w:rPr>
  </w:style>
  <w:style w:type="character" w:customStyle="1" w:styleId="36">
    <w:name w:val="标题 6 字符"/>
    <w:basedOn w:val="24"/>
    <w:link w:val="7"/>
    <w:qFormat/>
    <w:uiPriority w:val="0"/>
    <w:rPr>
      <w:rFonts w:asciiTheme="majorHAnsi" w:hAnsiTheme="majorHAnsi" w:eastAsiaTheme="majorEastAsia" w:cstheme="majorBidi"/>
      <w:b/>
      <w:bCs/>
      <w:kern w:val="2"/>
      <w:sz w:val="24"/>
      <w:szCs w:val="24"/>
    </w:rPr>
  </w:style>
  <w:style w:type="character" w:customStyle="1" w:styleId="37">
    <w:name w:val="页眉 字符"/>
    <w:basedOn w:val="24"/>
    <w:link w:val="15"/>
    <w:qFormat/>
    <w:uiPriority w:val="99"/>
    <w:rPr>
      <w:rFonts w:ascii="Tahoma" w:hAnsi="Tahoma"/>
      <w:sz w:val="18"/>
      <w:szCs w:val="18"/>
    </w:rPr>
  </w:style>
  <w:style w:type="character" w:customStyle="1" w:styleId="38">
    <w:name w:val="页脚 字符"/>
    <w:basedOn w:val="24"/>
    <w:link w:val="14"/>
    <w:qFormat/>
    <w:uiPriority w:val="99"/>
    <w:rPr>
      <w:rFonts w:ascii="Tahoma" w:hAnsi="Tahoma"/>
      <w:sz w:val="18"/>
      <w:szCs w:val="18"/>
    </w:rPr>
  </w:style>
  <w:style w:type="paragraph" w:customStyle="1" w:styleId="39">
    <w:name w:val="标题1"/>
    <w:basedOn w:val="1"/>
    <w:qFormat/>
    <w:uiPriority w:val="0"/>
    <w:pPr>
      <w:widowControl w:val="0"/>
      <w:adjustRightInd/>
      <w:snapToGrid/>
      <w:spacing w:after="0"/>
      <w:ind w:firstLine="640" w:firstLineChars="200"/>
      <w:jc w:val="center"/>
    </w:pPr>
    <w:rPr>
      <w:rFonts w:ascii="Times New Roman" w:hAnsi="Times New Roman" w:eastAsia="黑体" w:cs="Times New Roman"/>
      <w:kern w:val="2"/>
      <w:sz w:val="32"/>
      <w:szCs w:val="21"/>
    </w:rPr>
  </w:style>
  <w:style w:type="paragraph" w:styleId="40">
    <w:name w:val="List Paragraph"/>
    <w:basedOn w:val="1"/>
    <w:qFormat/>
    <w:uiPriority w:val="99"/>
    <w:pPr>
      <w:ind w:firstLine="420" w:firstLineChars="200"/>
    </w:pPr>
  </w:style>
  <w:style w:type="character" w:customStyle="1" w:styleId="41">
    <w:name w:val="批注文字 字符"/>
    <w:basedOn w:val="24"/>
    <w:link w:val="9"/>
    <w:qFormat/>
    <w:uiPriority w:val="99"/>
    <w:rPr>
      <w:rFonts w:ascii="Tahoma" w:hAnsi="Tahoma"/>
    </w:rPr>
  </w:style>
  <w:style w:type="character" w:customStyle="1" w:styleId="42">
    <w:name w:val="批注主题 字符"/>
    <w:basedOn w:val="41"/>
    <w:link w:val="22"/>
    <w:qFormat/>
    <w:uiPriority w:val="99"/>
    <w:rPr>
      <w:rFonts w:ascii="Times New Roman" w:hAnsi="Times New Roman" w:eastAsia="宋体" w:cs="Times New Roman"/>
      <w:b/>
      <w:bCs/>
      <w:kern w:val="2"/>
      <w:sz w:val="21"/>
      <w:szCs w:val="24"/>
    </w:rPr>
  </w:style>
  <w:style w:type="character" w:customStyle="1" w:styleId="43">
    <w:name w:val="文档结构图 字符"/>
    <w:basedOn w:val="24"/>
    <w:link w:val="8"/>
    <w:semiHidden/>
    <w:qFormat/>
    <w:uiPriority w:val="99"/>
    <w:rPr>
      <w:rFonts w:ascii="Times New Roman" w:hAnsi="Times New Roman" w:eastAsia="宋体" w:cs="Times New Roman"/>
      <w:kern w:val="2"/>
      <w:sz w:val="21"/>
      <w:szCs w:val="24"/>
      <w:shd w:val="clear" w:color="auto" w:fill="000080"/>
    </w:rPr>
  </w:style>
  <w:style w:type="character" w:customStyle="1" w:styleId="44">
    <w:name w:val="正文文本 字符"/>
    <w:basedOn w:val="24"/>
    <w:link w:val="10"/>
    <w:qFormat/>
    <w:uiPriority w:val="99"/>
    <w:rPr>
      <w:rFonts w:ascii="Times New Roman" w:hAnsi="Times New Roman" w:eastAsia="宋体" w:cs="Times New Roman"/>
      <w:kern w:val="2"/>
      <w:sz w:val="21"/>
      <w:szCs w:val="24"/>
    </w:rPr>
  </w:style>
  <w:style w:type="character" w:customStyle="1" w:styleId="45">
    <w:name w:val="纯文本 字符"/>
    <w:basedOn w:val="24"/>
    <w:link w:val="12"/>
    <w:qFormat/>
    <w:uiPriority w:val="99"/>
    <w:rPr>
      <w:rFonts w:ascii="宋体" w:hAnsi="Times New Roman" w:eastAsia="宋体" w:cs="Times New Roman"/>
      <w:color w:val="000000"/>
      <w:sz w:val="21"/>
      <w:szCs w:val="20"/>
      <w:u w:color="000000"/>
    </w:rPr>
  </w:style>
  <w:style w:type="character" w:customStyle="1" w:styleId="46">
    <w:name w:val="批注框文本 字符"/>
    <w:basedOn w:val="24"/>
    <w:link w:val="13"/>
    <w:qFormat/>
    <w:uiPriority w:val="99"/>
    <w:rPr>
      <w:rFonts w:ascii="Times New Roman" w:hAnsi="Times New Roman" w:eastAsia="宋体" w:cs="Times New Roman"/>
      <w:kern w:val="2"/>
      <w:sz w:val="18"/>
      <w:szCs w:val="18"/>
    </w:rPr>
  </w:style>
  <w:style w:type="character" w:customStyle="1" w:styleId="47">
    <w:name w:val="脚注文本 字符"/>
    <w:basedOn w:val="24"/>
    <w:link w:val="17"/>
    <w:qFormat/>
    <w:uiPriority w:val="99"/>
    <w:rPr>
      <w:rFonts w:ascii="Times New Roman" w:hAnsi="Times New Roman" w:eastAsia="宋体" w:cs="Times New Roman"/>
      <w:kern w:val="2"/>
      <w:sz w:val="18"/>
      <w:szCs w:val="18"/>
    </w:rPr>
  </w:style>
  <w:style w:type="character" w:customStyle="1" w:styleId="48">
    <w:name w:val="HTML 预设格式 字符"/>
    <w:basedOn w:val="24"/>
    <w:link w:val="19"/>
    <w:qFormat/>
    <w:uiPriority w:val="0"/>
    <w:rPr>
      <w:rFonts w:ascii="宋体" w:hAnsi="宋体" w:eastAsia="宋体" w:cs="宋体"/>
      <w:sz w:val="24"/>
      <w:szCs w:val="24"/>
    </w:rPr>
  </w:style>
  <w:style w:type="paragraph" w:customStyle="1" w:styleId="49">
    <w:name w:val="xl69"/>
    <w:basedOn w:val="1"/>
    <w:qFormat/>
    <w:uiPriority w:val="99"/>
    <w:pPr>
      <w:pBdr>
        <w:top w:val="single" w:color="auto" w:sz="8" w:space="0"/>
        <w:left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0">
    <w:name w:val="xl74"/>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1">
    <w:name w:val="xl70"/>
    <w:basedOn w:val="1"/>
    <w:qFormat/>
    <w:uiPriority w:val="99"/>
    <w:pPr>
      <w:pBdr>
        <w:left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2">
    <w:name w:val="font7"/>
    <w:basedOn w:val="1"/>
    <w:qFormat/>
    <w:uiPriority w:val="99"/>
    <w:pPr>
      <w:adjustRightInd/>
      <w:snapToGrid/>
      <w:spacing w:before="100" w:beforeAutospacing="1" w:after="100" w:afterAutospacing="1"/>
    </w:pPr>
    <w:rPr>
      <w:rFonts w:ascii="宋体" w:hAnsi="宋体" w:eastAsia="宋体" w:cs="宋体"/>
      <w:color w:val="000000"/>
      <w:sz w:val="24"/>
      <w:szCs w:val="24"/>
    </w:rPr>
  </w:style>
  <w:style w:type="paragraph" w:customStyle="1" w:styleId="53">
    <w:name w:val="xl72"/>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54">
    <w:name w:val="xl67"/>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5">
    <w:name w:val="font5"/>
    <w:basedOn w:val="1"/>
    <w:qFormat/>
    <w:uiPriority w:val="99"/>
    <w:pPr>
      <w:adjustRightInd/>
      <w:snapToGrid/>
      <w:spacing w:before="100" w:beforeAutospacing="1" w:after="100" w:afterAutospacing="1"/>
    </w:pPr>
    <w:rPr>
      <w:rFonts w:ascii="宋体" w:hAnsi="宋体" w:eastAsia="宋体" w:cs="宋体"/>
      <w:b/>
      <w:bCs/>
      <w:color w:val="000000"/>
      <w:sz w:val="24"/>
      <w:szCs w:val="24"/>
    </w:rPr>
  </w:style>
  <w:style w:type="paragraph" w:customStyle="1" w:styleId="56">
    <w:name w:val="xl65"/>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57">
    <w:name w:val="font6"/>
    <w:basedOn w:val="1"/>
    <w:qFormat/>
    <w:uiPriority w:val="99"/>
    <w:pPr>
      <w:adjustRightInd/>
      <w:snapToGrid/>
      <w:spacing w:before="100" w:beforeAutospacing="1" w:after="100" w:afterAutospacing="1"/>
    </w:pPr>
    <w:rPr>
      <w:rFonts w:ascii="宋体" w:hAnsi="宋体" w:eastAsia="宋体" w:cs="宋体"/>
      <w:color w:val="000000"/>
    </w:rPr>
  </w:style>
  <w:style w:type="paragraph" w:customStyle="1" w:styleId="58">
    <w:name w:val="xl75"/>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9">
    <w:name w:val="Char Char Char Char Char Char1 Char"/>
    <w:basedOn w:val="1"/>
    <w:qFormat/>
    <w:uiPriority w:val="99"/>
    <w:pPr>
      <w:adjustRightInd/>
      <w:snapToGrid/>
      <w:spacing w:after="160" w:line="240" w:lineRule="exact"/>
    </w:pPr>
    <w:rPr>
      <w:rFonts w:ascii="Times New Roman" w:hAnsi="Times New Roman" w:eastAsia="宋体" w:cs="Times New Roman"/>
      <w:kern w:val="2"/>
      <w:sz w:val="21"/>
      <w:szCs w:val="24"/>
    </w:rPr>
  </w:style>
  <w:style w:type="paragraph" w:customStyle="1" w:styleId="60">
    <w:name w:val="xl68"/>
    <w:basedOn w:val="1"/>
    <w:qFormat/>
    <w:uiPriority w:val="99"/>
    <w:pPr>
      <w:pBdr>
        <w:bottom w:val="single" w:color="auto" w:sz="8" w:space="0"/>
        <w:right w:val="single" w:color="auto" w:sz="8" w:space="0"/>
      </w:pBdr>
      <w:adjustRightInd/>
      <w:snapToGrid/>
      <w:spacing w:before="100" w:beforeAutospacing="1" w:after="100" w:afterAutospacing="1"/>
      <w:jc w:val="center"/>
      <w:textAlignment w:val="top"/>
    </w:pPr>
    <w:rPr>
      <w:rFonts w:ascii="宋体" w:hAnsi="宋体" w:eastAsia="宋体" w:cs="宋体"/>
    </w:rPr>
  </w:style>
  <w:style w:type="paragraph" w:customStyle="1" w:styleId="61">
    <w:name w:val="xl66"/>
    <w:basedOn w:val="1"/>
    <w:qFormat/>
    <w:uiPriority w:val="99"/>
    <w:pPr>
      <w:pBdr>
        <w:top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2">
    <w:name w:val="xl73"/>
    <w:basedOn w:val="1"/>
    <w:qFormat/>
    <w:uiPriority w:val="99"/>
    <w:pPr>
      <w:pBdr>
        <w:top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3">
    <w:name w:val="xl71"/>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64">
    <w:name w:val="样式 标题 2 + 行距: 固定值 30 磅"/>
    <w:basedOn w:val="3"/>
    <w:qFormat/>
    <w:uiPriority w:val="99"/>
    <w:pPr>
      <w:widowControl/>
      <w:spacing w:line="600" w:lineRule="exact"/>
      <w:jc w:val="left"/>
      <w:textAlignment w:val="baseline"/>
    </w:pPr>
    <w:rPr>
      <w:rFonts w:eastAsia="楷体_GB2312" w:cs="宋体"/>
      <w:color w:val="000000"/>
      <w:kern w:val="0"/>
      <w:szCs w:val="20"/>
      <w:u w:color="000000"/>
    </w:rPr>
  </w:style>
  <w:style w:type="paragraph" w:customStyle="1" w:styleId="65">
    <w:name w:val="列出段落1"/>
    <w:basedOn w:val="1"/>
    <w:qFormat/>
    <w:uiPriority w:val="99"/>
    <w:pPr>
      <w:widowControl w:val="0"/>
      <w:adjustRightInd/>
      <w:snapToGrid/>
      <w:spacing w:after="0"/>
      <w:ind w:firstLine="420" w:firstLineChars="200"/>
      <w:jc w:val="both"/>
    </w:pPr>
    <w:rPr>
      <w:rFonts w:ascii="Times New Roman" w:hAnsi="Times New Roman" w:eastAsia="宋体" w:cs="Times New Roman"/>
      <w:kern w:val="2"/>
      <w:sz w:val="21"/>
      <w:szCs w:val="24"/>
    </w:rPr>
  </w:style>
  <w:style w:type="paragraph" w:customStyle="1" w:styleId="66">
    <w:name w:val="Char Char"/>
    <w:basedOn w:val="1"/>
    <w:qFormat/>
    <w:uiPriority w:val="0"/>
    <w:pPr>
      <w:widowControl w:val="0"/>
      <w:adjustRightInd/>
      <w:snapToGrid/>
      <w:spacing w:after="0"/>
      <w:jc w:val="both"/>
    </w:pPr>
    <w:rPr>
      <w:rFonts w:ascii="Times New Roman" w:hAnsi="Times New Roman" w:eastAsia="宋体" w:cs="Times New Roman"/>
      <w:kern w:val="2"/>
      <w:sz w:val="21"/>
      <w:szCs w:val="24"/>
    </w:rPr>
  </w:style>
  <w:style w:type="paragraph" w:customStyle="1" w:styleId="67">
    <w:name w:val="Char"/>
    <w:basedOn w:val="1"/>
    <w:qFormat/>
    <w:uiPriority w:val="99"/>
    <w:pPr>
      <w:adjustRightInd/>
      <w:snapToGrid/>
      <w:spacing w:after="160" w:line="240" w:lineRule="exact"/>
    </w:pPr>
    <w:rPr>
      <w:rFonts w:ascii="Calibri" w:hAnsi="Calibri" w:eastAsia="宋体" w:cs="Times New Roman"/>
      <w:kern w:val="2"/>
      <w:sz w:val="21"/>
    </w:rPr>
  </w:style>
  <w:style w:type="paragraph" w:customStyle="1" w:styleId="68">
    <w:name w:val="p"/>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69">
    <w:name w:val="默认段落字体 Para Char Char Char Char"/>
    <w:basedOn w:val="1"/>
    <w:qFormat/>
    <w:uiPriority w:val="99"/>
    <w:pPr>
      <w:widowControl w:val="0"/>
      <w:adjustRightInd/>
      <w:snapToGrid/>
      <w:spacing w:after="0"/>
      <w:jc w:val="both"/>
    </w:pPr>
    <w:rPr>
      <w:rFonts w:ascii="Times New Roman" w:hAnsi="Times New Roman" w:eastAsia="宋体" w:cs="Times New Roman"/>
      <w:sz w:val="21"/>
      <w:szCs w:val="20"/>
      <w:lang w:eastAsia="en-US"/>
    </w:rPr>
  </w:style>
  <w:style w:type="character" w:customStyle="1" w:styleId="70">
    <w:name w:val="标题 字符"/>
    <w:basedOn w:val="24"/>
    <w:link w:val="21"/>
    <w:qFormat/>
    <w:uiPriority w:val="0"/>
    <w:rPr>
      <w:rFonts w:eastAsia="宋体" w:asciiTheme="majorHAnsi" w:hAnsiTheme="majorHAnsi" w:cstheme="majorBidi"/>
      <w:b/>
      <w:bCs/>
      <w:kern w:val="2"/>
      <w:sz w:val="32"/>
      <w:szCs w:val="32"/>
    </w:rPr>
  </w:style>
  <w:style w:type="paragraph" w:customStyle="1" w:styleId="71">
    <w:name w:val="TOC 标题1"/>
    <w:basedOn w:val="2"/>
    <w:next w:val="1"/>
    <w:unhideWhenUsed/>
    <w:qFormat/>
    <w:uiPriority w:val="39"/>
    <w:pPr>
      <w:spacing w:before="480" w:after="0" w:line="276" w:lineRule="auto"/>
      <w:jc w:val="left"/>
      <w:textAlignment w:val="auto"/>
      <w:outlineLvl w:val="9"/>
    </w:pPr>
    <w:rPr>
      <w:rFonts w:asciiTheme="majorHAnsi" w:hAnsiTheme="majorHAnsi" w:eastAsiaTheme="majorEastAsia" w:cstheme="majorBidi"/>
      <w:color w:val="366091" w:themeColor="accent1" w:themeShade="BF"/>
      <w:kern w:val="0"/>
      <w:sz w:val="28"/>
      <w:szCs w:val="28"/>
    </w:rPr>
  </w:style>
  <w:style w:type="character" w:customStyle="1" w:styleId="72">
    <w:name w:val="font01"/>
    <w:basedOn w:val="24"/>
    <w:qFormat/>
    <w:uiPriority w:val="0"/>
    <w:rPr>
      <w:rFonts w:hint="eastAsia" w:ascii="宋体" w:hAnsi="宋体" w:eastAsia="宋体" w:cs="宋体"/>
      <w:b/>
      <w:color w:val="000000"/>
      <w:sz w:val="32"/>
      <w:szCs w:val="32"/>
      <w:u w:val="none"/>
    </w:rPr>
  </w:style>
  <w:style w:type="character" w:customStyle="1" w:styleId="73">
    <w:name w:val="font21"/>
    <w:basedOn w:val="24"/>
    <w:qFormat/>
    <w:uiPriority w:val="0"/>
    <w:rPr>
      <w:rFonts w:hint="default" w:ascii="Times New Roman" w:hAnsi="Times New Roman" w:cs="Times New Roman"/>
      <w:b/>
      <w:color w:val="000000"/>
      <w:sz w:val="32"/>
      <w:szCs w:val="3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166EA-FA1A-4A0B-AAB2-A6218D3C21C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33</Pages>
  <Words>505</Words>
  <Characters>536</Characters>
  <Lines>109</Lines>
  <Paragraphs>30</Paragraphs>
  <TotalTime>7</TotalTime>
  <ScaleCrop>false</ScaleCrop>
  <LinksUpToDate>false</LinksUpToDate>
  <CharactersWithSpaces>635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2019-11-18T06:52:00Z</dcterms:created>
  <dc:creator>Administrator</dc:creator>
  <cp:lastModifiedBy>早春的树</cp:lastModifiedBy>
  <cp:lastPrinted>2021-07-27T09:52:00Z</cp:lastPrinted>
  <dcterms:modified xsi:type="dcterms:W3CDTF">2026-01-16T00:54:31Z</dcterms:modified>
  <cp:revision>228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ED4556E5AD4B4863BD5F79D0748A65BE_13</vt:lpwstr>
  </property>
  <property fmtid="{D5CDD505-2E9C-101B-9397-08002B2CF9AE}" pid="4" name="KSOTemplateDocerSaveRecord">
    <vt:lpwstr>eyJoZGlkIjoiODZlYjJkNzE1MjkxNzc5MGY4ZDdmNjJiNzM3MWZiMzIiLCJ1c2VySWQiOiI2NDA2ODMwMTgifQ==</vt:lpwstr>
  </property>
</Properties>
</file>