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b/>
          <w:sz w:val="44"/>
          <w:szCs w:val="44"/>
          <w:lang w:eastAsia="zh-CN"/>
        </w:rPr>
      </w:pPr>
      <w:r>
        <w:rPr>
          <w:rFonts w:hint="eastAsia" w:ascii="宋体" w:hAnsi="宋体" w:eastAsia="宋体"/>
          <w:b/>
          <w:sz w:val="44"/>
          <w:szCs w:val="44"/>
        </w:rPr>
        <w:t>保定市徐水区</w:t>
      </w:r>
      <w:r>
        <w:rPr>
          <w:rFonts w:hint="eastAsia" w:ascii="宋体" w:hAnsi="宋体" w:eastAsia="宋体"/>
          <w:b/>
          <w:sz w:val="44"/>
          <w:szCs w:val="44"/>
          <w:lang w:eastAsia="zh-CN"/>
        </w:rPr>
        <w:t>工信局</w:t>
      </w:r>
    </w:p>
    <w:p>
      <w:pPr>
        <w:spacing w:line="360" w:lineRule="auto"/>
        <w:jc w:val="center"/>
        <w:rPr>
          <w:rFonts w:ascii="宋体" w:hAnsi="宋体" w:eastAsia="宋体"/>
          <w:b/>
          <w:sz w:val="44"/>
          <w:szCs w:val="44"/>
        </w:rPr>
      </w:pPr>
      <w:r>
        <w:rPr>
          <w:rFonts w:ascii="宋体" w:hAnsi="宋体" w:eastAsia="宋体"/>
          <w:b/>
          <w:sz w:val="44"/>
          <w:szCs w:val="44"/>
        </w:rPr>
        <w:t>202</w:t>
      </w:r>
      <w:r>
        <w:rPr>
          <w:rFonts w:hint="default" w:ascii="宋体" w:hAnsi="宋体" w:eastAsia="宋体"/>
          <w:b/>
          <w:sz w:val="44"/>
          <w:szCs w:val="44"/>
          <w:lang w:val="en-US"/>
        </w:rPr>
        <w:t>2</w:t>
      </w:r>
      <w:r>
        <w:rPr>
          <w:rFonts w:ascii="宋体" w:hAnsi="宋体" w:eastAsia="宋体"/>
          <w:b/>
          <w:sz w:val="44"/>
          <w:szCs w:val="44"/>
        </w:rPr>
        <w:t>年部门预算公开说明</w:t>
      </w:r>
    </w:p>
    <w:p>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val="en-US" w:eastAsia="zh-CN"/>
        </w:rPr>
        <w:t>中华人民共和国</w:t>
      </w:r>
      <w:r>
        <w:rPr>
          <w:rFonts w:hint="eastAsia" w:ascii="仿宋" w:hAnsi="仿宋" w:eastAsia="仿宋"/>
          <w:sz w:val="32"/>
          <w:szCs w:val="32"/>
        </w:rPr>
        <w:t>预算法》、《地方预决算公开操作规程》等文件规定，现将我部门预算信息公开如下：</w:t>
      </w:r>
    </w:p>
    <w:p>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:部门职责及机构设置情况</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一、部门职责</w:t>
      </w:r>
    </w:p>
    <w:p>
      <w:pPr>
        <w:pStyle w:val="10"/>
        <w:keepNext w:val="0"/>
        <w:keepLines w:val="0"/>
        <w:pageBreakBefore w:val="0"/>
        <w:widowControl w:val="0"/>
        <w:kinsoku/>
        <w:wordWrap/>
        <w:overflowPunct/>
        <w:topLinePunct w:val="0"/>
        <w:autoSpaceDE/>
        <w:autoSpaceDN/>
        <w:bidi w:val="0"/>
        <w:adjustRightInd/>
        <w:snapToGrid/>
        <w:spacing w:line="360" w:lineRule="auto"/>
        <w:ind w:firstLine="561"/>
        <w:jc w:val="both"/>
        <w:textAlignment w:val="auto"/>
        <w:rPr>
          <w:rFonts w:hint="eastAsia" w:ascii="仿宋" w:hAnsi="仿宋" w:eastAsia="仿宋" w:cs="仿宋"/>
          <w:sz w:val="32"/>
          <w:szCs w:val="32"/>
        </w:rPr>
      </w:pPr>
      <w:r>
        <w:rPr>
          <w:rFonts w:hint="eastAsia" w:ascii="仿宋" w:hAnsi="仿宋" w:eastAsia="仿宋" w:cs="仿宋"/>
          <w:sz w:val="32"/>
          <w:szCs w:val="32"/>
        </w:rPr>
        <w:t>依据《保定市徐水区工业和信息化局职能配置、内设机构和人员编制规定》确定本部门职责如下：</w:t>
      </w:r>
    </w:p>
    <w:p>
      <w:pPr>
        <w:pStyle w:val="10"/>
        <w:keepNext w:val="0"/>
        <w:keepLines w:val="0"/>
        <w:pageBreakBefore w:val="0"/>
        <w:widowControl w:val="0"/>
        <w:kinsoku/>
        <w:wordWrap/>
        <w:overflowPunct/>
        <w:topLinePunct w:val="0"/>
        <w:autoSpaceDE/>
        <w:autoSpaceDN/>
        <w:bidi w:val="0"/>
        <w:adjustRightInd/>
        <w:snapToGrid/>
        <w:spacing w:line="360" w:lineRule="auto"/>
        <w:ind w:firstLine="561"/>
        <w:jc w:val="both"/>
        <w:textAlignment w:val="auto"/>
        <w:rPr>
          <w:rFonts w:hint="eastAsia" w:ascii="仿宋" w:hAnsi="仿宋" w:eastAsia="仿宋" w:cs="仿宋"/>
          <w:sz w:val="32"/>
          <w:szCs w:val="32"/>
        </w:rPr>
      </w:pPr>
      <w:r>
        <w:rPr>
          <w:rFonts w:hint="eastAsia" w:ascii="仿宋" w:hAnsi="仿宋" w:eastAsia="仿宋" w:cs="仿宋"/>
          <w:sz w:val="32"/>
          <w:szCs w:val="32"/>
        </w:rPr>
        <w:t>（一）提出全区新型工业化发展战略和政策，协调解决新型工业化进程中的重大问题，拟订并组织实施全区工业的发展规划，推进产业结构战略性调整和优化升级，推进信息化和工业化融合。</w:t>
      </w:r>
    </w:p>
    <w:p>
      <w:pPr>
        <w:pStyle w:val="10"/>
        <w:keepNext w:val="0"/>
        <w:keepLines w:val="0"/>
        <w:pageBreakBefore w:val="0"/>
        <w:widowControl w:val="0"/>
        <w:kinsoku/>
        <w:wordWrap/>
        <w:overflowPunct/>
        <w:topLinePunct w:val="0"/>
        <w:autoSpaceDE/>
        <w:autoSpaceDN/>
        <w:bidi w:val="0"/>
        <w:adjustRightInd/>
        <w:snapToGrid/>
        <w:spacing w:line="360" w:lineRule="auto"/>
        <w:ind w:firstLine="561"/>
        <w:jc w:val="both"/>
        <w:textAlignment w:val="auto"/>
        <w:rPr>
          <w:rFonts w:hint="eastAsia" w:ascii="仿宋" w:hAnsi="仿宋" w:eastAsia="仿宋" w:cs="仿宋"/>
          <w:sz w:val="32"/>
          <w:szCs w:val="32"/>
        </w:rPr>
      </w:pPr>
      <w:r>
        <w:rPr>
          <w:rFonts w:hint="eastAsia" w:ascii="仿宋" w:hAnsi="仿宋" w:eastAsia="仿宋" w:cs="仿宋"/>
          <w:sz w:val="32"/>
          <w:szCs w:val="32"/>
        </w:rPr>
        <w:t>（二）拟订并组织实施全区工业行业规划、计划和产业政策，提出优化产业布局、结构的政策建议，推进现代产业体系建设，组织实施行业技术规范和标准，指导行业生产质量管理，协调推进工信系统名牌战略工作。</w:t>
      </w:r>
    </w:p>
    <w:p>
      <w:pPr>
        <w:pStyle w:val="10"/>
        <w:keepNext w:val="0"/>
        <w:keepLines w:val="0"/>
        <w:pageBreakBefore w:val="0"/>
        <w:widowControl w:val="0"/>
        <w:kinsoku/>
        <w:wordWrap/>
        <w:overflowPunct/>
        <w:topLinePunct w:val="0"/>
        <w:autoSpaceDE/>
        <w:autoSpaceDN/>
        <w:bidi w:val="0"/>
        <w:adjustRightInd/>
        <w:snapToGrid/>
        <w:spacing w:line="360" w:lineRule="auto"/>
        <w:ind w:firstLine="561"/>
        <w:jc w:val="both"/>
        <w:textAlignment w:val="auto"/>
        <w:rPr>
          <w:rFonts w:hint="eastAsia" w:ascii="仿宋" w:hAnsi="仿宋" w:eastAsia="仿宋" w:cs="仿宋"/>
          <w:sz w:val="32"/>
          <w:szCs w:val="32"/>
        </w:rPr>
      </w:pPr>
      <w:r>
        <w:rPr>
          <w:rFonts w:hint="eastAsia" w:ascii="仿宋" w:hAnsi="仿宋" w:eastAsia="仿宋" w:cs="仿宋"/>
          <w:sz w:val="32"/>
          <w:szCs w:val="32"/>
        </w:rPr>
        <w:t>（三）监测、分析全区工业运行态势，统计并发布相关信息，进行预测预警和信息引导，协调解决行业运行发展中的有关问题并提出政策建议；负责工业应急管理、产业安全和国防动员有关工作；负责区医药储备管理的有关工作。</w:t>
      </w:r>
    </w:p>
    <w:p>
      <w:pPr>
        <w:pStyle w:val="10"/>
        <w:keepNext w:val="0"/>
        <w:keepLines w:val="0"/>
        <w:pageBreakBefore w:val="0"/>
        <w:widowControl w:val="0"/>
        <w:kinsoku/>
        <w:wordWrap/>
        <w:overflowPunct/>
        <w:topLinePunct w:val="0"/>
        <w:autoSpaceDE/>
        <w:autoSpaceDN/>
        <w:bidi w:val="0"/>
        <w:adjustRightInd/>
        <w:snapToGrid/>
        <w:spacing w:line="360" w:lineRule="auto"/>
        <w:ind w:firstLine="561"/>
        <w:jc w:val="both"/>
        <w:textAlignment w:val="auto"/>
        <w:rPr>
          <w:rFonts w:hint="eastAsia" w:ascii="仿宋" w:hAnsi="仿宋" w:eastAsia="仿宋" w:cs="仿宋"/>
          <w:sz w:val="32"/>
          <w:szCs w:val="32"/>
        </w:rPr>
      </w:pPr>
      <w:r>
        <w:rPr>
          <w:rFonts w:hint="eastAsia" w:ascii="仿宋" w:hAnsi="仿宋" w:eastAsia="仿宋" w:cs="仿宋"/>
          <w:sz w:val="32"/>
          <w:szCs w:val="32"/>
        </w:rPr>
        <w:t>（四）负责提出全区工业固定资产投资规模和方向（含利用外资和境外投资）、国家和省、市财政性建设资金安排的意见。</w:t>
      </w:r>
    </w:p>
    <w:p>
      <w:pPr>
        <w:pStyle w:val="10"/>
        <w:keepNext w:val="0"/>
        <w:keepLines w:val="0"/>
        <w:pageBreakBefore w:val="0"/>
        <w:widowControl w:val="0"/>
        <w:kinsoku/>
        <w:wordWrap/>
        <w:overflowPunct/>
        <w:topLinePunct w:val="0"/>
        <w:autoSpaceDE/>
        <w:autoSpaceDN/>
        <w:bidi w:val="0"/>
        <w:adjustRightInd/>
        <w:snapToGrid/>
        <w:spacing w:line="360" w:lineRule="auto"/>
        <w:ind w:firstLine="561"/>
        <w:jc w:val="both"/>
        <w:textAlignment w:val="auto"/>
        <w:rPr>
          <w:rFonts w:hint="eastAsia" w:ascii="仿宋" w:hAnsi="仿宋" w:eastAsia="仿宋" w:cs="仿宋"/>
          <w:sz w:val="32"/>
          <w:szCs w:val="32"/>
        </w:rPr>
      </w:pPr>
      <w:r>
        <w:rPr>
          <w:rFonts w:hint="eastAsia" w:ascii="仿宋" w:hAnsi="仿宋" w:eastAsia="仿宋" w:cs="仿宋"/>
          <w:sz w:val="32"/>
          <w:szCs w:val="32"/>
        </w:rPr>
        <w:t>（五）负责对全区中小企业和民营经济促进工作进行指导、综合协调和监督检查，负责中小企业统计工作，研究拟订全区中小企业发展战略、中长期发展规划、年度计划并组织实施；会同有关部门拟订促进全区发展中小企业和民营经济发展的相关政策并组织实施，协调解决有关重大问题；指导和推进中小企业转变发展方式，推动结构调整优化；拟订中小企业产业集群发展规划及政策措施并组织实施。</w:t>
      </w:r>
    </w:p>
    <w:p>
      <w:pPr>
        <w:pStyle w:val="10"/>
        <w:keepNext w:val="0"/>
        <w:keepLines w:val="0"/>
        <w:pageBreakBefore w:val="0"/>
        <w:widowControl w:val="0"/>
        <w:kinsoku/>
        <w:wordWrap/>
        <w:overflowPunct/>
        <w:topLinePunct w:val="0"/>
        <w:autoSpaceDE/>
        <w:autoSpaceDN/>
        <w:bidi w:val="0"/>
        <w:adjustRightInd/>
        <w:snapToGrid/>
        <w:spacing w:line="360" w:lineRule="auto"/>
        <w:ind w:firstLine="561"/>
        <w:jc w:val="both"/>
        <w:textAlignment w:val="auto"/>
        <w:rPr>
          <w:rFonts w:hint="eastAsia" w:ascii="仿宋" w:hAnsi="仿宋" w:eastAsia="仿宋" w:cs="仿宋"/>
          <w:sz w:val="32"/>
          <w:szCs w:val="32"/>
        </w:rPr>
      </w:pPr>
      <w:r>
        <w:rPr>
          <w:rFonts w:hint="eastAsia" w:ascii="仿宋" w:hAnsi="仿宋" w:eastAsia="仿宋" w:cs="仿宋"/>
          <w:sz w:val="32"/>
          <w:szCs w:val="32"/>
        </w:rPr>
        <w:t>（六）拟订和组织实施中小企业发展专项资金年度计划和固定资产投资计划，提出区级中小企业发展专项资金年度预算建议，实施对中小企业发展专项资金使用的监督检查；指导中小企业专项资金的设立和使用；提出中小企业融资的政策措施并组织实施；推动建立中小企业创业风险投资引导资金，确定资金使用方向；负责企业诚信体系建设；组织推进中小企业信用担保体系和信用制度建设；推动建立完善中小企业服务体系，引导各类中介组织为中小企业提供服务。</w:t>
      </w:r>
    </w:p>
    <w:p>
      <w:pPr>
        <w:pStyle w:val="10"/>
        <w:keepNext w:val="0"/>
        <w:keepLines w:val="0"/>
        <w:pageBreakBefore w:val="0"/>
        <w:widowControl w:val="0"/>
        <w:kinsoku/>
        <w:wordWrap/>
        <w:overflowPunct/>
        <w:topLinePunct w:val="0"/>
        <w:autoSpaceDE/>
        <w:autoSpaceDN/>
        <w:bidi w:val="0"/>
        <w:adjustRightInd/>
        <w:snapToGrid/>
        <w:spacing w:line="360" w:lineRule="auto"/>
        <w:ind w:firstLine="561"/>
        <w:jc w:val="both"/>
        <w:textAlignment w:val="auto"/>
        <w:rPr>
          <w:rFonts w:hint="eastAsia" w:ascii="仿宋" w:hAnsi="仿宋" w:eastAsia="仿宋" w:cs="仿宋"/>
          <w:sz w:val="32"/>
          <w:szCs w:val="32"/>
        </w:rPr>
      </w:pPr>
      <w:r>
        <w:rPr>
          <w:rFonts w:hint="eastAsia" w:ascii="仿宋" w:hAnsi="仿宋" w:eastAsia="仿宋" w:cs="仿宋"/>
          <w:sz w:val="32"/>
          <w:szCs w:val="32"/>
        </w:rPr>
        <w:t>（七）贯彻国家政策和标准，拟订高技术产业中涉及生物医药、新材料、信息产业等规划并组织实施；指导行业技术创新和技术进步，以先进适用技术改造提升传统产业；组织实施有关国家、省、市科技重大专项，推进相关科研成果产业化，推动全区软件业、信息服务业和新兴产业发展。</w:t>
      </w:r>
    </w:p>
    <w:p>
      <w:pPr>
        <w:pStyle w:val="10"/>
        <w:keepNext w:val="0"/>
        <w:keepLines w:val="0"/>
        <w:pageBreakBefore w:val="0"/>
        <w:widowControl w:val="0"/>
        <w:kinsoku/>
        <w:wordWrap/>
        <w:overflowPunct/>
        <w:topLinePunct w:val="0"/>
        <w:autoSpaceDE/>
        <w:autoSpaceDN/>
        <w:bidi w:val="0"/>
        <w:adjustRightInd/>
        <w:snapToGrid/>
        <w:spacing w:line="360" w:lineRule="auto"/>
        <w:ind w:firstLine="561"/>
        <w:jc w:val="both"/>
        <w:textAlignment w:val="auto"/>
        <w:rPr>
          <w:rFonts w:hint="eastAsia" w:ascii="仿宋" w:hAnsi="仿宋" w:eastAsia="仿宋" w:cs="仿宋"/>
          <w:sz w:val="32"/>
          <w:szCs w:val="32"/>
        </w:rPr>
      </w:pPr>
      <w:r>
        <w:rPr>
          <w:rFonts w:hint="eastAsia" w:ascii="仿宋" w:hAnsi="仿宋" w:eastAsia="仿宋" w:cs="仿宋"/>
          <w:sz w:val="32"/>
          <w:szCs w:val="32"/>
        </w:rPr>
        <w:t>（八）承担全区振兴装备制造业的组织协调，贯彻执行国家、省、市重大技术装备发展和自主创新规划、政策，依托国家、省、市重点工程建设协调有关重大专项的实施，推进重大技术装备国产化，指导引进重大技术装备的消化创新。</w:t>
      </w:r>
    </w:p>
    <w:p>
      <w:pPr>
        <w:pStyle w:val="10"/>
        <w:keepNext w:val="0"/>
        <w:keepLines w:val="0"/>
        <w:pageBreakBefore w:val="0"/>
        <w:widowControl w:val="0"/>
        <w:kinsoku/>
        <w:wordWrap/>
        <w:overflowPunct/>
        <w:topLinePunct w:val="0"/>
        <w:autoSpaceDE/>
        <w:autoSpaceDN/>
        <w:bidi w:val="0"/>
        <w:adjustRightInd/>
        <w:snapToGrid/>
        <w:spacing w:line="360" w:lineRule="auto"/>
        <w:ind w:firstLine="561"/>
        <w:jc w:val="both"/>
        <w:textAlignment w:val="auto"/>
        <w:rPr>
          <w:rFonts w:hint="eastAsia" w:ascii="仿宋" w:hAnsi="仿宋" w:eastAsia="仿宋" w:cs="仿宋"/>
          <w:sz w:val="32"/>
          <w:szCs w:val="32"/>
        </w:rPr>
      </w:pPr>
      <w:r>
        <w:rPr>
          <w:rFonts w:hint="eastAsia" w:ascii="仿宋" w:hAnsi="仿宋" w:eastAsia="仿宋" w:cs="仿宋"/>
          <w:sz w:val="32"/>
          <w:szCs w:val="32"/>
        </w:rPr>
        <w:t>（九）组织实施国家、省、市工业能源节约和资源综合利用促进政策，协调相关重大示范工程和新产品、新技术、新设备、新材料的推广应用。</w:t>
      </w:r>
    </w:p>
    <w:p>
      <w:pPr>
        <w:pStyle w:val="10"/>
        <w:keepNext w:val="0"/>
        <w:keepLines w:val="0"/>
        <w:pageBreakBefore w:val="0"/>
        <w:widowControl w:val="0"/>
        <w:kinsoku/>
        <w:wordWrap/>
        <w:overflowPunct/>
        <w:topLinePunct w:val="0"/>
        <w:autoSpaceDE/>
        <w:autoSpaceDN/>
        <w:bidi w:val="0"/>
        <w:adjustRightInd/>
        <w:snapToGrid/>
        <w:spacing w:line="360" w:lineRule="auto"/>
        <w:ind w:firstLine="561"/>
        <w:jc w:val="both"/>
        <w:textAlignment w:val="auto"/>
        <w:rPr>
          <w:rFonts w:hint="eastAsia" w:ascii="仿宋" w:hAnsi="仿宋" w:eastAsia="仿宋" w:cs="仿宋"/>
          <w:sz w:val="32"/>
          <w:szCs w:val="32"/>
        </w:rPr>
      </w:pPr>
      <w:r>
        <w:rPr>
          <w:rFonts w:hint="eastAsia" w:ascii="仿宋" w:hAnsi="仿宋" w:eastAsia="仿宋" w:cs="仿宋"/>
          <w:sz w:val="32"/>
          <w:szCs w:val="32"/>
        </w:rPr>
        <w:t>（十）推进全区工业体制改革和管理创新，提高行业综合素质和核心竞争力，指导工业行业加强安全生产管理；负责证照齐全民用爆炸物品生产、流通企业单位的安全生产监督管理；负责本单位的安全生产和职业健康工作。</w:t>
      </w:r>
    </w:p>
    <w:p>
      <w:pPr>
        <w:pStyle w:val="10"/>
        <w:keepNext w:val="0"/>
        <w:keepLines w:val="0"/>
        <w:pageBreakBefore w:val="0"/>
        <w:widowControl w:val="0"/>
        <w:kinsoku/>
        <w:wordWrap/>
        <w:overflowPunct/>
        <w:topLinePunct w:val="0"/>
        <w:autoSpaceDE/>
        <w:autoSpaceDN/>
        <w:bidi w:val="0"/>
        <w:adjustRightInd/>
        <w:snapToGrid/>
        <w:spacing w:line="360" w:lineRule="auto"/>
        <w:ind w:firstLine="561"/>
        <w:jc w:val="both"/>
        <w:textAlignment w:val="auto"/>
        <w:rPr>
          <w:rFonts w:hint="eastAsia" w:ascii="仿宋" w:hAnsi="仿宋" w:eastAsia="仿宋" w:cs="仿宋"/>
          <w:sz w:val="32"/>
          <w:szCs w:val="32"/>
        </w:rPr>
      </w:pPr>
      <w:r>
        <w:rPr>
          <w:rFonts w:hint="eastAsia" w:ascii="仿宋" w:hAnsi="仿宋" w:eastAsia="仿宋" w:cs="仿宋"/>
          <w:sz w:val="32"/>
          <w:szCs w:val="32"/>
        </w:rPr>
        <w:t>（十一）组织开展工业、中小企业的对外合作与交流。</w:t>
      </w:r>
    </w:p>
    <w:p>
      <w:pPr>
        <w:pStyle w:val="10"/>
        <w:keepNext w:val="0"/>
        <w:keepLines w:val="0"/>
        <w:pageBreakBefore w:val="0"/>
        <w:widowControl w:val="0"/>
        <w:kinsoku/>
        <w:wordWrap/>
        <w:overflowPunct/>
        <w:topLinePunct w:val="0"/>
        <w:autoSpaceDE/>
        <w:autoSpaceDN/>
        <w:bidi w:val="0"/>
        <w:adjustRightInd/>
        <w:snapToGrid/>
        <w:spacing w:line="360" w:lineRule="auto"/>
        <w:ind w:firstLine="561"/>
        <w:jc w:val="both"/>
        <w:textAlignment w:val="auto"/>
        <w:rPr>
          <w:rFonts w:hint="eastAsia" w:ascii="仿宋" w:hAnsi="仿宋" w:eastAsia="仿宋" w:cs="仿宋"/>
          <w:sz w:val="32"/>
          <w:szCs w:val="32"/>
        </w:rPr>
      </w:pPr>
      <w:r>
        <w:rPr>
          <w:rFonts w:hint="eastAsia" w:ascii="仿宋" w:hAnsi="仿宋" w:eastAsia="仿宋" w:cs="仿宋"/>
          <w:sz w:val="32"/>
          <w:szCs w:val="32"/>
        </w:rPr>
        <w:t>（十二）承担履行《禁止化学武器公约》的组织协调工作。</w:t>
      </w:r>
    </w:p>
    <w:p>
      <w:pPr>
        <w:pStyle w:val="10"/>
        <w:keepNext w:val="0"/>
        <w:keepLines w:val="0"/>
        <w:pageBreakBefore w:val="0"/>
        <w:widowControl w:val="0"/>
        <w:kinsoku/>
        <w:wordWrap/>
        <w:overflowPunct/>
        <w:topLinePunct w:val="0"/>
        <w:autoSpaceDE/>
        <w:autoSpaceDN/>
        <w:bidi w:val="0"/>
        <w:adjustRightInd/>
        <w:snapToGrid/>
        <w:spacing w:line="360" w:lineRule="auto"/>
        <w:ind w:firstLine="561"/>
        <w:jc w:val="both"/>
        <w:textAlignment w:val="auto"/>
        <w:rPr>
          <w:rFonts w:hint="eastAsia" w:ascii="仿宋" w:hAnsi="仿宋" w:eastAsia="仿宋" w:cs="仿宋"/>
          <w:sz w:val="32"/>
          <w:szCs w:val="32"/>
        </w:rPr>
      </w:pPr>
      <w:r>
        <w:rPr>
          <w:rFonts w:hint="eastAsia" w:ascii="仿宋" w:hAnsi="仿宋" w:eastAsia="仿宋" w:cs="仿宋"/>
          <w:sz w:val="32"/>
          <w:szCs w:val="32"/>
        </w:rPr>
        <w:t>（十三）贯彻落实创新驱动发展战略方针，拟订科技发展、引进国外智力规划和政策并组织实施。</w:t>
      </w:r>
    </w:p>
    <w:p>
      <w:pPr>
        <w:pStyle w:val="10"/>
        <w:keepNext w:val="0"/>
        <w:keepLines w:val="0"/>
        <w:pageBreakBefore w:val="0"/>
        <w:widowControl w:val="0"/>
        <w:kinsoku/>
        <w:wordWrap/>
        <w:overflowPunct/>
        <w:topLinePunct w:val="0"/>
        <w:autoSpaceDE/>
        <w:autoSpaceDN/>
        <w:bidi w:val="0"/>
        <w:adjustRightInd/>
        <w:snapToGrid/>
        <w:spacing w:line="360" w:lineRule="auto"/>
        <w:ind w:firstLine="561"/>
        <w:jc w:val="both"/>
        <w:textAlignment w:val="auto"/>
        <w:rPr>
          <w:rFonts w:hint="eastAsia" w:ascii="仿宋" w:hAnsi="仿宋" w:eastAsia="仿宋" w:cs="仿宋"/>
          <w:sz w:val="32"/>
          <w:szCs w:val="32"/>
        </w:rPr>
      </w:pPr>
      <w:r>
        <w:rPr>
          <w:rFonts w:hint="eastAsia" w:ascii="仿宋" w:hAnsi="仿宋" w:eastAsia="仿宋" w:cs="仿宋"/>
          <w:sz w:val="32"/>
          <w:szCs w:val="32"/>
        </w:rPr>
        <w:t>（十四）统筹推进全区创新体系建设和科技体制改革，会同有关部门健全技术创新激励机制；优化科研体系建设，指导科研机构改革发展，推动企业科技创新能力建设，推进区重大科技决策咨询制度建设；拟订科学普及和科学传播规划、政策。</w:t>
      </w:r>
    </w:p>
    <w:p>
      <w:pPr>
        <w:pStyle w:val="10"/>
        <w:keepNext w:val="0"/>
        <w:keepLines w:val="0"/>
        <w:pageBreakBefore w:val="0"/>
        <w:widowControl w:val="0"/>
        <w:kinsoku/>
        <w:wordWrap/>
        <w:overflowPunct/>
        <w:topLinePunct w:val="0"/>
        <w:autoSpaceDE/>
        <w:autoSpaceDN/>
        <w:bidi w:val="0"/>
        <w:adjustRightInd/>
        <w:snapToGrid/>
        <w:spacing w:line="360" w:lineRule="auto"/>
        <w:ind w:firstLine="561"/>
        <w:jc w:val="both"/>
        <w:textAlignment w:val="auto"/>
        <w:rPr>
          <w:rFonts w:hint="eastAsia" w:ascii="仿宋" w:hAnsi="仿宋" w:eastAsia="仿宋" w:cs="仿宋"/>
          <w:sz w:val="32"/>
          <w:szCs w:val="32"/>
        </w:rPr>
      </w:pPr>
      <w:r>
        <w:rPr>
          <w:rFonts w:hint="eastAsia" w:ascii="仿宋" w:hAnsi="仿宋" w:eastAsia="仿宋" w:cs="仿宋"/>
          <w:sz w:val="32"/>
          <w:szCs w:val="32"/>
        </w:rPr>
        <w:t>（十五）牵头建立统一的国家、省、市级科研项目资金协调、监管机制；会同有关部门提出优化配置科技资源的政策措施建议，推动多元化科技投入体系建设，协调监督管理上级下达的财政科技计划专项。</w:t>
      </w:r>
    </w:p>
    <w:p>
      <w:pPr>
        <w:pStyle w:val="10"/>
        <w:keepNext w:val="0"/>
        <w:keepLines w:val="0"/>
        <w:pageBreakBefore w:val="0"/>
        <w:widowControl w:val="0"/>
        <w:kinsoku/>
        <w:wordWrap/>
        <w:overflowPunct/>
        <w:topLinePunct w:val="0"/>
        <w:autoSpaceDE/>
        <w:autoSpaceDN/>
        <w:bidi w:val="0"/>
        <w:adjustRightInd/>
        <w:snapToGrid/>
        <w:spacing w:line="360" w:lineRule="auto"/>
        <w:ind w:firstLine="561"/>
        <w:jc w:val="both"/>
        <w:textAlignment w:val="auto"/>
        <w:rPr>
          <w:rFonts w:hint="eastAsia" w:ascii="仿宋" w:hAnsi="仿宋" w:eastAsia="仿宋" w:cs="仿宋"/>
          <w:sz w:val="32"/>
          <w:szCs w:val="32"/>
        </w:rPr>
      </w:pPr>
      <w:r>
        <w:rPr>
          <w:rFonts w:hint="eastAsia" w:ascii="仿宋" w:hAnsi="仿宋" w:eastAsia="仿宋" w:cs="仿宋"/>
          <w:sz w:val="32"/>
          <w:szCs w:val="32"/>
        </w:rPr>
        <w:t>（十六）监督实施重大科技创新基地建设规划，推动科研条件保障、科技平台建设和科技资源开放共享。</w:t>
      </w:r>
    </w:p>
    <w:p>
      <w:pPr>
        <w:pStyle w:val="10"/>
        <w:keepNext w:val="0"/>
        <w:keepLines w:val="0"/>
        <w:pageBreakBefore w:val="0"/>
        <w:widowControl w:val="0"/>
        <w:kinsoku/>
        <w:wordWrap/>
        <w:overflowPunct/>
        <w:topLinePunct w:val="0"/>
        <w:autoSpaceDE/>
        <w:autoSpaceDN/>
        <w:bidi w:val="0"/>
        <w:adjustRightInd/>
        <w:snapToGrid/>
        <w:spacing w:line="360" w:lineRule="auto"/>
        <w:ind w:firstLine="561"/>
        <w:jc w:val="both"/>
        <w:textAlignment w:val="auto"/>
        <w:rPr>
          <w:rFonts w:hint="eastAsia" w:ascii="仿宋" w:hAnsi="仿宋" w:eastAsia="仿宋" w:cs="仿宋"/>
          <w:sz w:val="32"/>
          <w:szCs w:val="32"/>
        </w:rPr>
      </w:pPr>
      <w:r>
        <w:rPr>
          <w:rFonts w:hint="eastAsia" w:ascii="仿宋" w:hAnsi="仿宋" w:eastAsia="仿宋" w:cs="仿宋"/>
          <w:sz w:val="32"/>
          <w:szCs w:val="32"/>
        </w:rPr>
        <w:t>（十七）监督实施区重大科技项目规划，统筹关键共性技术、前沿引领技术、现代工程技术、颠覆性技术研发和创新，牵头组织重大技术攻关和成果应用示范。</w:t>
      </w:r>
    </w:p>
    <w:p>
      <w:pPr>
        <w:pStyle w:val="10"/>
        <w:keepNext w:val="0"/>
        <w:keepLines w:val="0"/>
        <w:pageBreakBefore w:val="0"/>
        <w:widowControl w:val="0"/>
        <w:kinsoku/>
        <w:wordWrap/>
        <w:overflowPunct/>
        <w:topLinePunct w:val="0"/>
        <w:autoSpaceDE/>
        <w:autoSpaceDN/>
        <w:bidi w:val="0"/>
        <w:adjustRightInd/>
        <w:snapToGrid/>
        <w:spacing w:line="360" w:lineRule="auto"/>
        <w:ind w:firstLine="561"/>
        <w:jc w:val="both"/>
        <w:textAlignment w:val="auto"/>
        <w:rPr>
          <w:rFonts w:hint="eastAsia" w:ascii="仿宋" w:hAnsi="仿宋" w:eastAsia="仿宋" w:cs="仿宋"/>
          <w:sz w:val="32"/>
          <w:szCs w:val="32"/>
        </w:rPr>
      </w:pPr>
      <w:r>
        <w:rPr>
          <w:rFonts w:hint="eastAsia" w:ascii="仿宋" w:hAnsi="仿宋" w:eastAsia="仿宋" w:cs="仿宋"/>
          <w:sz w:val="32"/>
          <w:szCs w:val="32"/>
        </w:rPr>
        <w:t>（十八）组织拟订高新技术发展及产业化、科技促进农业农村和社会发展的规划、政策和措施；组织开展重点领域技术发展需求分析，提出重大任务并监督实施；指导农业科技园区建设。</w:t>
      </w:r>
    </w:p>
    <w:p>
      <w:pPr>
        <w:pStyle w:val="10"/>
        <w:keepNext w:val="0"/>
        <w:keepLines w:val="0"/>
        <w:pageBreakBefore w:val="0"/>
        <w:widowControl w:val="0"/>
        <w:kinsoku/>
        <w:wordWrap/>
        <w:overflowPunct/>
        <w:topLinePunct w:val="0"/>
        <w:autoSpaceDE/>
        <w:autoSpaceDN/>
        <w:bidi w:val="0"/>
        <w:adjustRightInd/>
        <w:snapToGrid/>
        <w:spacing w:line="360" w:lineRule="auto"/>
        <w:ind w:firstLine="561"/>
        <w:jc w:val="both"/>
        <w:textAlignment w:val="auto"/>
        <w:rPr>
          <w:rFonts w:hint="eastAsia" w:ascii="仿宋" w:hAnsi="仿宋" w:eastAsia="仿宋" w:cs="仿宋"/>
          <w:sz w:val="32"/>
          <w:szCs w:val="32"/>
        </w:rPr>
      </w:pPr>
      <w:r>
        <w:rPr>
          <w:rFonts w:hint="eastAsia" w:ascii="仿宋" w:hAnsi="仿宋" w:eastAsia="仿宋" w:cs="仿宋"/>
          <w:sz w:val="32"/>
          <w:szCs w:val="32"/>
        </w:rPr>
        <w:t>（十九）牵头技术转移体系建设，拟订科技成果转移转化和促进产学研结合的相关政策措施并监督实施；指导科技服务业、技术市场和科技中介组织发展。</w:t>
      </w:r>
    </w:p>
    <w:p>
      <w:pPr>
        <w:pStyle w:val="10"/>
        <w:keepNext w:val="0"/>
        <w:keepLines w:val="0"/>
        <w:pageBreakBefore w:val="0"/>
        <w:widowControl w:val="0"/>
        <w:kinsoku/>
        <w:wordWrap/>
        <w:overflowPunct/>
        <w:topLinePunct w:val="0"/>
        <w:autoSpaceDE/>
        <w:autoSpaceDN/>
        <w:bidi w:val="0"/>
        <w:adjustRightInd/>
        <w:snapToGrid/>
        <w:spacing w:line="360" w:lineRule="auto"/>
        <w:ind w:firstLine="561"/>
        <w:jc w:val="both"/>
        <w:textAlignment w:val="auto"/>
        <w:rPr>
          <w:rFonts w:hint="eastAsia" w:ascii="仿宋" w:hAnsi="仿宋" w:eastAsia="仿宋" w:cs="仿宋"/>
          <w:sz w:val="32"/>
          <w:szCs w:val="32"/>
        </w:rPr>
      </w:pPr>
      <w:r>
        <w:rPr>
          <w:rFonts w:hint="eastAsia" w:ascii="仿宋" w:hAnsi="仿宋" w:eastAsia="仿宋" w:cs="仿宋"/>
          <w:sz w:val="32"/>
          <w:szCs w:val="32"/>
        </w:rPr>
        <w:t>（二十）统筹区域科技创新体系建设，指导区域创新发展、科技资源合理布局和协同创新能力建设。</w:t>
      </w:r>
    </w:p>
    <w:p>
      <w:pPr>
        <w:pStyle w:val="10"/>
        <w:keepNext w:val="0"/>
        <w:keepLines w:val="0"/>
        <w:pageBreakBefore w:val="0"/>
        <w:widowControl w:val="0"/>
        <w:kinsoku/>
        <w:wordWrap/>
        <w:overflowPunct/>
        <w:topLinePunct w:val="0"/>
        <w:autoSpaceDE/>
        <w:autoSpaceDN/>
        <w:bidi w:val="0"/>
        <w:adjustRightInd/>
        <w:snapToGrid/>
        <w:spacing w:line="360" w:lineRule="auto"/>
        <w:ind w:firstLine="561"/>
        <w:jc w:val="both"/>
        <w:textAlignment w:val="auto"/>
        <w:rPr>
          <w:rFonts w:hint="eastAsia" w:ascii="仿宋" w:hAnsi="仿宋" w:eastAsia="仿宋" w:cs="仿宋"/>
          <w:sz w:val="32"/>
          <w:szCs w:val="32"/>
        </w:rPr>
      </w:pPr>
      <w:r>
        <w:rPr>
          <w:rFonts w:hint="eastAsia" w:ascii="仿宋" w:hAnsi="仿宋" w:eastAsia="仿宋" w:cs="仿宋"/>
          <w:sz w:val="32"/>
          <w:szCs w:val="32"/>
        </w:rPr>
        <w:t>（二十一）负责科技监督评价体系建设和相关科技评估管理，指导科技评价机制改革，统筹科研诚信建设；组织实施创新调查和科技报告制度，指导全区科技保密工作。</w:t>
      </w:r>
    </w:p>
    <w:p>
      <w:pPr>
        <w:pStyle w:val="10"/>
        <w:keepNext w:val="0"/>
        <w:keepLines w:val="0"/>
        <w:pageBreakBefore w:val="0"/>
        <w:widowControl w:val="0"/>
        <w:kinsoku/>
        <w:wordWrap/>
        <w:overflowPunct/>
        <w:topLinePunct w:val="0"/>
        <w:autoSpaceDE/>
        <w:autoSpaceDN/>
        <w:bidi w:val="0"/>
        <w:adjustRightInd/>
        <w:snapToGrid/>
        <w:spacing w:line="360" w:lineRule="auto"/>
        <w:ind w:firstLine="561"/>
        <w:jc w:val="both"/>
        <w:textAlignment w:val="auto"/>
        <w:rPr>
          <w:rFonts w:hint="eastAsia" w:ascii="仿宋" w:hAnsi="仿宋" w:eastAsia="仿宋" w:cs="仿宋"/>
          <w:sz w:val="32"/>
          <w:szCs w:val="32"/>
        </w:rPr>
      </w:pPr>
      <w:r>
        <w:rPr>
          <w:rFonts w:hint="eastAsia" w:ascii="仿宋" w:hAnsi="仿宋" w:eastAsia="仿宋" w:cs="仿宋"/>
          <w:sz w:val="32"/>
          <w:szCs w:val="32"/>
        </w:rPr>
        <w:t>（二十二）拟订国际科技合作与创新能力开放合作的规划、政策和措施，组织开展国际科技合作交流；指导相关部门开展对外科技合作交流工作，组织科技援外和科技援冀相关事宜。</w:t>
      </w:r>
    </w:p>
    <w:p>
      <w:pPr>
        <w:pStyle w:val="10"/>
        <w:keepNext w:val="0"/>
        <w:keepLines w:val="0"/>
        <w:pageBreakBefore w:val="0"/>
        <w:widowControl w:val="0"/>
        <w:kinsoku/>
        <w:wordWrap/>
        <w:overflowPunct/>
        <w:topLinePunct w:val="0"/>
        <w:autoSpaceDE/>
        <w:autoSpaceDN/>
        <w:bidi w:val="0"/>
        <w:adjustRightInd/>
        <w:snapToGrid/>
        <w:spacing w:line="360" w:lineRule="auto"/>
        <w:ind w:firstLine="561"/>
        <w:jc w:val="both"/>
        <w:textAlignment w:val="auto"/>
        <w:rPr>
          <w:rFonts w:hint="eastAsia" w:ascii="仿宋" w:hAnsi="仿宋" w:eastAsia="仿宋" w:cs="仿宋"/>
          <w:sz w:val="32"/>
          <w:szCs w:val="32"/>
        </w:rPr>
      </w:pPr>
      <w:r>
        <w:rPr>
          <w:rFonts w:hint="eastAsia" w:ascii="仿宋" w:hAnsi="仿宋" w:eastAsia="仿宋" w:cs="仿宋"/>
          <w:sz w:val="32"/>
          <w:szCs w:val="32"/>
        </w:rPr>
        <w:t>（二十三）负责引进国外智力工作。拟订区重点引进外国专家总体规划、计划并组织实施，建立外国高层次人才吸引集聚机制和重点外国专家联系服务机制；拟订出国（境）培训总体规划、政策和年度计划并监督实施。</w:t>
      </w:r>
    </w:p>
    <w:p>
      <w:pPr>
        <w:pStyle w:val="10"/>
        <w:keepNext w:val="0"/>
        <w:keepLines w:val="0"/>
        <w:pageBreakBefore w:val="0"/>
        <w:widowControl w:val="0"/>
        <w:kinsoku/>
        <w:wordWrap/>
        <w:overflowPunct/>
        <w:topLinePunct w:val="0"/>
        <w:autoSpaceDE/>
        <w:autoSpaceDN/>
        <w:bidi w:val="0"/>
        <w:adjustRightInd/>
        <w:snapToGrid/>
        <w:spacing w:line="360" w:lineRule="auto"/>
        <w:ind w:firstLine="561"/>
        <w:jc w:val="both"/>
        <w:textAlignment w:val="auto"/>
        <w:rPr>
          <w:rFonts w:hint="eastAsia" w:ascii="仿宋" w:hAnsi="仿宋" w:eastAsia="仿宋" w:cs="仿宋"/>
          <w:sz w:val="32"/>
          <w:szCs w:val="32"/>
        </w:rPr>
      </w:pPr>
      <w:r>
        <w:rPr>
          <w:rFonts w:hint="eastAsia" w:ascii="仿宋" w:hAnsi="仿宋" w:eastAsia="仿宋" w:cs="仿宋"/>
          <w:sz w:val="32"/>
          <w:szCs w:val="32"/>
        </w:rPr>
        <w:t>（二十四）会同有关部门拟订科技人才队伍建设规划和政策，建立健全科技人才评价和激励机制，组织实施科技人才计划，推动高端科技创新人才队伍建设。</w:t>
      </w:r>
    </w:p>
    <w:p>
      <w:pPr>
        <w:pStyle w:val="10"/>
        <w:keepNext w:val="0"/>
        <w:keepLines w:val="0"/>
        <w:pageBreakBefore w:val="0"/>
        <w:widowControl w:val="0"/>
        <w:kinsoku/>
        <w:wordWrap/>
        <w:overflowPunct/>
        <w:topLinePunct w:val="0"/>
        <w:autoSpaceDE/>
        <w:autoSpaceDN/>
        <w:bidi w:val="0"/>
        <w:adjustRightInd/>
        <w:snapToGrid/>
        <w:spacing w:line="360" w:lineRule="auto"/>
        <w:ind w:firstLine="561"/>
        <w:jc w:val="both"/>
        <w:textAlignment w:val="auto"/>
        <w:rPr>
          <w:rFonts w:hint="eastAsia" w:ascii="仿宋" w:hAnsi="仿宋" w:eastAsia="仿宋" w:cs="仿宋"/>
          <w:sz w:val="32"/>
          <w:szCs w:val="32"/>
        </w:rPr>
      </w:pPr>
      <w:r>
        <w:rPr>
          <w:rFonts w:hint="eastAsia" w:ascii="仿宋" w:hAnsi="仿宋" w:eastAsia="仿宋" w:cs="仿宋"/>
          <w:sz w:val="32"/>
          <w:szCs w:val="32"/>
        </w:rPr>
        <w:t>（二十五）承担国家、省、市科学技术奖、高新技术企业、高新技术产品、科技型中小企业、企业技术创新中心、众创空间等创新平台的组织申报工作。</w:t>
      </w:r>
    </w:p>
    <w:p>
      <w:pPr>
        <w:pStyle w:val="10"/>
        <w:keepNext w:val="0"/>
        <w:keepLines w:val="0"/>
        <w:pageBreakBefore w:val="0"/>
        <w:widowControl w:val="0"/>
        <w:kinsoku/>
        <w:wordWrap/>
        <w:overflowPunct/>
        <w:topLinePunct w:val="0"/>
        <w:autoSpaceDE/>
        <w:autoSpaceDN/>
        <w:bidi w:val="0"/>
        <w:adjustRightInd/>
        <w:snapToGrid/>
        <w:spacing w:line="360" w:lineRule="auto"/>
        <w:ind w:firstLine="561"/>
        <w:jc w:val="both"/>
        <w:textAlignment w:val="auto"/>
        <w:rPr>
          <w:rFonts w:hint="eastAsia" w:ascii="仿宋" w:hAnsi="仿宋" w:eastAsia="仿宋" w:cs="仿宋"/>
          <w:sz w:val="32"/>
          <w:szCs w:val="32"/>
        </w:rPr>
        <w:sectPr>
          <w:pgSz w:w="11900" w:h="16840"/>
          <w:pgMar w:top="1361" w:right="1304" w:bottom="1361" w:left="1304" w:header="720" w:footer="720" w:gutter="0"/>
          <w:pgNumType w:start="1"/>
          <w:cols w:space="720" w:num="1"/>
        </w:sectPr>
      </w:pPr>
      <w:r>
        <w:rPr>
          <w:rFonts w:hint="eastAsia" w:ascii="仿宋" w:hAnsi="仿宋" w:eastAsia="仿宋" w:cs="仿宋"/>
          <w:sz w:val="32"/>
          <w:szCs w:val="32"/>
        </w:rPr>
        <w:t>（二十六）完成区委、区政府交办的其他任务</w:t>
      </w:r>
    </w:p>
    <w:p>
      <w:pPr>
        <w:spacing w:line="360" w:lineRule="auto"/>
        <w:rPr>
          <w:rFonts w:ascii="仿宋" w:hAnsi="仿宋" w:eastAsia="仿宋"/>
          <w:sz w:val="32"/>
          <w:szCs w:val="32"/>
        </w:rPr>
      </w:pP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911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34"/>
        <w:gridCol w:w="3300"/>
        <w:gridCol w:w="1035"/>
        <w:gridCol w:w="1338"/>
        <w:gridCol w:w="260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834" w:type="dxa"/>
            <w:tcBorders>
              <w:top w:val="single" w:color="auto" w:sz="4" w:space="0"/>
              <w:left w:val="single" w:color="auto" w:sz="4" w:space="0"/>
              <w:bottom w:val="single" w:color="auto" w:sz="4" w:space="0"/>
            </w:tcBorders>
            <w:shd w:val="clear" w:color="auto" w:fill="auto"/>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3300"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035"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338"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2607" w:type="dxa"/>
            <w:tcBorders>
              <w:bottom w:val="single" w:color="000000" w:sz="6" w:space="0"/>
            </w:tcBorders>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34"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3300" w:type="dxa"/>
            <w:tcBorders>
              <w:bottom w:val="single" w:color="auto" w:sz="4" w:space="0"/>
            </w:tcBorders>
            <w:vAlign w:val="center"/>
          </w:tcPr>
          <w:p>
            <w:pPr>
              <w:jc w:val="center"/>
              <w:rPr>
                <w:rFonts w:hint="eastAsia" w:ascii="仿宋_GB2312" w:hAnsi="仿宋" w:eastAsia="仿宋_GB2312"/>
                <w:bCs/>
                <w:sz w:val="24"/>
                <w:szCs w:val="24"/>
                <w:lang w:eastAsia="zh-CN"/>
              </w:rPr>
            </w:pPr>
            <w:r>
              <w:rPr>
                <w:rFonts w:hint="eastAsia" w:ascii="仿宋_GB2312" w:hAnsi="仿宋" w:eastAsia="仿宋_GB2312"/>
                <w:bCs/>
                <w:sz w:val="24"/>
                <w:szCs w:val="24"/>
                <w:lang w:eastAsia="zh-CN"/>
              </w:rPr>
              <w:t>保定市徐水区工业信息化局</w:t>
            </w:r>
          </w:p>
        </w:tc>
        <w:tc>
          <w:tcPr>
            <w:tcW w:w="1035"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338"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正科</w:t>
            </w:r>
          </w:p>
        </w:tc>
        <w:tc>
          <w:tcPr>
            <w:tcW w:w="2607" w:type="dxa"/>
            <w:vAlign w:val="center"/>
          </w:tcPr>
          <w:p>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34" w:type="dxa"/>
            <w:tcBorders>
              <w:top w:val="single" w:color="auto" w:sz="4" w:space="0"/>
              <w:left w:val="single" w:color="auto" w:sz="4" w:space="0"/>
              <w:bottom w:val="single" w:color="auto" w:sz="4" w:space="0"/>
            </w:tcBorders>
            <w:shd w:val="clear" w:color="auto" w:fill="auto"/>
            <w:vAlign w:val="center"/>
          </w:tcPr>
          <w:p>
            <w:pPr>
              <w:jc w:val="center"/>
              <w:rPr>
                <w:rFonts w:ascii="仿宋_GB2312" w:hAnsi="仿宋" w:eastAsia="仿宋_GB2312"/>
                <w:bCs/>
                <w:sz w:val="24"/>
                <w:szCs w:val="24"/>
              </w:rPr>
            </w:pPr>
            <w:r>
              <w:rPr>
                <w:rFonts w:hint="eastAsia" w:ascii="仿宋_GB2312" w:hAnsi="仿宋" w:eastAsia="仿宋_GB2312"/>
                <w:bCs/>
                <w:sz w:val="24"/>
                <w:szCs w:val="24"/>
              </w:rPr>
              <w:t>2</w:t>
            </w:r>
          </w:p>
        </w:tc>
        <w:tc>
          <w:tcPr>
            <w:tcW w:w="3300" w:type="dxa"/>
            <w:tcBorders>
              <w:top w:val="single" w:color="auto" w:sz="4" w:space="0"/>
              <w:bottom w:val="single" w:color="auto" w:sz="4" w:space="0"/>
            </w:tcBorders>
            <w:vAlign w:val="center"/>
          </w:tcPr>
          <w:p>
            <w:pPr>
              <w:jc w:val="center"/>
              <w:rPr>
                <w:rFonts w:ascii="仿宋_GB2312" w:hAnsi="仿宋" w:eastAsia="仿宋_GB2312" w:cstheme="minorBidi"/>
                <w:bCs/>
                <w:kern w:val="2"/>
                <w:sz w:val="24"/>
                <w:szCs w:val="24"/>
                <w:lang w:val="en-US" w:eastAsia="zh-CN" w:bidi="ar-SA"/>
              </w:rPr>
            </w:pPr>
            <w:r>
              <w:rPr>
                <w:rFonts w:hint="eastAsia" w:ascii="仿宋_GB2312" w:hAnsi="仿宋" w:eastAsia="仿宋_GB2312"/>
                <w:bCs/>
                <w:sz w:val="24"/>
                <w:szCs w:val="24"/>
              </w:rPr>
              <w:t>保定市徐水区工业和信息化局事业</w:t>
            </w:r>
          </w:p>
        </w:tc>
        <w:tc>
          <w:tcPr>
            <w:tcW w:w="1035" w:type="dxa"/>
            <w:vAlign w:val="center"/>
          </w:tcPr>
          <w:p>
            <w:pPr>
              <w:jc w:val="center"/>
              <w:rPr>
                <w:rFonts w:ascii="仿宋_GB2312" w:hAnsi="仿宋" w:eastAsia="仿宋_GB2312" w:cstheme="minorBidi"/>
                <w:bCs/>
                <w:kern w:val="2"/>
                <w:sz w:val="24"/>
                <w:szCs w:val="24"/>
                <w:lang w:val="en-US" w:eastAsia="zh-CN" w:bidi="ar-SA"/>
              </w:rPr>
            </w:pPr>
            <w:r>
              <w:rPr>
                <w:rFonts w:hint="eastAsia" w:ascii="仿宋_GB2312" w:hAnsi="仿宋" w:eastAsia="仿宋_GB2312"/>
                <w:bCs/>
                <w:sz w:val="24"/>
                <w:szCs w:val="24"/>
              </w:rPr>
              <w:t>事业</w:t>
            </w:r>
          </w:p>
        </w:tc>
        <w:tc>
          <w:tcPr>
            <w:tcW w:w="1338" w:type="dxa"/>
            <w:vAlign w:val="center"/>
          </w:tcPr>
          <w:p>
            <w:pPr>
              <w:jc w:val="center"/>
              <w:rPr>
                <w:rFonts w:ascii="仿宋_GB2312" w:hAnsi="仿宋" w:eastAsia="仿宋_GB2312" w:cstheme="minorBidi"/>
                <w:bCs/>
                <w:kern w:val="2"/>
                <w:sz w:val="24"/>
                <w:szCs w:val="24"/>
                <w:lang w:val="en-US" w:eastAsia="zh-CN" w:bidi="ar-SA"/>
              </w:rPr>
            </w:pPr>
            <w:r>
              <w:rPr>
                <w:rFonts w:hint="eastAsia" w:ascii="仿宋_GB2312" w:hAnsi="仿宋" w:eastAsia="仿宋_GB2312"/>
                <w:bCs/>
                <w:sz w:val="24"/>
                <w:szCs w:val="24"/>
              </w:rPr>
              <w:t>正科</w:t>
            </w:r>
          </w:p>
        </w:tc>
        <w:tc>
          <w:tcPr>
            <w:tcW w:w="2607" w:type="dxa"/>
            <w:vAlign w:val="center"/>
          </w:tcPr>
          <w:p>
            <w:pPr>
              <w:jc w:val="center"/>
              <w:rPr>
                <w:rFonts w:ascii="仿宋_GB2312" w:hAnsi="仿宋" w:eastAsia="仿宋_GB2312" w:cstheme="minorBidi"/>
                <w:bCs/>
                <w:kern w:val="2"/>
                <w:sz w:val="24"/>
                <w:szCs w:val="24"/>
                <w:lang w:val="en-US" w:eastAsia="zh-CN" w:bidi="ar-SA"/>
              </w:rPr>
            </w:pPr>
            <w:r>
              <w:rPr>
                <w:rFonts w:hint="eastAsia" w:ascii="仿宋_GB2312" w:hAnsi="仿宋" w:eastAsia="仿宋_GB2312"/>
                <w:bCs/>
                <w:sz w:val="24"/>
                <w:szCs w:val="24"/>
              </w:rPr>
              <w:t>财政性资金基本保证</w:t>
            </w:r>
          </w:p>
        </w:tc>
      </w:tr>
    </w:tbl>
    <w:p>
      <w:pPr>
        <w:spacing w:line="360" w:lineRule="auto"/>
        <w:rPr>
          <w:rFonts w:ascii="仿宋" w:hAnsi="仿宋" w:eastAsia="仿宋"/>
          <w:b/>
          <w:sz w:val="32"/>
          <w:szCs w:val="32"/>
        </w:rPr>
      </w:pPr>
    </w:p>
    <w:p>
      <w:pPr>
        <w:jc w:val="center"/>
        <w:outlineLvl w:val="0"/>
        <w:rPr>
          <w:rFonts w:ascii="方正小标宋_GBK" w:eastAsia="方正小标宋_GBK"/>
          <w:sz w:val="28"/>
          <w:szCs w:val="28"/>
        </w:rPr>
      </w:pPr>
      <w:r>
        <w:rPr>
          <w:rFonts w:hint="eastAsia" w:ascii="方正小标宋_GBK" w:eastAsia="方正小标宋_GBK"/>
          <w:sz w:val="44"/>
        </w:rPr>
        <w:t>第二部分：部门预算安排的总体情况</w:t>
      </w:r>
      <w:r>
        <w:rPr>
          <w:rFonts w:ascii="方正小标宋_GBK" w:eastAsia="方正小标宋_GBK"/>
          <w:sz w:val="44"/>
        </w:rPr>
        <w:t xml:space="preserve"> </w:t>
      </w:r>
    </w:p>
    <w:p>
      <w:pPr>
        <w:jc w:val="center"/>
        <w:outlineLvl w:val="0"/>
        <w:rPr>
          <w:rFonts w:ascii="方正小标宋_GBK" w:eastAsia="方正小标宋_GBK"/>
          <w:sz w:val="28"/>
          <w:szCs w:val="28"/>
        </w:rPr>
      </w:pP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pPr>
        <w:spacing w:line="360" w:lineRule="auto"/>
        <w:ind w:firstLine="640" w:firstLineChars="200"/>
        <w:rPr>
          <w:rFonts w:ascii="仿宋" w:hAnsi="仿宋" w:eastAsia="仿宋"/>
          <w:sz w:val="32"/>
          <w:szCs w:val="32"/>
        </w:rPr>
      </w:pPr>
      <w:r>
        <w:rPr>
          <w:rFonts w:ascii="仿宋" w:hAnsi="仿宋" w:eastAsia="仿宋"/>
          <w:sz w:val="32"/>
          <w:szCs w:val="32"/>
        </w:rPr>
        <w:t>202</w:t>
      </w:r>
      <w:r>
        <w:rPr>
          <w:rFonts w:hint="default" w:ascii="仿宋" w:hAnsi="仿宋" w:eastAsia="仿宋"/>
          <w:sz w:val="32"/>
          <w:szCs w:val="32"/>
          <w:lang w:val="en-US"/>
        </w:rPr>
        <w:t>2</w:t>
      </w:r>
      <w:r>
        <w:rPr>
          <w:rFonts w:ascii="仿宋" w:hAnsi="仿宋" w:eastAsia="仿宋"/>
          <w:sz w:val="32"/>
          <w:szCs w:val="32"/>
        </w:rPr>
        <w:t>年预算收入为</w:t>
      </w:r>
      <w:r>
        <w:rPr>
          <w:rFonts w:hint="default" w:ascii="仿宋" w:hAnsi="仿宋" w:eastAsia="仿宋"/>
          <w:sz w:val="32"/>
          <w:szCs w:val="32"/>
          <w:lang w:val="en-US"/>
        </w:rPr>
        <w:t>1312.83</w:t>
      </w:r>
      <w:r>
        <w:rPr>
          <w:rFonts w:ascii="仿宋" w:hAnsi="仿宋" w:eastAsia="仿宋"/>
          <w:sz w:val="32"/>
          <w:szCs w:val="32"/>
        </w:rPr>
        <w:t>万元,其中：一般公共预算收入</w:t>
      </w:r>
      <w:r>
        <w:rPr>
          <w:rFonts w:hint="default" w:ascii="仿宋" w:hAnsi="仿宋" w:eastAsia="仿宋"/>
          <w:sz w:val="32"/>
          <w:szCs w:val="32"/>
          <w:lang w:val="en-US"/>
        </w:rPr>
        <w:t>1312.69</w:t>
      </w:r>
      <w:r>
        <w:rPr>
          <w:rFonts w:ascii="仿宋" w:hAnsi="仿宋" w:eastAsia="仿宋"/>
          <w:sz w:val="32"/>
          <w:szCs w:val="32"/>
        </w:rPr>
        <w:t>万元，基金预算收入</w:t>
      </w:r>
      <w:r>
        <w:rPr>
          <w:rFonts w:hint="default" w:ascii="仿宋" w:hAnsi="仿宋" w:eastAsia="仿宋"/>
          <w:sz w:val="32"/>
          <w:szCs w:val="32"/>
          <w:lang w:val="en-US"/>
        </w:rPr>
        <w:t>0</w:t>
      </w:r>
      <w:r>
        <w:rPr>
          <w:rFonts w:ascii="仿宋" w:hAnsi="仿宋" w:eastAsia="仿宋"/>
          <w:sz w:val="32"/>
          <w:szCs w:val="32"/>
        </w:rPr>
        <w:t>万元，财政专户收入</w:t>
      </w:r>
      <w:r>
        <w:rPr>
          <w:rFonts w:hint="default" w:ascii="仿宋" w:hAnsi="仿宋" w:eastAsia="仿宋"/>
          <w:sz w:val="32"/>
          <w:szCs w:val="32"/>
          <w:lang w:val="en-US"/>
        </w:rPr>
        <w:t>0</w:t>
      </w:r>
      <w:r>
        <w:rPr>
          <w:rFonts w:ascii="仿宋" w:hAnsi="仿宋" w:eastAsia="仿宋"/>
          <w:sz w:val="32"/>
          <w:szCs w:val="32"/>
        </w:rPr>
        <w:t>万元，其他来源收入</w:t>
      </w:r>
      <w:r>
        <w:rPr>
          <w:rFonts w:hint="default" w:ascii="仿宋" w:hAnsi="仿宋" w:eastAsia="仿宋"/>
          <w:sz w:val="32"/>
          <w:szCs w:val="32"/>
          <w:lang w:val="en-US"/>
        </w:rPr>
        <w:t>0.14</w:t>
      </w:r>
      <w:r>
        <w:rPr>
          <w:rFonts w:ascii="仿宋" w:hAnsi="仿宋" w:eastAsia="仿宋"/>
          <w:sz w:val="32"/>
          <w:szCs w:val="32"/>
        </w:rPr>
        <w:t>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pPr>
        <w:spacing w:line="360" w:lineRule="auto"/>
        <w:ind w:firstLine="640" w:firstLineChars="200"/>
        <w:rPr>
          <w:rFonts w:ascii="仿宋" w:hAnsi="仿宋" w:eastAsia="仿宋"/>
          <w:sz w:val="32"/>
          <w:szCs w:val="32"/>
        </w:rPr>
      </w:pPr>
      <w:r>
        <w:rPr>
          <w:rFonts w:ascii="仿宋" w:hAnsi="仿宋" w:eastAsia="仿宋"/>
          <w:sz w:val="32"/>
          <w:szCs w:val="32"/>
        </w:rPr>
        <w:t>202</w:t>
      </w:r>
      <w:r>
        <w:rPr>
          <w:rFonts w:hint="default" w:ascii="仿宋" w:hAnsi="仿宋" w:eastAsia="仿宋"/>
          <w:sz w:val="32"/>
          <w:szCs w:val="32"/>
          <w:lang w:val="en-US"/>
        </w:rPr>
        <w:t>2</w:t>
      </w:r>
      <w:r>
        <w:rPr>
          <w:rFonts w:ascii="仿宋" w:hAnsi="仿宋" w:eastAsia="仿宋"/>
          <w:sz w:val="32"/>
          <w:szCs w:val="32"/>
        </w:rPr>
        <w:t>年部门支出预算：</w:t>
      </w:r>
      <w:r>
        <w:rPr>
          <w:rFonts w:hint="default" w:ascii="仿宋" w:hAnsi="仿宋" w:eastAsia="仿宋"/>
          <w:sz w:val="32"/>
          <w:szCs w:val="32"/>
          <w:lang w:val="en-US"/>
        </w:rPr>
        <w:t>1312.83</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w:t>
      </w:r>
      <w:r>
        <w:rPr>
          <w:rFonts w:hint="default" w:ascii="仿宋" w:hAnsi="仿宋" w:eastAsia="仿宋"/>
          <w:sz w:val="32"/>
          <w:szCs w:val="32"/>
          <w:lang w:val="en-US"/>
        </w:rPr>
        <w:t>1292.24</w:t>
      </w:r>
      <w:r>
        <w:rPr>
          <w:rFonts w:hint="eastAsia"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default" w:ascii="仿宋" w:hAnsi="仿宋" w:eastAsia="仿宋"/>
          <w:sz w:val="32"/>
          <w:szCs w:val="32"/>
          <w:lang w:val="en-US"/>
        </w:rPr>
        <w:t>1176.62</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default" w:ascii="仿宋" w:hAnsi="仿宋" w:eastAsia="仿宋"/>
          <w:sz w:val="32"/>
          <w:szCs w:val="32"/>
          <w:lang w:val="en-US"/>
        </w:rPr>
        <w:t>115.62</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w:t>
      </w:r>
      <w:r>
        <w:rPr>
          <w:rFonts w:hint="default" w:ascii="仿宋" w:hAnsi="仿宋" w:eastAsia="仿宋"/>
          <w:sz w:val="32"/>
          <w:szCs w:val="32"/>
          <w:lang w:val="en-US"/>
        </w:rPr>
        <w:t>20.59</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w:t>
      </w:r>
      <w:r>
        <w:rPr>
          <w:rFonts w:hint="default" w:ascii="仿宋" w:hAnsi="仿宋" w:eastAsia="仿宋"/>
          <w:sz w:val="32"/>
          <w:szCs w:val="32"/>
          <w:lang w:val="en-US"/>
        </w:rPr>
        <w:t>20.59</w:t>
      </w:r>
      <w:r>
        <w:rPr>
          <w:rFonts w:ascii="仿宋" w:hAnsi="仿宋" w:eastAsia="仿宋"/>
          <w:sz w:val="32"/>
          <w:szCs w:val="32"/>
        </w:rPr>
        <w:t>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w:t>
      </w:r>
      <w:r>
        <w:rPr>
          <w:rFonts w:hint="default" w:ascii="仿宋" w:hAnsi="仿宋" w:eastAsia="仿宋"/>
          <w:sz w:val="32"/>
          <w:szCs w:val="32"/>
          <w:lang w:val="en-US"/>
        </w:rPr>
        <w:t>1312.83</w:t>
      </w:r>
      <w:r>
        <w:rPr>
          <w:rFonts w:hint="eastAsia" w:ascii="仿宋" w:hAnsi="仿宋" w:eastAsia="仿宋"/>
          <w:sz w:val="32"/>
          <w:szCs w:val="32"/>
        </w:rPr>
        <w:t>万元，较上年增加</w:t>
      </w:r>
      <w:r>
        <w:rPr>
          <w:rFonts w:hint="default" w:ascii="仿宋" w:hAnsi="仿宋" w:eastAsia="仿宋"/>
          <w:sz w:val="32"/>
          <w:szCs w:val="32"/>
          <w:lang w:val="en-US"/>
        </w:rPr>
        <w:t>380.06</w:t>
      </w:r>
      <w:r>
        <w:rPr>
          <w:rFonts w:ascii="仿宋" w:hAnsi="仿宋" w:eastAsia="仿宋"/>
          <w:sz w:val="32"/>
          <w:szCs w:val="32"/>
        </w:rPr>
        <w:t>万元。其中:基本支出增加</w:t>
      </w:r>
      <w:r>
        <w:rPr>
          <w:rFonts w:hint="default" w:ascii="仿宋" w:hAnsi="仿宋" w:eastAsia="仿宋"/>
          <w:sz w:val="32"/>
          <w:szCs w:val="32"/>
          <w:lang w:val="en-US"/>
        </w:rPr>
        <w:t>387.94</w:t>
      </w:r>
      <w:r>
        <w:rPr>
          <w:rFonts w:ascii="仿宋" w:hAnsi="仿宋" w:eastAsia="仿宋"/>
          <w:sz w:val="32"/>
          <w:szCs w:val="32"/>
        </w:rPr>
        <w:t>万元，主要原因是</w:t>
      </w:r>
      <w:r>
        <w:rPr>
          <w:rFonts w:hint="eastAsia" w:ascii="仿宋" w:hAnsi="仿宋" w:eastAsia="仿宋"/>
          <w:sz w:val="32"/>
          <w:szCs w:val="32"/>
          <w:lang w:eastAsia="zh-CN"/>
        </w:rPr>
        <w:t>新招录了三名公务员，人员经费增加</w:t>
      </w:r>
      <w:r>
        <w:rPr>
          <w:rFonts w:ascii="仿宋" w:hAnsi="仿宋" w:eastAsia="仿宋"/>
          <w:sz w:val="32"/>
          <w:szCs w:val="32"/>
        </w:rPr>
        <w:t>；项目支出减少</w:t>
      </w:r>
      <w:r>
        <w:rPr>
          <w:rFonts w:hint="default" w:ascii="仿宋" w:hAnsi="仿宋" w:eastAsia="仿宋"/>
          <w:sz w:val="32"/>
          <w:szCs w:val="32"/>
          <w:lang w:val="en-US"/>
        </w:rPr>
        <w:t>7.88</w:t>
      </w:r>
      <w:r>
        <w:rPr>
          <w:rFonts w:ascii="仿宋" w:hAnsi="仿宋" w:eastAsia="仿宋"/>
          <w:sz w:val="32"/>
          <w:szCs w:val="32"/>
        </w:rPr>
        <w:t>万元，主要原因是</w:t>
      </w:r>
      <w:r>
        <w:rPr>
          <w:rFonts w:hint="eastAsia" w:ascii="仿宋" w:hAnsi="仿宋" w:eastAsia="仿宋"/>
          <w:sz w:val="32"/>
          <w:szCs w:val="32"/>
          <w:lang w:eastAsia="zh-CN"/>
        </w:rPr>
        <w:t>专项公用经费合并计入了基本支出的业务定额</w:t>
      </w:r>
      <w:r>
        <w:rPr>
          <w:rFonts w:ascii="仿宋" w:hAnsi="仿宋" w:eastAsia="仿宋"/>
          <w:sz w:val="32"/>
          <w:szCs w:val="32"/>
        </w:rPr>
        <w:t>。</w:t>
      </w:r>
    </w:p>
    <w:p>
      <w:pPr>
        <w:jc w:val="center"/>
        <w:outlineLvl w:val="0"/>
        <w:rPr>
          <w:rFonts w:hint="eastAsia" w:ascii="方正小标宋_GBK" w:eastAsia="方正小标宋_GBK"/>
          <w:sz w:val="28"/>
          <w:szCs w:val="28"/>
        </w:rPr>
      </w:pPr>
      <w:r>
        <w:rPr>
          <w:rFonts w:hint="eastAsia" w:ascii="方正小标宋_GBK" w:eastAsia="方正小标宋_GBK"/>
          <w:sz w:val="44"/>
        </w:rPr>
        <w:t>第三部分：机关运行经费安排情况</w:t>
      </w:r>
    </w:p>
    <w:p>
      <w:pPr>
        <w:jc w:val="center"/>
        <w:outlineLvl w:val="0"/>
        <w:rPr>
          <w:rFonts w:hint="eastAsia" w:ascii="方正小标宋_GBK" w:eastAsia="方正小标宋_GBK"/>
          <w:sz w:val="28"/>
          <w:szCs w:val="28"/>
        </w:rPr>
      </w:pPr>
    </w:p>
    <w:p>
      <w:pPr>
        <w:spacing w:line="360" w:lineRule="auto"/>
        <w:ind w:firstLine="640" w:firstLineChars="200"/>
        <w:rPr>
          <w:rFonts w:ascii="仿宋" w:hAnsi="仿宋" w:eastAsia="仿宋"/>
          <w:b/>
          <w:sz w:val="32"/>
          <w:szCs w:val="32"/>
        </w:rPr>
      </w:pPr>
      <w:r>
        <w:rPr>
          <w:rFonts w:ascii="仿宋" w:hAnsi="仿宋" w:eastAsia="仿宋"/>
          <w:sz w:val="32"/>
          <w:szCs w:val="32"/>
        </w:rPr>
        <w:t>202</w:t>
      </w:r>
      <w:r>
        <w:rPr>
          <w:rFonts w:hint="default" w:ascii="仿宋" w:hAnsi="仿宋" w:eastAsia="仿宋"/>
          <w:sz w:val="32"/>
          <w:szCs w:val="32"/>
          <w:lang w:val="en-US"/>
        </w:rPr>
        <w:t>2</w:t>
      </w:r>
      <w:r>
        <w:rPr>
          <w:rFonts w:ascii="仿宋" w:hAnsi="仿宋" w:eastAsia="仿宋"/>
          <w:sz w:val="32"/>
          <w:szCs w:val="32"/>
        </w:rPr>
        <w:t>年我部门机关运行经费安排</w:t>
      </w:r>
      <w:r>
        <w:rPr>
          <w:rFonts w:hint="default" w:ascii="仿宋" w:hAnsi="仿宋" w:eastAsia="仿宋"/>
          <w:sz w:val="32"/>
          <w:szCs w:val="32"/>
          <w:lang w:val="en-US"/>
        </w:rPr>
        <w:t>102.62</w:t>
      </w:r>
      <w:r>
        <w:rPr>
          <w:rFonts w:ascii="仿宋" w:hAnsi="仿宋" w:eastAsia="仿宋"/>
          <w:sz w:val="32"/>
          <w:szCs w:val="32"/>
        </w:rPr>
        <w:t>万元，其中办公费</w:t>
      </w:r>
      <w:r>
        <w:rPr>
          <w:rFonts w:hint="default" w:ascii="仿宋" w:hAnsi="仿宋" w:eastAsia="仿宋"/>
          <w:sz w:val="32"/>
          <w:szCs w:val="32"/>
          <w:lang w:val="en-US"/>
        </w:rPr>
        <w:t>55.43</w:t>
      </w:r>
      <w:r>
        <w:rPr>
          <w:rFonts w:ascii="仿宋" w:hAnsi="仿宋" w:eastAsia="仿宋"/>
          <w:sz w:val="32"/>
          <w:szCs w:val="32"/>
        </w:rPr>
        <w:t>万元，邮电费</w:t>
      </w:r>
      <w:r>
        <w:rPr>
          <w:rFonts w:hint="default" w:ascii="仿宋" w:hAnsi="仿宋" w:eastAsia="仿宋"/>
          <w:sz w:val="32"/>
          <w:szCs w:val="32"/>
          <w:lang w:val="en-US"/>
        </w:rPr>
        <w:t>6.73</w:t>
      </w:r>
      <w:r>
        <w:rPr>
          <w:rFonts w:ascii="仿宋" w:hAnsi="仿宋" w:eastAsia="仿宋"/>
          <w:sz w:val="32"/>
          <w:szCs w:val="32"/>
        </w:rPr>
        <w:t>万元，</w:t>
      </w:r>
      <w:r>
        <w:rPr>
          <w:rFonts w:hint="eastAsia" w:ascii="仿宋" w:hAnsi="仿宋" w:eastAsia="仿宋"/>
          <w:sz w:val="32"/>
          <w:szCs w:val="32"/>
          <w:lang w:eastAsia="zh-CN"/>
        </w:rPr>
        <w:t>公务接待</w:t>
      </w:r>
      <w:r>
        <w:rPr>
          <w:rFonts w:hint="default" w:ascii="仿宋" w:hAnsi="仿宋" w:eastAsia="仿宋"/>
          <w:sz w:val="32"/>
          <w:szCs w:val="32"/>
          <w:lang w:val="en-US" w:eastAsia="zh-CN"/>
        </w:rPr>
        <w:t>0.06</w:t>
      </w:r>
      <w:r>
        <w:rPr>
          <w:rFonts w:hint="eastAsia" w:ascii="仿宋" w:hAnsi="仿宋" w:eastAsia="仿宋"/>
          <w:sz w:val="32"/>
          <w:szCs w:val="32"/>
          <w:lang w:val="en-US" w:eastAsia="zh-CN"/>
        </w:rPr>
        <w:t>万元，</w:t>
      </w:r>
      <w:r>
        <w:rPr>
          <w:rFonts w:ascii="仿宋" w:hAnsi="仿宋" w:eastAsia="仿宋"/>
          <w:sz w:val="32"/>
          <w:szCs w:val="32"/>
        </w:rPr>
        <w:t>工会经费、福利费</w:t>
      </w:r>
      <w:r>
        <w:rPr>
          <w:rFonts w:hint="default" w:ascii="仿宋" w:hAnsi="仿宋" w:eastAsia="仿宋"/>
          <w:sz w:val="32"/>
          <w:szCs w:val="32"/>
          <w:lang w:val="en-US"/>
        </w:rPr>
        <w:t>9.01</w:t>
      </w:r>
      <w:r>
        <w:rPr>
          <w:rFonts w:ascii="仿宋" w:hAnsi="仿宋" w:eastAsia="仿宋"/>
          <w:sz w:val="32"/>
          <w:szCs w:val="32"/>
        </w:rPr>
        <w:t>万元，公务用车运行维护费</w:t>
      </w:r>
      <w:r>
        <w:rPr>
          <w:rFonts w:hint="default" w:ascii="仿宋" w:hAnsi="仿宋" w:eastAsia="仿宋"/>
          <w:sz w:val="32"/>
          <w:szCs w:val="32"/>
          <w:lang w:val="en-US"/>
        </w:rPr>
        <w:t>9.72</w:t>
      </w:r>
      <w:r>
        <w:rPr>
          <w:rFonts w:ascii="仿宋" w:hAnsi="仿宋" w:eastAsia="仿宋"/>
          <w:sz w:val="32"/>
          <w:szCs w:val="32"/>
        </w:rPr>
        <w:t>万元</w:t>
      </w:r>
      <w:r>
        <w:rPr>
          <w:rFonts w:hint="eastAsia" w:ascii="仿宋" w:hAnsi="仿宋" w:eastAsia="仿宋"/>
          <w:sz w:val="32"/>
          <w:szCs w:val="32"/>
        </w:rPr>
        <w:t>，</w:t>
      </w:r>
      <w:r>
        <w:rPr>
          <w:rFonts w:ascii="仿宋" w:hAnsi="仿宋" w:eastAsia="仿宋"/>
          <w:sz w:val="32"/>
          <w:szCs w:val="32"/>
        </w:rPr>
        <w:t>其他支出</w:t>
      </w:r>
      <w:r>
        <w:rPr>
          <w:rFonts w:hint="default" w:ascii="仿宋" w:hAnsi="仿宋" w:eastAsia="仿宋"/>
          <w:sz w:val="32"/>
          <w:szCs w:val="32"/>
          <w:lang w:val="en-US"/>
        </w:rPr>
        <w:t>21.67</w:t>
      </w:r>
      <w:r>
        <w:rPr>
          <w:rFonts w:ascii="仿宋" w:hAnsi="仿宋" w:eastAsia="仿宋"/>
          <w:sz w:val="32"/>
          <w:szCs w:val="32"/>
        </w:rPr>
        <w:t>万元。</w:t>
      </w:r>
    </w:p>
    <w:p>
      <w:pPr>
        <w:jc w:val="both"/>
        <w:outlineLvl w:val="0"/>
        <w:rPr>
          <w:rFonts w:ascii="方正小标宋_GBK" w:eastAsia="方正小标宋_GBK"/>
          <w:sz w:val="30"/>
          <w:szCs w:val="30"/>
        </w:rPr>
      </w:pPr>
    </w:p>
    <w:p>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9508"/>
      </w:tblGrid>
      <w:tr>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836"/>
              <w:gridCol w:w="2397"/>
            </w:tblGrid>
            <w:tr>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pPr>
                    <w:spacing w:line="360" w:lineRule="auto"/>
                    <w:rPr>
                      <w:rFonts w:ascii="黑体" w:hAnsi="黑体" w:eastAsia="黑体" w:cs="宋体"/>
                      <w:kern w:val="0"/>
                      <w:sz w:val="32"/>
                      <w:szCs w:val="32"/>
                    </w:rPr>
                  </w:pPr>
                </w:p>
              </w:tc>
            </w:tr>
            <w:tr>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单位：万元</w:t>
                  </w:r>
                </w:p>
              </w:tc>
            </w:tr>
            <w:tr>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w:t>
                  </w:r>
                  <w:r>
                    <w:rPr>
                      <w:rFonts w:hint="default" w:ascii="仿宋_GB2312" w:hAnsi="宋体" w:eastAsia="仿宋_GB2312" w:cs="宋体"/>
                      <w:b/>
                      <w:kern w:val="0"/>
                      <w:sz w:val="24"/>
                      <w:szCs w:val="24"/>
                      <w:lang w:val="en-US"/>
                    </w:rPr>
                    <w:t>1</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w:t>
                  </w:r>
                  <w:r>
                    <w:rPr>
                      <w:rFonts w:hint="default" w:ascii="仿宋_GB2312" w:hAnsi="宋体" w:eastAsia="仿宋_GB2312" w:cs="宋体"/>
                      <w:b/>
                      <w:kern w:val="0"/>
                      <w:sz w:val="24"/>
                      <w:szCs w:val="24"/>
                      <w:lang w:val="en-US"/>
                    </w:rPr>
                    <w:t>2</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pPr>
                    <w:widowControl/>
                    <w:jc w:val="center"/>
                    <w:rPr>
                      <w:rFonts w:hint="default" w:ascii="仿宋_GB2312" w:hAnsi="宋体" w:eastAsia="仿宋_GB2312" w:cs="宋体"/>
                      <w:b/>
                      <w:kern w:val="0"/>
                      <w:sz w:val="24"/>
                      <w:szCs w:val="24"/>
                      <w:lang w:val="en-US" w:eastAsia="zh-CN"/>
                    </w:rPr>
                  </w:pPr>
                  <w:r>
                    <w:rPr>
                      <w:rFonts w:hint="eastAsia" w:ascii="仿宋_GB2312" w:hAnsi="宋体" w:eastAsia="仿宋_GB2312" w:cs="宋体"/>
                      <w:b/>
                      <w:kern w:val="0"/>
                      <w:sz w:val="24"/>
                      <w:szCs w:val="24"/>
                    </w:rPr>
                    <w:t>变化原因</w:t>
                  </w:r>
                  <w:r>
                    <w:rPr>
                      <w:rFonts w:hint="eastAsia" w:ascii="仿宋_GB2312" w:hAnsi="宋体" w:eastAsia="仿宋_GB2312" w:cs="宋体"/>
                      <w:b/>
                      <w:kern w:val="0"/>
                      <w:sz w:val="24"/>
                      <w:szCs w:val="24"/>
                      <w:lang w:val="en-US" w:eastAsia="zh-CN"/>
                    </w:rPr>
                    <w:t xml:space="preserve">    </w:t>
                  </w:r>
                </w:p>
              </w:tc>
            </w:tr>
            <w:tr>
              <w:tblPrEx>
                <w:tblCellMar>
                  <w:top w:w="0" w:type="dxa"/>
                  <w:left w:w="108" w:type="dxa"/>
                  <w:bottom w:w="0" w:type="dxa"/>
                  <w:right w:w="108" w:type="dxa"/>
                </w:tblCellMar>
              </w:tblPrEx>
              <w:trPr>
                <w:trHeight w:val="432"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lang w:val="en-US" w:eastAsia="zh-CN"/>
                    </w:rPr>
                    <w:t xml:space="preserve">   </w:t>
                  </w: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0</w:t>
                  </w:r>
                </w:p>
              </w:tc>
              <w:tc>
                <w:tcPr>
                  <w:tcW w:w="1418"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0</w:t>
                  </w:r>
                </w:p>
              </w:tc>
              <w:tc>
                <w:tcPr>
                  <w:tcW w:w="83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b/>
                      <w:bCs/>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417"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0</w:t>
                  </w:r>
                </w:p>
              </w:tc>
              <w:tc>
                <w:tcPr>
                  <w:tcW w:w="1418"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0</w:t>
                  </w:r>
                </w:p>
              </w:tc>
              <w:tc>
                <w:tcPr>
                  <w:tcW w:w="83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45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12</w:t>
                  </w:r>
                </w:p>
              </w:tc>
              <w:tc>
                <w:tcPr>
                  <w:tcW w:w="1418"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9.72</w:t>
                  </w:r>
                </w:p>
              </w:tc>
              <w:tc>
                <w:tcPr>
                  <w:tcW w:w="83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-2.28</w:t>
                  </w:r>
                </w:p>
              </w:tc>
              <w:tc>
                <w:tcPr>
                  <w:tcW w:w="2397" w:type="dxa"/>
                  <w:tcBorders>
                    <w:top w:val="nil"/>
                    <w:left w:val="nil"/>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eastAsia="zh-CN"/>
                    </w:rPr>
                    <w:t>节约开支、压减预算</w:t>
                  </w:r>
                </w:p>
              </w:tc>
            </w:tr>
            <w:tr>
              <w:tblPrEx>
                <w:tblCellMar>
                  <w:top w:w="0" w:type="dxa"/>
                  <w:left w:w="108" w:type="dxa"/>
                  <w:bottom w:w="0" w:type="dxa"/>
                  <w:right w:w="108" w:type="dxa"/>
                </w:tblCellMar>
              </w:tblPrEx>
              <w:trPr>
                <w:trHeight w:val="45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0.7</w:t>
                  </w:r>
                </w:p>
              </w:tc>
              <w:tc>
                <w:tcPr>
                  <w:tcW w:w="1418"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0.06</w:t>
                  </w:r>
                </w:p>
              </w:tc>
              <w:tc>
                <w:tcPr>
                  <w:tcW w:w="83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-0.64</w:t>
                  </w:r>
                </w:p>
              </w:tc>
              <w:tc>
                <w:tcPr>
                  <w:tcW w:w="2397" w:type="dxa"/>
                  <w:tcBorders>
                    <w:top w:val="nil"/>
                    <w:left w:val="nil"/>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eastAsia="zh-CN"/>
                    </w:rPr>
                    <w:t>节约开支、压减预算</w:t>
                  </w:r>
                </w:p>
              </w:tc>
            </w:tr>
            <w:tr>
              <w:tblPrEx>
                <w:tblCellMar>
                  <w:top w:w="0" w:type="dxa"/>
                  <w:left w:w="108" w:type="dxa"/>
                  <w:bottom w:w="0" w:type="dxa"/>
                  <w:right w:w="108" w:type="dxa"/>
                </w:tblCellMar>
              </w:tblPrEx>
              <w:trPr>
                <w:trHeight w:val="510"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12.7</w:t>
                  </w:r>
                </w:p>
              </w:tc>
              <w:tc>
                <w:tcPr>
                  <w:tcW w:w="1418"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9.78</w:t>
                  </w:r>
                </w:p>
              </w:tc>
              <w:tc>
                <w:tcPr>
                  <w:tcW w:w="836" w:type="dxa"/>
                  <w:tcBorders>
                    <w:top w:val="nil"/>
                    <w:left w:val="nil"/>
                    <w:bottom w:val="single" w:color="auto" w:sz="4" w:space="0"/>
                    <w:right w:val="single" w:color="auto" w:sz="4" w:space="0"/>
                  </w:tcBorders>
                  <w:vAlign w:val="center"/>
                </w:tcPr>
                <w:p>
                  <w:pPr>
                    <w:widowControl/>
                    <w:jc w:val="center"/>
                    <w:rPr>
                      <w:rFonts w:hint="default" w:ascii="仿宋_GB2312" w:hAnsi="宋体" w:eastAsia="仿宋_GB2312" w:cs="宋体"/>
                      <w:color w:val="FF0000"/>
                      <w:kern w:val="0"/>
                      <w:sz w:val="24"/>
                      <w:szCs w:val="24"/>
                      <w:lang w:val="en-US"/>
                    </w:rPr>
                  </w:pPr>
                  <w:r>
                    <w:rPr>
                      <w:rFonts w:hint="default" w:ascii="仿宋_GB2312" w:hAnsi="宋体" w:eastAsia="仿宋_GB2312" w:cs="宋体"/>
                      <w:color w:val="FF0000"/>
                      <w:kern w:val="0"/>
                      <w:sz w:val="24"/>
                      <w:szCs w:val="24"/>
                      <w:lang w:val="en-US"/>
                    </w:rPr>
                    <w:t>-2.92</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lang w:eastAsia="zh-CN"/>
                    </w:rPr>
                    <w:t>节约开支、压减预算</w:t>
                  </w:r>
                </w:p>
              </w:tc>
            </w:tr>
            <w:tr>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left"/>
                    <w:rPr>
                      <w:rFonts w:ascii="宋体" w:hAnsi="宋体" w:cs="宋体"/>
                      <w:kern w:val="0"/>
                      <w:sz w:val="24"/>
                      <w:szCs w:val="24"/>
                    </w:rPr>
                  </w:pPr>
                </w:p>
              </w:tc>
            </w:tr>
          </w:tbl>
          <w:p>
            <w:pPr>
              <w:widowControl/>
              <w:spacing w:line="520" w:lineRule="exact"/>
              <w:ind w:right="480"/>
              <w:rPr>
                <w:rFonts w:ascii="仿宋" w:hAnsi="仿宋" w:eastAsia="仿宋" w:cs="宋体"/>
                <w:kern w:val="0"/>
                <w:sz w:val="24"/>
                <w:szCs w:val="24"/>
              </w:rPr>
            </w:pPr>
          </w:p>
        </w:tc>
      </w:tr>
    </w:tbl>
    <w:p>
      <w:pPr>
        <w:spacing w:line="360" w:lineRule="auto"/>
        <w:rPr>
          <w:rFonts w:ascii="黑体" w:hAnsi="黑体" w:eastAsia="黑体" w:cs="Times New Roman"/>
          <w:sz w:val="32"/>
          <w:szCs w:val="32"/>
        </w:rPr>
      </w:pPr>
    </w:p>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第五部分：预算绩效信息</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部门整体</w:t>
      </w:r>
      <w:r>
        <w:rPr>
          <w:rFonts w:ascii="方正小标宋_GBK" w:eastAsia="方正小标宋_GBK"/>
          <w:sz w:val="44"/>
        </w:rPr>
        <w:t>绩效目标</w:t>
      </w:r>
    </w:p>
    <w:p>
      <w:pPr>
        <w:spacing w:before="10" w:after="10"/>
        <w:ind w:firstLine="560"/>
        <w:jc w:val="left"/>
        <w:outlineLvl w:val="1"/>
        <w:rPr>
          <w:rFonts w:hint="eastAsia" w:ascii="仿宋" w:hAnsi="仿宋" w:eastAsia="仿宋" w:cs="仿宋"/>
          <w:b/>
          <w:bCs/>
          <w:sz w:val="32"/>
          <w:szCs w:val="32"/>
        </w:rPr>
      </w:pPr>
      <w:bookmarkStart w:id="0" w:name="_Toc_2_2_0000000001"/>
      <w:r>
        <w:rPr>
          <w:rFonts w:hint="eastAsia" w:ascii="仿宋" w:hAnsi="仿宋" w:eastAsia="仿宋" w:cs="仿宋"/>
          <w:b/>
          <w:bCs/>
          <w:color w:val="000000"/>
          <w:sz w:val="32"/>
          <w:szCs w:val="32"/>
        </w:rPr>
        <w:t>一、总体绩效目标</w:t>
      </w:r>
      <w:bookmarkEnd w:id="0"/>
    </w:p>
    <w:p>
      <w:pPr>
        <w:pStyle w:val="11"/>
        <w:keepNext w:val="0"/>
        <w:keepLines w:val="0"/>
        <w:pageBreakBefore w:val="0"/>
        <w:widowControl w:val="0"/>
        <w:kinsoku/>
        <w:wordWrap/>
        <w:overflowPunct/>
        <w:topLinePunct w:val="0"/>
        <w:autoSpaceDE/>
        <w:autoSpaceDN/>
        <w:bidi w:val="0"/>
        <w:adjustRightInd/>
        <w:snapToGrid/>
        <w:spacing w:line="360" w:lineRule="auto"/>
        <w:ind w:firstLine="561"/>
        <w:textAlignment w:val="auto"/>
        <w:rPr>
          <w:rFonts w:hint="eastAsia" w:ascii="仿宋" w:hAnsi="仿宋" w:eastAsia="仿宋" w:cs="仿宋"/>
          <w:sz w:val="32"/>
          <w:szCs w:val="32"/>
        </w:rPr>
      </w:pPr>
      <w:r>
        <w:rPr>
          <w:rFonts w:hint="eastAsia" w:ascii="仿宋" w:hAnsi="仿宋" w:eastAsia="仿宋" w:cs="仿宋"/>
          <w:sz w:val="32"/>
          <w:szCs w:val="32"/>
        </w:rPr>
        <w:t>以习近平新时代中国特色社会主义思想为指引，深入贯彻落实</w:t>
      </w:r>
      <w:r>
        <w:rPr>
          <w:rFonts w:hint="eastAsia" w:ascii="仿宋" w:hAnsi="仿宋" w:eastAsia="仿宋" w:cs="仿宋"/>
          <w:sz w:val="32"/>
          <w:szCs w:val="32"/>
          <w:lang w:val="en-US" w:eastAsia="zh-CN"/>
        </w:rPr>
        <w:t>党的</w:t>
      </w:r>
      <w:r>
        <w:rPr>
          <w:rFonts w:hint="eastAsia" w:ascii="仿宋" w:hAnsi="仿宋" w:eastAsia="仿宋" w:cs="仿宋"/>
          <w:sz w:val="32"/>
          <w:szCs w:val="32"/>
        </w:rPr>
        <w:t>十九届六中全会精神和省市区党代会精神，树牢“四个意识”，</w:t>
      </w:r>
      <w:r>
        <w:rPr>
          <w:rFonts w:hint="eastAsia" w:ascii="仿宋" w:hAnsi="仿宋" w:eastAsia="仿宋" w:cs="仿宋"/>
          <w:sz w:val="32"/>
          <w:szCs w:val="32"/>
          <w:lang w:eastAsia="zh-CN"/>
        </w:rPr>
        <w:t>坚定“四个自信”、做到“两个维护”</w:t>
      </w:r>
      <w:r>
        <w:rPr>
          <w:rFonts w:hint="eastAsia" w:ascii="仿宋" w:hAnsi="仿宋" w:eastAsia="仿宋" w:cs="仿宋"/>
          <w:sz w:val="32"/>
          <w:szCs w:val="32"/>
        </w:rPr>
        <w:t>，勇于担当作为，以求真务实作风坚决把省市区各项要求落到实处。促进徐水工业经济发展，深化工业供给侧结构性改革,发挥财政资金效能，助推徐水工业转型升级、民营经济快速发展。改造提升传统产业，引导实施重点技改项</w:t>
      </w:r>
      <w:bookmarkStart w:id="7" w:name="_GoBack"/>
      <w:bookmarkEnd w:id="7"/>
      <w:r>
        <w:rPr>
          <w:rFonts w:hint="eastAsia" w:ascii="仿宋" w:hAnsi="仿宋" w:eastAsia="仿宋" w:cs="仿宋"/>
          <w:sz w:val="32"/>
          <w:szCs w:val="32"/>
        </w:rPr>
        <w:t>目；发展工业互联网,培育壮大新兴产业；鼓励工业设计与制造业深度融合；发展壮大民营经济，支持振兴县域特色产业；推动全区科技进步、推动高新技术企业做大做强、推动省级科技创新平台体系建设，有效推动省级重大科技成果在我区落地转化，全面增强科技创新对建设新时代经济徐水、美丽徐水的引领支撑作用。力争培育3家省级“专精特新”中小企业，全区累计达到17家；培育10家规模以上工业企业，全区累计规上企业达到100家；争取新认定高新技术企业5家，新增科技型中小企业55家。</w:t>
      </w:r>
    </w:p>
    <w:p>
      <w:pPr>
        <w:spacing w:before="10" w:after="10"/>
        <w:ind w:firstLine="560"/>
        <w:jc w:val="left"/>
        <w:outlineLvl w:val="1"/>
        <w:rPr>
          <w:rFonts w:hint="eastAsia" w:ascii="仿宋" w:hAnsi="仿宋" w:eastAsia="仿宋" w:cs="仿宋"/>
          <w:b/>
          <w:bCs/>
          <w:sz w:val="32"/>
          <w:szCs w:val="32"/>
        </w:rPr>
      </w:pPr>
      <w:bookmarkStart w:id="1" w:name="_Toc_2_2_0000000002"/>
      <w:r>
        <w:rPr>
          <w:rFonts w:hint="eastAsia" w:ascii="仿宋" w:hAnsi="仿宋" w:eastAsia="仿宋" w:cs="仿宋"/>
          <w:b/>
          <w:bCs/>
          <w:color w:val="000000"/>
          <w:sz w:val="32"/>
          <w:szCs w:val="32"/>
        </w:rPr>
        <w:t>二、分项绩效目标</w:t>
      </w:r>
      <w:bookmarkEnd w:id="1"/>
    </w:p>
    <w:p>
      <w:pPr>
        <w:pStyle w:val="12"/>
        <w:rPr>
          <w:rFonts w:hint="eastAsia" w:ascii="仿宋" w:hAnsi="仿宋" w:eastAsia="仿宋" w:cs="仿宋"/>
          <w:sz w:val="32"/>
          <w:szCs w:val="32"/>
        </w:rPr>
      </w:pPr>
      <w:r>
        <w:rPr>
          <w:rFonts w:hint="eastAsia" w:ascii="仿宋" w:hAnsi="仿宋" w:eastAsia="仿宋" w:cs="仿宋"/>
          <w:sz w:val="32"/>
          <w:szCs w:val="32"/>
        </w:rPr>
        <w:t>（一）促进工业转型升级、促进中小企业发展</w:t>
      </w:r>
    </w:p>
    <w:p>
      <w:pPr>
        <w:pStyle w:val="12"/>
        <w:keepNext w:val="0"/>
        <w:keepLines w:val="0"/>
        <w:pageBreakBefore w:val="0"/>
        <w:widowControl w:val="0"/>
        <w:kinsoku/>
        <w:wordWrap/>
        <w:overflowPunct/>
        <w:topLinePunct w:val="0"/>
        <w:autoSpaceDE/>
        <w:autoSpaceDN/>
        <w:bidi w:val="0"/>
        <w:adjustRightInd/>
        <w:snapToGrid/>
        <w:spacing w:line="360" w:lineRule="auto"/>
        <w:ind w:firstLine="561"/>
        <w:jc w:val="both"/>
        <w:textAlignment w:val="auto"/>
        <w:rPr>
          <w:rFonts w:hint="eastAsia" w:ascii="仿宋" w:hAnsi="仿宋" w:eastAsia="仿宋" w:cs="仿宋"/>
          <w:sz w:val="32"/>
          <w:szCs w:val="32"/>
        </w:rPr>
      </w:pPr>
      <w:r>
        <w:rPr>
          <w:rFonts w:hint="eastAsia" w:ascii="仿宋" w:hAnsi="仿宋" w:eastAsia="仿宋" w:cs="仿宋"/>
          <w:sz w:val="32"/>
          <w:szCs w:val="32"/>
        </w:rPr>
        <w:t>绩效目标：改造提升全省传统产业水平。提升两化融合水平。提升规上工业企业技术创新能力。培育壮大新兴产业发展。大力开展工业设计、绿色园区、绿色工厂、专精特新、企业上云等工作，支持实体企业技术革新、设备更新、产品焕新，梯队培育“专精特新”中小企业，引领培育一批小巨人、单项冠军企业和数字平台型企业，加快数字产业布局与平台建设，推动我区工业经济绿色发展、创新发展、高质量发展。</w:t>
      </w:r>
    </w:p>
    <w:p>
      <w:pPr>
        <w:pStyle w:val="12"/>
        <w:keepNext w:val="0"/>
        <w:keepLines w:val="0"/>
        <w:pageBreakBefore w:val="0"/>
        <w:widowControl w:val="0"/>
        <w:kinsoku/>
        <w:wordWrap/>
        <w:overflowPunct/>
        <w:topLinePunct w:val="0"/>
        <w:autoSpaceDE/>
        <w:autoSpaceDN/>
        <w:bidi w:val="0"/>
        <w:adjustRightInd/>
        <w:snapToGrid/>
        <w:spacing w:line="360" w:lineRule="auto"/>
        <w:ind w:firstLine="561"/>
        <w:jc w:val="both"/>
        <w:textAlignment w:val="auto"/>
        <w:rPr>
          <w:rFonts w:hint="eastAsia" w:ascii="仿宋" w:hAnsi="仿宋" w:eastAsia="仿宋" w:cs="仿宋"/>
          <w:sz w:val="32"/>
          <w:szCs w:val="32"/>
        </w:rPr>
      </w:pPr>
      <w:r>
        <w:rPr>
          <w:rFonts w:hint="eastAsia" w:ascii="仿宋" w:hAnsi="仿宋" w:eastAsia="仿宋" w:cs="仿宋"/>
          <w:sz w:val="32"/>
          <w:szCs w:val="32"/>
        </w:rPr>
        <w:t>绩效指标：新增规上企业数量10家，新增“专精特新”中小企业3家。</w:t>
      </w:r>
    </w:p>
    <w:p>
      <w:pPr>
        <w:pStyle w:val="12"/>
        <w:rPr>
          <w:rFonts w:hint="eastAsia" w:ascii="仿宋" w:hAnsi="仿宋" w:eastAsia="仿宋" w:cs="仿宋"/>
          <w:sz w:val="32"/>
          <w:szCs w:val="32"/>
        </w:rPr>
      </w:pPr>
      <w:r>
        <w:rPr>
          <w:rFonts w:hint="eastAsia" w:ascii="仿宋" w:hAnsi="仿宋" w:eastAsia="仿宋" w:cs="仿宋"/>
          <w:sz w:val="32"/>
          <w:szCs w:val="32"/>
        </w:rPr>
        <w:t>（二）创新载体建设水平实现新提升</w:t>
      </w:r>
    </w:p>
    <w:p>
      <w:pPr>
        <w:pStyle w:val="12"/>
        <w:keepNext w:val="0"/>
        <w:keepLines w:val="0"/>
        <w:pageBreakBefore w:val="0"/>
        <w:widowControl w:val="0"/>
        <w:kinsoku/>
        <w:wordWrap/>
        <w:overflowPunct/>
        <w:topLinePunct w:val="0"/>
        <w:autoSpaceDE/>
        <w:autoSpaceDN/>
        <w:bidi w:val="0"/>
        <w:adjustRightInd/>
        <w:snapToGrid/>
        <w:spacing w:line="360" w:lineRule="auto"/>
        <w:ind w:firstLine="561"/>
        <w:jc w:val="both"/>
        <w:textAlignment w:val="auto"/>
        <w:rPr>
          <w:rFonts w:hint="eastAsia" w:ascii="仿宋" w:hAnsi="仿宋" w:eastAsia="仿宋" w:cs="仿宋"/>
          <w:sz w:val="32"/>
          <w:szCs w:val="32"/>
        </w:rPr>
      </w:pPr>
      <w:r>
        <w:rPr>
          <w:rFonts w:hint="eastAsia" w:ascii="仿宋" w:hAnsi="仿宋" w:eastAsia="仿宋" w:cs="仿宋"/>
          <w:sz w:val="32"/>
          <w:szCs w:val="32"/>
        </w:rPr>
        <w:t>绩效目标：提升创新主体数量，引进和培养高层次创新人才，创建一流科技园区，广泛开展科学普及活动，加强国际科技合作，促进平台、机构、园区、基地等科技创新载体提质增效，为提升我区综合科技创新能力提供有力支撑。</w:t>
      </w:r>
    </w:p>
    <w:p>
      <w:pPr>
        <w:pStyle w:val="12"/>
        <w:keepNext w:val="0"/>
        <w:keepLines w:val="0"/>
        <w:pageBreakBefore w:val="0"/>
        <w:widowControl w:val="0"/>
        <w:kinsoku/>
        <w:wordWrap/>
        <w:overflowPunct/>
        <w:topLinePunct w:val="0"/>
        <w:autoSpaceDE/>
        <w:autoSpaceDN/>
        <w:bidi w:val="0"/>
        <w:adjustRightInd/>
        <w:snapToGrid/>
        <w:spacing w:line="360" w:lineRule="auto"/>
        <w:ind w:firstLine="561"/>
        <w:jc w:val="both"/>
        <w:textAlignment w:val="auto"/>
        <w:rPr>
          <w:rFonts w:hint="eastAsia" w:ascii="仿宋" w:hAnsi="仿宋" w:eastAsia="仿宋" w:cs="仿宋"/>
          <w:sz w:val="32"/>
          <w:szCs w:val="32"/>
        </w:rPr>
      </w:pPr>
      <w:r>
        <w:rPr>
          <w:rFonts w:hint="eastAsia" w:ascii="仿宋" w:hAnsi="仿宋" w:eastAsia="仿宋" w:cs="仿宋"/>
          <w:sz w:val="32"/>
          <w:szCs w:val="32"/>
        </w:rPr>
        <w:t>绩效指标：高新技术企业新增5家；科技型中小企业新增55家。</w:t>
      </w:r>
    </w:p>
    <w:p>
      <w:pPr>
        <w:pStyle w:val="12"/>
        <w:rPr>
          <w:rFonts w:hint="eastAsia" w:ascii="仿宋" w:hAnsi="仿宋" w:eastAsia="仿宋" w:cs="仿宋"/>
          <w:sz w:val="32"/>
          <w:szCs w:val="32"/>
        </w:rPr>
      </w:pPr>
      <w:r>
        <w:rPr>
          <w:rFonts w:hint="eastAsia" w:ascii="仿宋" w:hAnsi="仿宋" w:eastAsia="仿宋" w:cs="仿宋"/>
          <w:sz w:val="32"/>
          <w:szCs w:val="32"/>
        </w:rPr>
        <w:t>（三）进一步加快工业转型升级</w:t>
      </w:r>
    </w:p>
    <w:p>
      <w:pPr>
        <w:pStyle w:val="12"/>
        <w:keepNext w:val="0"/>
        <w:keepLines w:val="0"/>
        <w:pageBreakBefore w:val="0"/>
        <w:widowControl w:val="0"/>
        <w:kinsoku/>
        <w:wordWrap/>
        <w:overflowPunct/>
        <w:topLinePunct w:val="0"/>
        <w:autoSpaceDE/>
        <w:autoSpaceDN/>
        <w:bidi w:val="0"/>
        <w:adjustRightInd/>
        <w:snapToGrid/>
        <w:spacing w:line="360" w:lineRule="auto"/>
        <w:ind w:firstLine="561"/>
        <w:jc w:val="both"/>
        <w:textAlignment w:val="auto"/>
        <w:rPr>
          <w:rFonts w:hint="eastAsia" w:ascii="仿宋" w:hAnsi="仿宋" w:eastAsia="仿宋" w:cs="仿宋"/>
          <w:sz w:val="32"/>
          <w:szCs w:val="32"/>
        </w:rPr>
      </w:pPr>
      <w:r>
        <w:rPr>
          <w:rFonts w:hint="eastAsia" w:ascii="仿宋" w:hAnsi="仿宋" w:eastAsia="仿宋" w:cs="仿宋"/>
          <w:sz w:val="32"/>
          <w:szCs w:val="32"/>
        </w:rPr>
        <w:t>绩效目标：按照工业转型实施路径和方案，加快推进示范县工业转型升级工作，积极推进技改项目建设，积极开展两化融合评估工作，确保完成率达到全市前列。</w:t>
      </w:r>
    </w:p>
    <w:p>
      <w:pPr>
        <w:pStyle w:val="12"/>
        <w:keepNext w:val="0"/>
        <w:keepLines w:val="0"/>
        <w:pageBreakBefore w:val="0"/>
        <w:widowControl w:val="0"/>
        <w:kinsoku/>
        <w:wordWrap/>
        <w:overflowPunct/>
        <w:topLinePunct w:val="0"/>
        <w:autoSpaceDE/>
        <w:autoSpaceDN/>
        <w:bidi w:val="0"/>
        <w:adjustRightInd/>
        <w:snapToGrid/>
        <w:spacing w:line="360" w:lineRule="auto"/>
        <w:ind w:firstLine="561"/>
        <w:jc w:val="both"/>
        <w:textAlignment w:val="auto"/>
        <w:rPr>
          <w:rFonts w:hint="eastAsia" w:ascii="仿宋" w:hAnsi="仿宋" w:eastAsia="仿宋" w:cs="仿宋"/>
          <w:sz w:val="32"/>
          <w:szCs w:val="32"/>
        </w:rPr>
      </w:pPr>
      <w:r>
        <w:rPr>
          <w:rFonts w:hint="eastAsia" w:ascii="仿宋" w:hAnsi="仿宋" w:eastAsia="仿宋" w:cs="仿宋"/>
          <w:sz w:val="32"/>
          <w:szCs w:val="32"/>
        </w:rPr>
        <w:t>绩效指标：申请转型升级技改资金800万元，用以支持企业技改大步发展；服务企业，服务发展，为华艺帽业、普康医疗2家企业申报省级工业设计中心。</w:t>
      </w:r>
    </w:p>
    <w:p>
      <w:pPr>
        <w:spacing w:before="10" w:after="10"/>
        <w:ind w:firstLine="560"/>
        <w:jc w:val="left"/>
        <w:outlineLvl w:val="1"/>
        <w:rPr>
          <w:rFonts w:hint="eastAsia" w:ascii="仿宋" w:hAnsi="仿宋" w:eastAsia="仿宋" w:cs="仿宋"/>
          <w:b/>
          <w:bCs/>
          <w:sz w:val="32"/>
          <w:szCs w:val="32"/>
        </w:rPr>
      </w:pPr>
      <w:bookmarkStart w:id="2" w:name="_Toc_2_2_0000000003"/>
      <w:r>
        <w:rPr>
          <w:rFonts w:hint="eastAsia" w:ascii="仿宋" w:hAnsi="仿宋" w:eastAsia="仿宋" w:cs="仿宋"/>
          <w:b/>
          <w:bCs/>
          <w:color w:val="000000"/>
          <w:sz w:val="32"/>
          <w:szCs w:val="32"/>
        </w:rPr>
        <w:t>三、工作保障措施</w:t>
      </w:r>
      <w:bookmarkEnd w:id="2"/>
    </w:p>
    <w:p>
      <w:pPr>
        <w:pStyle w:val="13"/>
        <w:keepNext w:val="0"/>
        <w:keepLines w:val="0"/>
        <w:pageBreakBefore w:val="0"/>
        <w:widowControl w:val="0"/>
        <w:kinsoku/>
        <w:wordWrap/>
        <w:overflowPunct/>
        <w:topLinePunct w:val="0"/>
        <w:autoSpaceDE/>
        <w:autoSpaceDN/>
        <w:bidi w:val="0"/>
        <w:adjustRightInd/>
        <w:snapToGrid/>
        <w:spacing w:line="360" w:lineRule="auto"/>
        <w:ind w:firstLine="561"/>
        <w:jc w:val="both"/>
        <w:textAlignment w:val="auto"/>
        <w:rPr>
          <w:rFonts w:hint="eastAsia" w:ascii="仿宋" w:hAnsi="仿宋" w:eastAsia="仿宋" w:cs="仿宋"/>
          <w:sz w:val="32"/>
          <w:szCs w:val="32"/>
        </w:rPr>
      </w:pPr>
      <w:r>
        <w:rPr>
          <w:rFonts w:hint="eastAsia" w:ascii="仿宋" w:hAnsi="仿宋" w:eastAsia="仿宋" w:cs="仿宋"/>
          <w:sz w:val="32"/>
          <w:szCs w:val="32"/>
        </w:rPr>
        <w:t>加强组织领导。建立统筹协调、分工协作、密切配合、合力推进的工作机制。成立由局主要领导同志任组长、各分管局领导任副组长、各股室主要负责人为组员的预算绩效工作领导小组，领导小组下设办公室，围绕年度总体绩效目标和分类绩效目标，细化工作方案，明确责任主体、实施进度要求，确保如期完成。</w:t>
      </w:r>
    </w:p>
    <w:p>
      <w:pPr>
        <w:pStyle w:val="13"/>
        <w:keepNext w:val="0"/>
        <w:keepLines w:val="0"/>
        <w:pageBreakBefore w:val="0"/>
        <w:widowControl w:val="0"/>
        <w:kinsoku/>
        <w:wordWrap/>
        <w:overflowPunct/>
        <w:topLinePunct w:val="0"/>
        <w:autoSpaceDE/>
        <w:autoSpaceDN/>
        <w:bidi w:val="0"/>
        <w:adjustRightInd/>
        <w:snapToGrid/>
        <w:spacing w:line="360" w:lineRule="auto"/>
        <w:ind w:firstLine="561"/>
        <w:jc w:val="both"/>
        <w:textAlignment w:val="auto"/>
        <w:rPr>
          <w:rFonts w:hint="eastAsia" w:ascii="仿宋" w:hAnsi="仿宋" w:eastAsia="仿宋" w:cs="仿宋"/>
          <w:sz w:val="32"/>
          <w:szCs w:val="32"/>
        </w:rPr>
      </w:pPr>
      <w:r>
        <w:rPr>
          <w:rFonts w:hint="eastAsia" w:ascii="仿宋" w:hAnsi="仿宋" w:eastAsia="仿宋" w:cs="仿宋"/>
          <w:sz w:val="32"/>
          <w:szCs w:val="32"/>
        </w:rPr>
        <w:t>狠抓工作落实。按照“谁花钱、谁负责、谁举证”的原则，明确各股室预算绩效管理职责。根据预算绩效领导小组指示，各股室配合领导小组办公室开展分管项目及内容的预算绩效管理具体工作，实现花钱必问效，确保财务与业务工作紧密衔接。各股室按规定对申请新增专项开展事前绩效评估，科学设定专项资金绩效目标、预算项目绩效目标，按要求积极开展预算绩效中期评估、终期绩效评价，根据评价结果进行整改，确保绩效目标顺利实现。</w:t>
      </w:r>
    </w:p>
    <w:p>
      <w:pPr>
        <w:pStyle w:val="13"/>
        <w:keepNext w:val="0"/>
        <w:keepLines w:val="0"/>
        <w:pageBreakBefore w:val="0"/>
        <w:widowControl w:val="0"/>
        <w:kinsoku/>
        <w:wordWrap/>
        <w:overflowPunct/>
        <w:topLinePunct w:val="0"/>
        <w:autoSpaceDE/>
        <w:autoSpaceDN/>
        <w:bidi w:val="0"/>
        <w:adjustRightInd/>
        <w:snapToGrid/>
        <w:spacing w:line="360" w:lineRule="auto"/>
        <w:ind w:firstLine="561"/>
        <w:jc w:val="both"/>
        <w:textAlignment w:val="auto"/>
        <w:rPr>
          <w:rFonts w:hint="eastAsia" w:ascii="仿宋" w:hAnsi="仿宋" w:eastAsia="仿宋" w:cs="仿宋"/>
          <w:sz w:val="32"/>
          <w:szCs w:val="32"/>
        </w:rPr>
      </w:pPr>
      <w:r>
        <w:rPr>
          <w:rFonts w:hint="eastAsia" w:ascii="仿宋" w:hAnsi="仿宋" w:eastAsia="仿宋" w:cs="仿宋"/>
          <w:sz w:val="32"/>
          <w:szCs w:val="32"/>
        </w:rPr>
        <w:t>健全制度体系。围绕预算管理的主要内容和关键环节，建立事前评估、目标管理、运行监控、绩效评价、结果应用等全过程环节的预算绩效管理流程，出台专项资金管理细则，完善绩效指标框架体系，健全内部控制管理制度，确保专项资金使用科学、规范、高效。</w:t>
      </w:r>
    </w:p>
    <w:p>
      <w:pPr>
        <w:pStyle w:val="13"/>
        <w:keepNext w:val="0"/>
        <w:keepLines w:val="0"/>
        <w:pageBreakBefore w:val="0"/>
        <w:widowControl w:val="0"/>
        <w:kinsoku/>
        <w:wordWrap/>
        <w:overflowPunct/>
        <w:topLinePunct w:val="0"/>
        <w:autoSpaceDE/>
        <w:autoSpaceDN/>
        <w:bidi w:val="0"/>
        <w:adjustRightInd/>
        <w:snapToGrid/>
        <w:spacing w:line="360" w:lineRule="auto"/>
        <w:ind w:firstLine="561"/>
        <w:jc w:val="both"/>
        <w:textAlignment w:val="auto"/>
        <w:rPr>
          <w:rFonts w:hint="eastAsia" w:ascii="仿宋" w:hAnsi="仿宋" w:eastAsia="仿宋" w:cs="仿宋"/>
          <w:sz w:val="32"/>
          <w:szCs w:val="32"/>
        </w:rPr>
      </w:pPr>
      <w:r>
        <w:rPr>
          <w:rFonts w:hint="eastAsia" w:ascii="仿宋" w:hAnsi="仿宋" w:eastAsia="仿宋" w:cs="仿宋"/>
          <w:sz w:val="32"/>
          <w:szCs w:val="32"/>
        </w:rPr>
        <w:t>强化预算管理。开展绩效运行监控管理，强化财政预算执行的刚性约束。进一步规范财政资金使用和管理，强化内部控制制度建设。督促有关股室切实加快执行进度，预算一经批复，尽快启动项目，加快履行政府采购手续，确保按照时间节点完成支出任务，及早发挥财政资金效益。</w:t>
      </w:r>
    </w:p>
    <w:p>
      <w:pPr>
        <w:pStyle w:val="13"/>
        <w:keepNext w:val="0"/>
        <w:keepLines w:val="0"/>
        <w:pageBreakBefore w:val="0"/>
        <w:widowControl w:val="0"/>
        <w:kinsoku/>
        <w:wordWrap/>
        <w:overflowPunct/>
        <w:topLinePunct w:val="0"/>
        <w:autoSpaceDE/>
        <w:autoSpaceDN/>
        <w:bidi w:val="0"/>
        <w:adjustRightInd/>
        <w:snapToGrid/>
        <w:spacing w:line="360" w:lineRule="auto"/>
        <w:ind w:firstLine="561"/>
        <w:jc w:val="both"/>
        <w:textAlignment w:val="auto"/>
        <w:rPr>
          <w:rFonts w:hint="eastAsia" w:ascii="仿宋" w:hAnsi="仿宋" w:eastAsia="仿宋" w:cs="仿宋"/>
          <w:sz w:val="32"/>
          <w:szCs w:val="32"/>
        </w:rPr>
      </w:pPr>
      <w:r>
        <w:rPr>
          <w:rFonts w:hint="eastAsia" w:ascii="仿宋" w:hAnsi="仿宋" w:eastAsia="仿宋" w:cs="仿宋"/>
          <w:sz w:val="32"/>
          <w:szCs w:val="32"/>
        </w:rPr>
        <w:t>完善评价机制。在预算绩效领导小组领导下，按照要求扎实开展绩效自评。制定评价工作方案，明确评价内容、责任处室、评价方法等。必要时，聘请第三方机构协助开展评价。对在绩效评价发现的问题，研究解决对策，及时整改，调整优化支出结构，提高财政资金使用效益。</w:t>
      </w:r>
    </w:p>
    <w:p>
      <w:pPr>
        <w:pStyle w:val="13"/>
        <w:keepNext w:val="0"/>
        <w:keepLines w:val="0"/>
        <w:pageBreakBefore w:val="0"/>
        <w:widowControl w:val="0"/>
        <w:kinsoku/>
        <w:wordWrap/>
        <w:overflowPunct/>
        <w:topLinePunct w:val="0"/>
        <w:autoSpaceDE/>
        <w:autoSpaceDN/>
        <w:bidi w:val="0"/>
        <w:adjustRightInd/>
        <w:snapToGrid/>
        <w:spacing w:line="360" w:lineRule="auto"/>
        <w:ind w:firstLine="561"/>
        <w:jc w:val="both"/>
        <w:textAlignment w:val="auto"/>
        <w:rPr>
          <w:rFonts w:hint="eastAsia" w:ascii="仿宋" w:hAnsi="仿宋" w:eastAsia="仿宋" w:cs="仿宋"/>
          <w:sz w:val="32"/>
          <w:szCs w:val="32"/>
        </w:rPr>
      </w:pPr>
      <w:r>
        <w:rPr>
          <w:rFonts w:hint="eastAsia" w:ascii="仿宋" w:hAnsi="仿宋" w:eastAsia="仿宋" w:cs="仿宋"/>
          <w:sz w:val="32"/>
          <w:szCs w:val="32"/>
        </w:rPr>
        <w:t>加强宣传培训。组织开展业务培训，提高本部门职工业务素质，强化预算绩效管理意识，掌握工作方法，提升管理能力。加大绩效预算宣传力度，利用多途径、多方式宣传绩效理念，营造良好的舆论氛围，促进预算绩效管理水平进一步提升。</w:t>
      </w:r>
    </w:p>
    <w:p>
      <w:pPr>
        <w:pStyle w:val="13"/>
        <w:rPr>
          <w:rFonts w:hint="eastAsia" w:ascii="仿宋" w:hAnsi="仿宋" w:eastAsia="仿宋" w:cs="仿宋"/>
          <w:sz w:val="32"/>
          <w:szCs w:val="32"/>
        </w:rPr>
      </w:pPr>
    </w:p>
    <w:p>
      <w:pPr>
        <w:spacing w:before="0" w:after="0" w:line="240" w:lineRule="auto"/>
        <w:ind w:firstLine="0"/>
        <w:jc w:val="center"/>
        <w:outlineLvl w:val="9"/>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spacing w:line="360" w:lineRule="auto"/>
        <w:ind w:firstLine="640" w:firstLineChars="200"/>
        <w:rPr>
          <w:rFonts w:ascii="仿宋" w:hAnsi="仿宋" w:eastAsia="仿宋"/>
          <w:sz w:val="32"/>
          <w:szCs w:val="32"/>
        </w:rPr>
      </w:pPr>
    </w:p>
    <w:p>
      <w:pPr>
        <w:jc w:val="center"/>
        <w:outlineLvl w:val="0"/>
        <w:rPr>
          <w:rFonts w:ascii="方正书宋_GBK" w:eastAsia="方正书宋_GBK"/>
        </w:rPr>
      </w:pPr>
      <w:r>
        <w:rPr>
          <w:rFonts w:hint="eastAsia" w:ascii="方正小标宋_GBK" w:eastAsia="方正小标宋_GBK"/>
          <w:sz w:val="44"/>
        </w:rPr>
        <w:t>预算项目绩效目标</w:t>
      </w:r>
      <w:r>
        <w:rPr>
          <w:rFonts w:ascii="方正书宋_GBK" w:eastAsia="方正书宋_GBK"/>
        </w:rPr>
        <w:t xml:space="preserve"> </w:t>
      </w:r>
    </w:p>
    <w:p>
      <w:pPr>
        <w:spacing w:line="360" w:lineRule="auto"/>
        <w:ind w:firstLine="640" w:firstLineChars="200"/>
        <w:rPr>
          <w:rFonts w:ascii="仿宋" w:hAnsi="仿宋" w:eastAsia="仿宋"/>
          <w:sz w:val="32"/>
          <w:szCs w:val="32"/>
        </w:rPr>
      </w:pPr>
    </w:p>
    <w:p>
      <w:pPr>
        <w:spacing w:before="0" w:after="0"/>
        <w:ind w:firstLine="560"/>
        <w:jc w:val="left"/>
        <w:outlineLvl w:val="3"/>
      </w:pPr>
      <w:bookmarkStart w:id="3" w:name="_Toc_4_4_0000000004"/>
      <w:r>
        <w:rPr>
          <w:rFonts w:ascii="方正仿宋_GBK" w:hAnsi="方正仿宋_GBK" w:eastAsia="方正仿宋_GBK" w:cs="方正仿宋_GBK"/>
          <w:color w:val="000000"/>
          <w:sz w:val="28"/>
        </w:rPr>
        <w:t>1.化工厂、饮食服务专项费用绩效目标表</w:t>
      </w:r>
      <w:bookmarkEnd w:id="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304001保定市徐水区工业和信息化局本级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13062522P00456610027H</w:t>
            </w:r>
          </w:p>
        </w:tc>
        <w:tc>
          <w:tcPr>
            <w:tcW w:w="1587" w:type="dxa"/>
            <w:vAlign w:val="center"/>
          </w:tcPr>
          <w:p>
            <w:pPr>
              <w:pStyle w:val="16"/>
            </w:pPr>
            <w:r>
              <w:t>项目名称</w:t>
            </w:r>
          </w:p>
        </w:tc>
        <w:tc>
          <w:tcPr>
            <w:tcW w:w="4422" w:type="dxa"/>
            <w:gridSpan w:val="3"/>
            <w:vAlign w:val="center"/>
          </w:tcPr>
          <w:p>
            <w:pPr>
              <w:pStyle w:val="17"/>
            </w:pPr>
            <w:r>
              <w:t>化工厂、饮食服务专项费用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15.53</w:t>
            </w:r>
          </w:p>
        </w:tc>
        <w:tc>
          <w:tcPr>
            <w:tcW w:w="1587" w:type="dxa"/>
            <w:vAlign w:val="center"/>
          </w:tcPr>
          <w:p>
            <w:pPr>
              <w:pStyle w:val="16"/>
            </w:pPr>
            <w:r>
              <w:t>其中：财政    资金</w:t>
            </w:r>
          </w:p>
        </w:tc>
        <w:tc>
          <w:tcPr>
            <w:tcW w:w="1304" w:type="dxa"/>
            <w:vAlign w:val="center"/>
          </w:tcPr>
          <w:p>
            <w:pPr>
              <w:pStyle w:val="17"/>
            </w:pPr>
            <w:r>
              <w:t>15.53</w:t>
            </w:r>
          </w:p>
        </w:tc>
        <w:tc>
          <w:tcPr>
            <w:tcW w:w="1276" w:type="dxa"/>
            <w:vAlign w:val="center"/>
          </w:tcPr>
          <w:p>
            <w:pPr>
              <w:pStyle w:val="16"/>
            </w:pPr>
            <w:r>
              <w:t>其他资金</w:t>
            </w:r>
          </w:p>
        </w:tc>
        <w:tc>
          <w:tcPr>
            <w:tcW w:w="1843" w:type="dxa"/>
            <w:vAlign w:val="center"/>
          </w:tcPr>
          <w:p>
            <w:pPr>
              <w:pStyle w:val="17"/>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专项用于为化工厂职工缴纳养老保险、医疗保险，为饮食服务下岗职工发放生活补助。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25%</w:t>
            </w:r>
          </w:p>
        </w:tc>
        <w:tc>
          <w:tcPr>
            <w:tcW w:w="1587" w:type="dxa"/>
            <w:vAlign w:val="center"/>
          </w:tcPr>
          <w:p>
            <w:pPr>
              <w:pStyle w:val="18"/>
            </w:pPr>
            <w:r>
              <w:t>50%</w:t>
            </w:r>
          </w:p>
        </w:tc>
        <w:tc>
          <w:tcPr>
            <w:tcW w:w="1304" w:type="dxa"/>
            <w:vAlign w:val="center"/>
          </w:tcPr>
          <w:p>
            <w:pPr>
              <w:pStyle w:val="18"/>
            </w:pPr>
            <w:r>
              <w:t>75%</w:t>
            </w:r>
          </w:p>
        </w:tc>
        <w:tc>
          <w:tcPr>
            <w:tcW w:w="3118" w:type="dxa"/>
            <w:gridSpan w:val="2"/>
            <w:vAlign w:val="center"/>
          </w:tcPr>
          <w:p>
            <w:pPr>
              <w:pStyle w:val="18"/>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1.妥善处理企业改制遗留问题，化解职工生活困难难题，维护社会稳定。</w:t>
            </w:r>
          </w:p>
          <w:p>
            <w:pPr>
              <w:pStyle w:val="17"/>
            </w:pPr>
            <w:r>
              <w:t>2.为33名化工厂固定工缴纳养老保险和医疗保险，发放原饮食服务公司2名职工的生活补助。</w:t>
            </w:r>
          </w:p>
          <w:p>
            <w:pPr>
              <w:pStyle w:val="17"/>
            </w:pPr>
            <w:r>
              <w:t>3.按时间进度为化工厂固定工缴纳养老保险和医疗保险，2022年12月份完成全部支出。</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补助人数</w:t>
            </w:r>
          </w:p>
        </w:tc>
        <w:tc>
          <w:tcPr>
            <w:tcW w:w="2891" w:type="dxa"/>
            <w:vAlign w:val="center"/>
          </w:tcPr>
          <w:p>
            <w:pPr>
              <w:pStyle w:val="17"/>
            </w:pPr>
            <w:r>
              <w:t>享受补助的人数</w:t>
            </w:r>
          </w:p>
        </w:tc>
        <w:tc>
          <w:tcPr>
            <w:tcW w:w="1276" w:type="dxa"/>
            <w:vAlign w:val="center"/>
          </w:tcPr>
          <w:p>
            <w:pPr>
              <w:pStyle w:val="17"/>
            </w:pPr>
            <w:r>
              <w:t>33人</w:t>
            </w:r>
          </w:p>
        </w:tc>
        <w:tc>
          <w:tcPr>
            <w:tcW w:w="1843"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补助覆盖率</w:t>
            </w:r>
          </w:p>
        </w:tc>
        <w:tc>
          <w:tcPr>
            <w:tcW w:w="2891" w:type="dxa"/>
            <w:vAlign w:val="center"/>
          </w:tcPr>
          <w:p>
            <w:pPr>
              <w:pStyle w:val="17"/>
            </w:pPr>
            <w:r>
              <w:t>项目资金支出相关人数占项目总人数的比重</w:t>
            </w:r>
          </w:p>
        </w:tc>
        <w:tc>
          <w:tcPr>
            <w:tcW w:w="1276" w:type="dxa"/>
            <w:vAlign w:val="center"/>
          </w:tcPr>
          <w:p>
            <w:pPr>
              <w:pStyle w:val="17"/>
            </w:pPr>
            <w:r>
              <w:t>≥95%</w:t>
            </w:r>
          </w:p>
        </w:tc>
        <w:tc>
          <w:tcPr>
            <w:tcW w:w="1843"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补助及时性</w:t>
            </w:r>
          </w:p>
        </w:tc>
        <w:tc>
          <w:tcPr>
            <w:tcW w:w="2891" w:type="dxa"/>
            <w:vAlign w:val="center"/>
          </w:tcPr>
          <w:p>
            <w:pPr>
              <w:pStyle w:val="17"/>
            </w:pPr>
            <w:r>
              <w:t>按照时间进度要求和计划完成项目进度</w:t>
            </w:r>
          </w:p>
        </w:tc>
        <w:tc>
          <w:tcPr>
            <w:tcW w:w="1276" w:type="dxa"/>
            <w:vAlign w:val="center"/>
          </w:tcPr>
          <w:p>
            <w:pPr>
              <w:pStyle w:val="17"/>
            </w:pPr>
            <w:r>
              <w:t>≥95%</w:t>
            </w:r>
          </w:p>
        </w:tc>
        <w:tc>
          <w:tcPr>
            <w:tcW w:w="1843"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补助金额</w:t>
            </w:r>
          </w:p>
        </w:tc>
        <w:tc>
          <w:tcPr>
            <w:tcW w:w="2891" w:type="dxa"/>
            <w:vAlign w:val="center"/>
          </w:tcPr>
          <w:p>
            <w:pPr>
              <w:pStyle w:val="17"/>
            </w:pPr>
            <w:r>
              <w:t>按政策标准进行补助</w:t>
            </w:r>
          </w:p>
        </w:tc>
        <w:tc>
          <w:tcPr>
            <w:tcW w:w="1276" w:type="dxa"/>
            <w:vAlign w:val="center"/>
          </w:tcPr>
          <w:p>
            <w:pPr>
              <w:pStyle w:val="17"/>
            </w:pPr>
            <w:r>
              <w:t>100%</w:t>
            </w:r>
          </w:p>
        </w:tc>
        <w:tc>
          <w:tcPr>
            <w:tcW w:w="1843" w:type="dxa"/>
            <w:vAlign w:val="center"/>
          </w:tcPr>
          <w:p>
            <w:pPr>
              <w:pStyle w:val="17"/>
            </w:pPr>
            <w: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社会效益指标</w:t>
            </w:r>
          </w:p>
        </w:tc>
        <w:tc>
          <w:tcPr>
            <w:tcW w:w="1332" w:type="dxa"/>
            <w:vAlign w:val="center"/>
          </w:tcPr>
          <w:p>
            <w:pPr>
              <w:pStyle w:val="17"/>
            </w:pPr>
            <w:r>
              <w:t>受补助的下岗职工上访次数</w:t>
            </w:r>
          </w:p>
        </w:tc>
        <w:tc>
          <w:tcPr>
            <w:tcW w:w="2891" w:type="dxa"/>
            <w:vAlign w:val="center"/>
          </w:tcPr>
          <w:p>
            <w:pPr>
              <w:pStyle w:val="17"/>
            </w:pPr>
            <w:r>
              <w:t>受补助的下岗职工上访次数</w:t>
            </w:r>
          </w:p>
        </w:tc>
        <w:tc>
          <w:tcPr>
            <w:tcW w:w="1276" w:type="dxa"/>
            <w:vAlign w:val="center"/>
          </w:tcPr>
          <w:p>
            <w:pPr>
              <w:pStyle w:val="17"/>
            </w:pPr>
            <w:r>
              <w:t>&lt;1次</w:t>
            </w:r>
          </w:p>
        </w:tc>
        <w:tc>
          <w:tcPr>
            <w:tcW w:w="1843" w:type="dxa"/>
            <w:vAlign w:val="center"/>
          </w:tcPr>
          <w:p>
            <w:pPr>
              <w:pStyle w:val="17"/>
            </w:pPr>
            <w:r>
              <w:t>依据工作计划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满意度指标</w:t>
            </w:r>
          </w:p>
        </w:tc>
        <w:tc>
          <w:tcPr>
            <w:tcW w:w="1276" w:type="dxa"/>
            <w:vAlign w:val="center"/>
          </w:tcPr>
          <w:p>
            <w:pPr>
              <w:pStyle w:val="17"/>
            </w:pPr>
            <w:r>
              <w:t>服务对象满意度指标</w:t>
            </w:r>
          </w:p>
        </w:tc>
        <w:tc>
          <w:tcPr>
            <w:tcW w:w="1332" w:type="dxa"/>
            <w:vAlign w:val="center"/>
          </w:tcPr>
          <w:p>
            <w:pPr>
              <w:pStyle w:val="17"/>
            </w:pPr>
            <w:r>
              <w:t>享受补助的对象的满意程度</w:t>
            </w:r>
          </w:p>
        </w:tc>
        <w:tc>
          <w:tcPr>
            <w:tcW w:w="2891" w:type="dxa"/>
            <w:vAlign w:val="center"/>
          </w:tcPr>
          <w:p>
            <w:pPr>
              <w:pStyle w:val="17"/>
            </w:pPr>
            <w:r>
              <w:t>享受补助的对象的满意程度</w:t>
            </w:r>
          </w:p>
        </w:tc>
        <w:tc>
          <w:tcPr>
            <w:tcW w:w="1276" w:type="dxa"/>
            <w:vAlign w:val="center"/>
          </w:tcPr>
          <w:p>
            <w:pPr>
              <w:pStyle w:val="17"/>
            </w:pPr>
            <w:r>
              <w:t>≥95%</w:t>
            </w:r>
          </w:p>
        </w:tc>
        <w:tc>
          <w:tcPr>
            <w:tcW w:w="1843" w:type="dxa"/>
            <w:vAlign w:val="center"/>
          </w:tcPr>
          <w:p>
            <w:pPr>
              <w:pStyle w:val="17"/>
            </w:pPr>
            <w:r>
              <w:t>工作预期</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 w:name="_Toc_4_4_0000000005"/>
      <w:r>
        <w:rPr>
          <w:rFonts w:ascii="方正仿宋_GBK" w:hAnsi="方正仿宋_GBK" w:eastAsia="方正仿宋_GBK" w:cs="方正仿宋_GBK"/>
          <w:color w:val="000000"/>
          <w:sz w:val="28"/>
        </w:rPr>
        <w:t>2.利息收入绩效目标表</w:t>
      </w:r>
      <w:bookmarkEnd w:id="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pPr>
            <w:r>
              <w:t>304001保定市徐水区工业和信息化局本级</w:t>
            </w:r>
          </w:p>
        </w:tc>
        <w:tc>
          <w:tcPr>
            <w:tcW w:w="1843" w:type="dxa"/>
            <w:tcBorders>
              <w:top w:val="single" w:color="FFFFFF" w:sz="6" w:space="0"/>
              <w:left w:val="single" w:color="FFFFFF" w:sz="6" w:space="0"/>
              <w:right w:val="single" w:color="FFFFFF" w:sz="6" w:space="0"/>
            </w:tcBorders>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项目编码</w:t>
            </w:r>
          </w:p>
        </w:tc>
        <w:tc>
          <w:tcPr>
            <w:tcW w:w="2608" w:type="dxa"/>
            <w:gridSpan w:val="2"/>
            <w:vAlign w:val="center"/>
          </w:tcPr>
          <w:p>
            <w:pPr>
              <w:pStyle w:val="17"/>
            </w:pPr>
            <w:r>
              <w:t>13062522P00459810021W</w:t>
            </w:r>
          </w:p>
        </w:tc>
        <w:tc>
          <w:tcPr>
            <w:tcW w:w="1587" w:type="dxa"/>
            <w:vAlign w:val="center"/>
          </w:tcPr>
          <w:p>
            <w:pPr>
              <w:pStyle w:val="16"/>
            </w:pPr>
            <w:r>
              <w:t>项目名称</w:t>
            </w:r>
          </w:p>
        </w:tc>
        <w:tc>
          <w:tcPr>
            <w:tcW w:w="4422" w:type="dxa"/>
            <w:gridSpan w:val="3"/>
            <w:vAlign w:val="center"/>
          </w:tcPr>
          <w:p>
            <w:pPr>
              <w:pStyle w:val="17"/>
            </w:pPr>
            <w:r>
              <w:t>利息收入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预算规模及资金用途</w:t>
            </w:r>
          </w:p>
        </w:tc>
        <w:tc>
          <w:tcPr>
            <w:tcW w:w="1276" w:type="dxa"/>
            <w:vAlign w:val="center"/>
          </w:tcPr>
          <w:p>
            <w:pPr>
              <w:pStyle w:val="16"/>
            </w:pPr>
            <w:r>
              <w:t>预算数</w:t>
            </w:r>
          </w:p>
        </w:tc>
        <w:tc>
          <w:tcPr>
            <w:tcW w:w="1332" w:type="dxa"/>
            <w:vAlign w:val="center"/>
          </w:tcPr>
          <w:p>
            <w:pPr>
              <w:pStyle w:val="17"/>
            </w:pPr>
            <w:r>
              <w:t>0.14</w:t>
            </w:r>
          </w:p>
        </w:tc>
        <w:tc>
          <w:tcPr>
            <w:tcW w:w="1587" w:type="dxa"/>
            <w:vAlign w:val="center"/>
          </w:tcPr>
          <w:p>
            <w:pPr>
              <w:pStyle w:val="16"/>
            </w:pPr>
            <w:r>
              <w:t>其中：财政    资金</w:t>
            </w:r>
          </w:p>
        </w:tc>
        <w:tc>
          <w:tcPr>
            <w:tcW w:w="1304" w:type="dxa"/>
            <w:vAlign w:val="center"/>
          </w:tcPr>
          <w:p>
            <w:pPr>
              <w:pStyle w:val="17"/>
            </w:pPr>
            <w:r>
              <w:t xml:space="preserve"> </w:t>
            </w:r>
          </w:p>
        </w:tc>
        <w:tc>
          <w:tcPr>
            <w:tcW w:w="1276" w:type="dxa"/>
            <w:vAlign w:val="center"/>
          </w:tcPr>
          <w:p>
            <w:pPr>
              <w:pStyle w:val="16"/>
            </w:pPr>
            <w:r>
              <w:t>其他资金</w:t>
            </w:r>
          </w:p>
        </w:tc>
        <w:tc>
          <w:tcPr>
            <w:tcW w:w="1843" w:type="dxa"/>
            <w:vAlign w:val="center"/>
          </w:tcPr>
          <w:p>
            <w:pPr>
              <w:pStyle w:val="17"/>
            </w:pPr>
            <w:r>
              <w:t>0.14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7"/>
            </w:pPr>
            <w:r>
              <w:t>用于补充单位运转经费。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t>资金支出计划（%）</w:t>
            </w:r>
          </w:p>
        </w:tc>
        <w:tc>
          <w:tcPr>
            <w:tcW w:w="2608" w:type="dxa"/>
            <w:gridSpan w:val="2"/>
            <w:vAlign w:val="center"/>
          </w:tcPr>
          <w:p>
            <w:pPr>
              <w:pStyle w:val="16"/>
            </w:pPr>
            <w:r>
              <w:t>3月底</w:t>
            </w:r>
          </w:p>
        </w:tc>
        <w:tc>
          <w:tcPr>
            <w:tcW w:w="1587" w:type="dxa"/>
            <w:vAlign w:val="center"/>
          </w:tcPr>
          <w:p>
            <w:pPr>
              <w:pStyle w:val="16"/>
            </w:pPr>
            <w:r>
              <w:t>6月底</w:t>
            </w:r>
          </w:p>
        </w:tc>
        <w:tc>
          <w:tcPr>
            <w:tcW w:w="1304" w:type="dxa"/>
            <w:vAlign w:val="center"/>
          </w:tcPr>
          <w:p>
            <w:pPr>
              <w:pStyle w:val="16"/>
            </w:pPr>
            <w:r>
              <w:t>10月底</w:t>
            </w:r>
          </w:p>
        </w:tc>
        <w:tc>
          <w:tcPr>
            <w:tcW w:w="3118" w:type="dxa"/>
            <w:gridSpan w:val="2"/>
            <w:vAlign w:val="center"/>
          </w:tcPr>
          <w:p>
            <w:pPr>
              <w:pStyle w:val="16"/>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8"/>
            </w:pPr>
            <w:r>
              <w:t xml:space="preserve"> </w:t>
            </w:r>
          </w:p>
        </w:tc>
        <w:tc>
          <w:tcPr>
            <w:tcW w:w="1587" w:type="dxa"/>
            <w:vAlign w:val="center"/>
          </w:tcPr>
          <w:p>
            <w:pPr>
              <w:pStyle w:val="18"/>
            </w:pPr>
            <w:r>
              <w:t xml:space="preserve"> </w:t>
            </w:r>
          </w:p>
        </w:tc>
        <w:tc>
          <w:tcPr>
            <w:tcW w:w="1304" w:type="dxa"/>
            <w:vAlign w:val="center"/>
          </w:tcPr>
          <w:p>
            <w:pPr>
              <w:pStyle w:val="18"/>
            </w:pPr>
            <w:r>
              <w:t>75%</w:t>
            </w:r>
          </w:p>
        </w:tc>
        <w:tc>
          <w:tcPr>
            <w:tcW w:w="3118" w:type="dxa"/>
            <w:gridSpan w:val="2"/>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pPr>
            <w:r>
              <w:t>绩效目标</w:t>
            </w:r>
          </w:p>
        </w:tc>
        <w:tc>
          <w:tcPr>
            <w:tcW w:w="8617" w:type="dxa"/>
            <w:gridSpan w:val="6"/>
            <w:vAlign w:val="center"/>
          </w:tcPr>
          <w:p>
            <w:pPr>
              <w:pStyle w:val="17"/>
            </w:pPr>
            <w:r>
              <w:t>1.弥补单位办公经费不足。</w:t>
            </w:r>
          </w:p>
          <w:p>
            <w:pPr>
              <w:pStyle w:val="17"/>
            </w:pPr>
            <w:r>
              <w:t>2.促进单位正常运转。</w:t>
            </w:r>
          </w:p>
          <w:p>
            <w:pPr>
              <w:pStyle w:val="17"/>
            </w:pPr>
            <w:r>
              <w:t>3.12月底前全部支出。</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pPr>
            <w:r>
              <w:t>一级指标</w:t>
            </w:r>
          </w:p>
        </w:tc>
        <w:tc>
          <w:tcPr>
            <w:tcW w:w="1276" w:type="dxa"/>
            <w:vAlign w:val="center"/>
          </w:tcPr>
          <w:p>
            <w:pPr>
              <w:pStyle w:val="16"/>
            </w:pPr>
            <w:r>
              <w:t>二级指标</w:t>
            </w:r>
          </w:p>
        </w:tc>
        <w:tc>
          <w:tcPr>
            <w:tcW w:w="1332" w:type="dxa"/>
            <w:vAlign w:val="center"/>
          </w:tcPr>
          <w:p>
            <w:pPr>
              <w:pStyle w:val="16"/>
            </w:pPr>
            <w:r>
              <w:t>三级指标</w:t>
            </w:r>
          </w:p>
        </w:tc>
        <w:tc>
          <w:tcPr>
            <w:tcW w:w="2891" w:type="dxa"/>
            <w:vAlign w:val="center"/>
          </w:tcPr>
          <w:p>
            <w:pPr>
              <w:pStyle w:val="16"/>
            </w:pPr>
            <w:r>
              <w:t>绩效指标描述</w:t>
            </w:r>
          </w:p>
        </w:tc>
        <w:tc>
          <w:tcPr>
            <w:tcW w:w="1276" w:type="dxa"/>
            <w:vAlign w:val="center"/>
          </w:tcPr>
          <w:p>
            <w:pPr>
              <w:pStyle w:val="16"/>
            </w:pPr>
            <w:r>
              <w:t>指标值</w:t>
            </w:r>
          </w:p>
        </w:tc>
        <w:tc>
          <w:tcPr>
            <w:tcW w:w="1843" w:type="dxa"/>
            <w:vAlign w:val="center"/>
          </w:tcPr>
          <w:p>
            <w:pPr>
              <w:pStyle w:val="16"/>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pPr>
            <w:r>
              <w:t>产出指标</w:t>
            </w:r>
          </w:p>
        </w:tc>
        <w:tc>
          <w:tcPr>
            <w:tcW w:w="1276" w:type="dxa"/>
            <w:vAlign w:val="center"/>
          </w:tcPr>
          <w:p>
            <w:pPr>
              <w:pStyle w:val="17"/>
            </w:pPr>
            <w:r>
              <w:t>数量指标</w:t>
            </w:r>
          </w:p>
        </w:tc>
        <w:tc>
          <w:tcPr>
            <w:tcW w:w="1332" w:type="dxa"/>
            <w:vAlign w:val="center"/>
          </w:tcPr>
          <w:p>
            <w:pPr>
              <w:pStyle w:val="17"/>
            </w:pPr>
            <w:r>
              <w:t>利息金额</w:t>
            </w:r>
          </w:p>
        </w:tc>
        <w:tc>
          <w:tcPr>
            <w:tcW w:w="2891" w:type="dxa"/>
            <w:vAlign w:val="center"/>
          </w:tcPr>
          <w:p>
            <w:pPr>
              <w:pStyle w:val="17"/>
            </w:pPr>
            <w:r>
              <w:t>本年度利息收入金额</w:t>
            </w:r>
          </w:p>
        </w:tc>
        <w:tc>
          <w:tcPr>
            <w:tcW w:w="1276" w:type="dxa"/>
            <w:vAlign w:val="center"/>
          </w:tcPr>
          <w:p>
            <w:pPr>
              <w:pStyle w:val="17"/>
            </w:pPr>
            <w:r>
              <w:t>1400元</w:t>
            </w:r>
          </w:p>
        </w:tc>
        <w:tc>
          <w:tcPr>
            <w:tcW w:w="1843" w:type="dxa"/>
            <w:vAlign w:val="center"/>
          </w:tcPr>
          <w:p>
            <w:pPr>
              <w:pStyle w:val="17"/>
            </w:pPr>
            <w:r>
              <w:t>近三年利息收入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质量指标</w:t>
            </w:r>
          </w:p>
        </w:tc>
        <w:tc>
          <w:tcPr>
            <w:tcW w:w="1332" w:type="dxa"/>
            <w:vAlign w:val="center"/>
          </w:tcPr>
          <w:p>
            <w:pPr>
              <w:pStyle w:val="17"/>
            </w:pPr>
            <w:r>
              <w:t>支出率</w:t>
            </w:r>
          </w:p>
        </w:tc>
        <w:tc>
          <w:tcPr>
            <w:tcW w:w="2891" w:type="dxa"/>
            <w:vAlign w:val="center"/>
          </w:tcPr>
          <w:p>
            <w:pPr>
              <w:pStyle w:val="17"/>
            </w:pPr>
            <w:r>
              <w:t>全部利息收入支出情况</w:t>
            </w:r>
          </w:p>
        </w:tc>
        <w:tc>
          <w:tcPr>
            <w:tcW w:w="1276" w:type="dxa"/>
            <w:vAlign w:val="center"/>
          </w:tcPr>
          <w:p>
            <w:pPr>
              <w:pStyle w:val="17"/>
            </w:pPr>
            <w:r>
              <w:t>100%</w:t>
            </w:r>
          </w:p>
        </w:tc>
        <w:tc>
          <w:tcPr>
            <w:tcW w:w="1843"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时效指标</w:t>
            </w:r>
          </w:p>
        </w:tc>
        <w:tc>
          <w:tcPr>
            <w:tcW w:w="1332" w:type="dxa"/>
            <w:vAlign w:val="center"/>
          </w:tcPr>
          <w:p>
            <w:pPr>
              <w:pStyle w:val="17"/>
            </w:pPr>
            <w:r>
              <w:t>全部支出时间</w:t>
            </w:r>
          </w:p>
        </w:tc>
        <w:tc>
          <w:tcPr>
            <w:tcW w:w="2891" w:type="dxa"/>
            <w:vAlign w:val="center"/>
          </w:tcPr>
          <w:p>
            <w:pPr>
              <w:pStyle w:val="17"/>
            </w:pPr>
            <w:r>
              <w:t>利息收入全部支出时间节点</w:t>
            </w:r>
          </w:p>
        </w:tc>
        <w:tc>
          <w:tcPr>
            <w:tcW w:w="1276" w:type="dxa"/>
            <w:vAlign w:val="center"/>
          </w:tcPr>
          <w:p>
            <w:pPr>
              <w:pStyle w:val="17"/>
            </w:pPr>
            <w:r>
              <w:t>≤12月</w:t>
            </w:r>
          </w:p>
        </w:tc>
        <w:tc>
          <w:tcPr>
            <w:tcW w:w="1843"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7"/>
            </w:pPr>
            <w:r>
              <w:t>成本指标</w:t>
            </w:r>
          </w:p>
        </w:tc>
        <w:tc>
          <w:tcPr>
            <w:tcW w:w="1332" w:type="dxa"/>
            <w:vAlign w:val="center"/>
          </w:tcPr>
          <w:p>
            <w:pPr>
              <w:pStyle w:val="17"/>
            </w:pPr>
            <w:r>
              <w:t>项目完成投入资金情况</w:t>
            </w:r>
          </w:p>
        </w:tc>
        <w:tc>
          <w:tcPr>
            <w:tcW w:w="2891" w:type="dxa"/>
            <w:vAlign w:val="center"/>
          </w:tcPr>
          <w:p>
            <w:pPr>
              <w:pStyle w:val="17"/>
            </w:pPr>
            <w:r>
              <w:t>完成利息收入全部支出需额外投入资金情况</w:t>
            </w:r>
          </w:p>
        </w:tc>
        <w:tc>
          <w:tcPr>
            <w:tcW w:w="1276" w:type="dxa"/>
            <w:vAlign w:val="center"/>
          </w:tcPr>
          <w:p>
            <w:pPr>
              <w:pStyle w:val="17"/>
            </w:pPr>
            <w:r>
              <w:t>≤1元</w:t>
            </w:r>
          </w:p>
        </w:tc>
        <w:tc>
          <w:tcPr>
            <w:tcW w:w="1843" w:type="dxa"/>
            <w:vAlign w:val="center"/>
          </w:tcPr>
          <w:p>
            <w:pPr>
              <w:pStyle w:val="17"/>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pPr>
            <w:r>
              <w:t>效益指标</w:t>
            </w:r>
          </w:p>
        </w:tc>
        <w:tc>
          <w:tcPr>
            <w:tcW w:w="1276" w:type="dxa"/>
            <w:vAlign w:val="center"/>
          </w:tcPr>
          <w:p>
            <w:pPr>
              <w:pStyle w:val="17"/>
            </w:pPr>
            <w:r>
              <w:t>可持续影响指标</w:t>
            </w:r>
          </w:p>
        </w:tc>
        <w:tc>
          <w:tcPr>
            <w:tcW w:w="1332" w:type="dxa"/>
            <w:vAlign w:val="center"/>
          </w:tcPr>
          <w:p>
            <w:pPr>
              <w:pStyle w:val="17"/>
            </w:pPr>
            <w:r>
              <w:t>工作完成率</w:t>
            </w:r>
          </w:p>
        </w:tc>
        <w:tc>
          <w:tcPr>
            <w:tcW w:w="2891" w:type="dxa"/>
            <w:vAlign w:val="center"/>
          </w:tcPr>
          <w:p>
            <w:pPr>
              <w:pStyle w:val="17"/>
            </w:pPr>
            <w:r>
              <w:t>补充经费不足，促进工作完成。</w:t>
            </w:r>
          </w:p>
        </w:tc>
        <w:tc>
          <w:tcPr>
            <w:tcW w:w="1276" w:type="dxa"/>
            <w:vAlign w:val="center"/>
          </w:tcPr>
          <w:p>
            <w:pPr>
              <w:pStyle w:val="17"/>
            </w:pPr>
            <w:r>
              <w:t>≥95%</w:t>
            </w:r>
          </w:p>
        </w:tc>
        <w:tc>
          <w:tcPr>
            <w:tcW w:w="1843" w:type="dxa"/>
            <w:vAlign w:val="center"/>
          </w:tcPr>
          <w:p>
            <w:pPr>
              <w:pStyle w:val="17"/>
            </w:pPr>
            <w:r>
              <w:t>工作计划</w:t>
            </w:r>
          </w:p>
        </w:tc>
      </w:tr>
    </w:tbl>
    <w:p>
      <w:pPr>
        <w:rPr>
          <w:rFonts w:hint="eastAsia" w:ascii="仿宋" w:hAnsi="仿宋" w:eastAsia="仿宋" w:cs="仿宋"/>
        </w:rPr>
        <w:sectPr>
          <w:pgSz w:w="11900" w:h="16840"/>
          <w:pgMar w:top="1984" w:right="1304" w:bottom="1134" w:left="1304" w:header="720" w:footer="720" w:gutter="0"/>
          <w:cols w:space="720" w:num="1"/>
        </w:sectPr>
      </w:pPr>
    </w:p>
    <w:p>
      <w:pPr>
        <w:spacing w:before="0" w:after="0" w:line="240" w:lineRule="auto"/>
        <w:ind w:firstLine="0"/>
        <w:jc w:val="both"/>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rPr>
          <w:rFonts w:hint="eastAsia" w:ascii="仿宋" w:hAnsi="仿宋" w:eastAsia="仿宋" w:cs="仿宋"/>
        </w:rPr>
      </w:pPr>
      <w:bookmarkStart w:id="5" w:name="_Toc_4_4_0000000006"/>
      <w:r>
        <w:rPr>
          <w:rFonts w:hint="eastAsia" w:ascii="仿宋" w:hAnsi="仿宋" w:eastAsia="仿宋" w:cs="仿宋"/>
          <w:b/>
          <w:bCs/>
          <w:color w:val="000000"/>
          <w:sz w:val="28"/>
        </w:rPr>
        <w:t>3.</w:t>
      </w:r>
      <w:bookmarkEnd w:id="5"/>
      <w:r>
        <w:rPr>
          <w:rFonts w:ascii="方正仿宋_GBK" w:hAnsi="方正仿宋_GBK" w:eastAsia="方正仿宋_GBK" w:cs="方正仿宋_GBK"/>
          <w:color w:val="000000"/>
          <w:sz w:val="28"/>
        </w:rPr>
        <w:t>留守人员专项费用绩效目标表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4"/>
              <w:rPr>
                <w:rFonts w:hint="eastAsia" w:ascii="仿宋" w:hAnsi="仿宋" w:eastAsia="仿宋" w:cs="仿宋"/>
              </w:rPr>
            </w:pPr>
            <w:r>
              <w:rPr>
                <w:rFonts w:hint="eastAsia" w:ascii="仿宋" w:hAnsi="仿宋" w:eastAsia="仿宋" w:cs="仿宋"/>
              </w:rPr>
              <w:t>304001保定市徐水区工业和信息化局本级</w:t>
            </w:r>
          </w:p>
        </w:tc>
        <w:tc>
          <w:tcPr>
            <w:tcW w:w="1843" w:type="dxa"/>
            <w:tcBorders>
              <w:top w:val="single" w:color="FFFFFF" w:sz="6" w:space="0"/>
              <w:left w:val="single" w:color="FFFFFF" w:sz="6" w:space="0"/>
              <w:right w:val="single" w:color="FFFFFF" w:sz="6" w:space="0"/>
            </w:tcBorders>
            <w:vAlign w:val="center"/>
          </w:tcPr>
          <w:p>
            <w:pPr>
              <w:pStyle w:val="15"/>
              <w:rPr>
                <w:rFonts w:hint="eastAsia" w:ascii="仿宋" w:hAnsi="仿宋" w:eastAsia="仿宋" w:cs="仿宋"/>
              </w:rPr>
            </w:pPr>
            <w:r>
              <w:rPr>
                <w:rFonts w:hint="eastAsia" w:ascii="仿宋" w:hAnsi="仿宋" w:eastAsia="仿宋" w:cs="仿宋"/>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rPr>
                <w:rFonts w:hint="eastAsia" w:ascii="仿宋" w:hAnsi="仿宋" w:eastAsia="仿宋" w:cs="仿宋"/>
              </w:rPr>
            </w:pPr>
            <w:r>
              <w:rPr>
                <w:rFonts w:hint="eastAsia" w:ascii="仿宋" w:hAnsi="仿宋" w:eastAsia="仿宋" w:cs="仿宋"/>
              </w:rPr>
              <w:t>项目编码</w:t>
            </w:r>
          </w:p>
        </w:tc>
        <w:tc>
          <w:tcPr>
            <w:tcW w:w="2608" w:type="dxa"/>
            <w:gridSpan w:val="2"/>
            <w:vAlign w:val="center"/>
          </w:tcPr>
          <w:p>
            <w:pPr>
              <w:pStyle w:val="17"/>
              <w:rPr>
                <w:rFonts w:hint="eastAsia" w:ascii="仿宋" w:hAnsi="仿宋" w:eastAsia="仿宋" w:cs="仿宋"/>
              </w:rPr>
            </w:pPr>
            <w:r>
              <w:rPr>
                <w:rFonts w:hint="eastAsia" w:ascii="仿宋" w:hAnsi="仿宋" w:eastAsia="仿宋" w:cs="仿宋"/>
              </w:rPr>
              <w:t>13062522P00456610026X</w:t>
            </w:r>
          </w:p>
        </w:tc>
        <w:tc>
          <w:tcPr>
            <w:tcW w:w="1587" w:type="dxa"/>
            <w:vAlign w:val="center"/>
          </w:tcPr>
          <w:p>
            <w:pPr>
              <w:pStyle w:val="16"/>
              <w:rPr>
                <w:rFonts w:hint="eastAsia" w:ascii="仿宋" w:hAnsi="仿宋" w:eastAsia="仿宋" w:cs="仿宋"/>
              </w:rPr>
            </w:pPr>
            <w:r>
              <w:rPr>
                <w:rFonts w:hint="eastAsia" w:ascii="仿宋" w:hAnsi="仿宋" w:eastAsia="仿宋" w:cs="仿宋"/>
              </w:rPr>
              <w:t>项目名称</w:t>
            </w:r>
          </w:p>
        </w:tc>
        <w:tc>
          <w:tcPr>
            <w:tcW w:w="4422" w:type="dxa"/>
            <w:gridSpan w:val="3"/>
            <w:vAlign w:val="center"/>
          </w:tcPr>
          <w:p>
            <w:pPr>
              <w:pStyle w:val="17"/>
              <w:rPr>
                <w:rFonts w:hint="eastAsia" w:ascii="仿宋" w:hAnsi="仿宋" w:eastAsia="仿宋" w:cs="仿宋"/>
              </w:rPr>
            </w:pPr>
            <w:r>
              <w:rPr>
                <w:rFonts w:hint="eastAsia" w:ascii="仿宋" w:hAnsi="仿宋" w:eastAsia="仿宋" w:cs="仿宋"/>
              </w:rPr>
              <w:t>留守人员专项费用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rPr>
                <w:rFonts w:hint="eastAsia" w:ascii="仿宋" w:hAnsi="仿宋" w:eastAsia="仿宋" w:cs="仿宋"/>
              </w:rPr>
            </w:pPr>
            <w:r>
              <w:rPr>
                <w:rFonts w:hint="eastAsia" w:ascii="仿宋" w:hAnsi="仿宋" w:eastAsia="仿宋" w:cs="仿宋"/>
              </w:rPr>
              <w:t>预算规模及资金用途</w:t>
            </w:r>
          </w:p>
        </w:tc>
        <w:tc>
          <w:tcPr>
            <w:tcW w:w="1276" w:type="dxa"/>
            <w:vAlign w:val="center"/>
          </w:tcPr>
          <w:p>
            <w:pPr>
              <w:pStyle w:val="16"/>
              <w:rPr>
                <w:rFonts w:hint="eastAsia" w:ascii="仿宋" w:hAnsi="仿宋" w:eastAsia="仿宋" w:cs="仿宋"/>
              </w:rPr>
            </w:pPr>
            <w:r>
              <w:rPr>
                <w:rFonts w:hint="eastAsia" w:ascii="仿宋" w:hAnsi="仿宋" w:eastAsia="仿宋" w:cs="仿宋"/>
              </w:rPr>
              <w:t>预算数</w:t>
            </w:r>
          </w:p>
        </w:tc>
        <w:tc>
          <w:tcPr>
            <w:tcW w:w="1332" w:type="dxa"/>
            <w:vAlign w:val="center"/>
          </w:tcPr>
          <w:p>
            <w:pPr>
              <w:pStyle w:val="17"/>
              <w:rPr>
                <w:rFonts w:hint="eastAsia" w:ascii="仿宋" w:hAnsi="仿宋" w:eastAsia="仿宋" w:cs="仿宋"/>
              </w:rPr>
            </w:pPr>
            <w:r>
              <w:rPr>
                <w:rFonts w:hint="eastAsia" w:ascii="仿宋" w:hAnsi="仿宋" w:eastAsia="仿宋" w:cs="仿宋"/>
              </w:rPr>
              <w:t>4.92</w:t>
            </w:r>
          </w:p>
        </w:tc>
        <w:tc>
          <w:tcPr>
            <w:tcW w:w="1587" w:type="dxa"/>
            <w:vAlign w:val="center"/>
          </w:tcPr>
          <w:p>
            <w:pPr>
              <w:pStyle w:val="16"/>
              <w:rPr>
                <w:rFonts w:hint="eastAsia" w:ascii="仿宋" w:hAnsi="仿宋" w:eastAsia="仿宋" w:cs="仿宋"/>
              </w:rPr>
            </w:pPr>
            <w:r>
              <w:rPr>
                <w:rFonts w:hint="eastAsia" w:ascii="仿宋" w:hAnsi="仿宋" w:eastAsia="仿宋" w:cs="仿宋"/>
              </w:rPr>
              <w:t>其中：财政    资金</w:t>
            </w:r>
          </w:p>
        </w:tc>
        <w:tc>
          <w:tcPr>
            <w:tcW w:w="1304" w:type="dxa"/>
            <w:vAlign w:val="center"/>
          </w:tcPr>
          <w:p>
            <w:pPr>
              <w:pStyle w:val="17"/>
              <w:rPr>
                <w:rFonts w:hint="eastAsia" w:ascii="仿宋" w:hAnsi="仿宋" w:eastAsia="仿宋" w:cs="仿宋"/>
              </w:rPr>
            </w:pPr>
            <w:r>
              <w:rPr>
                <w:rFonts w:hint="eastAsia" w:ascii="仿宋" w:hAnsi="仿宋" w:eastAsia="仿宋" w:cs="仿宋"/>
              </w:rPr>
              <w:t>4.92</w:t>
            </w:r>
          </w:p>
        </w:tc>
        <w:tc>
          <w:tcPr>
            <w:tcW w:w="1276" w:type="dxa"/>
            <w:vAlign w:val="center"/>
          </w:tcPr>
          <w:p>
            <w:pPr>
              <w:pStyle w:val="16"/>
              <w:rPr>
                <w:rFonts w:hint="eastAsia" w:ascii="仿宋" w:hAnsi="仿宋" w:eastAsia="仿宋" w:cs="仿宋"/>
              </w:rPr>
            </w:pPr>
            <w:r>
              <w:rPr>
                <w:rFonts w:hint="eastAsia" w:ascii="仿宋" w:hAnsi="仿宋" w:eastAsia="仿宋" w:cs="仿宋"/>
              </w:rPr>
              <w:t>其他资金</w:t>
            </w:r>
          </w:p>
        </w:tc>
        <w:tc>
          <w:tcPr>
            <w:tcW w:w="1843" w:type="dxa"/>
            <w:vAlign w:val="center"/>
          </w:tcPr>
          <w:p>
            <w:pPr>
              <w:pStyle w:val="17"/>
              <w:rPr>
                <w:rFonts w:hint="eastAsia" w:ascii="仿宋" w:hAnsi="仿宋" w:eastAsia="仿宋" w:cs="仿宋"/>
              </w:rPr>
            </w:pPr>
            <w:r>
              <w:rPr>
                <w:rFonts w:hint="eastAsia" w:ascii="仿宋" w:hAnsi="仿宋" w:eastAsia="仿宋" w:cs="仿宋"/>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eastAsia" w:ascii="仿宋" w:hAnsi="仿宋" w:eastAsia="仿宋" w:cs="仿宋"/>
              </w:rPr>
            </w:pPr>
          </w:p>
        </w:tc>
        <w:tc>
          <w:tcPr>
            <w:tcW w:w="8617" w:type="dxa"/>
            <w:gridSpan w:val="6"/>
            <w:vAlign w:val="center"/>
          </w:tcPr>
          <w:p>
            <w:pPr>
              <w:pStyle w:val="17"/>
              <w:rPr>
                <w:rFonts w:hint="eastAsia" w:ascii="仿宋" w:hAnsi="仿宋" w:eastAsia="仿宋" w:cs="仿宋"/>
              </w:rPr>
            </w:pPr>
            <w:r>
              <w:rPr>
                <w:rFonts w:hint="eastAsia" w:ascii="华文中宋" w:hAnsi="华文中宋" w:eastAsia="华文中宋" w:cs="华文中宋"/>
              </w:rPr>
              <w:t>专项用于为留守人员缴纳各项保险，发放工资补助。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6"/>
              <w:rPr>
                <w:rFonts w:hint="eastAsia" w:ascii="仿宋" w:hAnsi="仿宋" w:eastAsia="仿宋" w:cs="仿宋"/>
              </w:rPr>
            </w:pPr>
            <w:r>
              <w:rPr>
                <w:rFonts w:hint="eastAsia" w:ascii="仿宋" w:hAnsi="仿宋" w:eastAsia="仿宋" w:cs="仿宋"/>
              </w:rPr>
              <w:t>资金支出计划（%）</w:t>
            </w:r>
          </w:p>
        </w:tc>
        <w:tc>
          <w:tcPr>
            <w:tcW w:w="2608" w:type="dxa"/>
            <w:gridSpan w:val="2"/>
            <w:vAlign w:val="center"/>
          </w:tcPr>
          <w:p>
            <w:pPr>
              <w:pStyle w:val="16"/>
              <w:rPr>
                <w:rFonts w:hint="eastAsia" w:ascii="仿宋" w:hAnsi="仿宋" w:eastAsia="仿宋" w:cs="仿宋"/>
              </w:rPr>
            </w:pPr>
            <w:r>
              <w:rPr>
                <w:rFonts w:hint="eastAsia" w:ascii="仿宋" w:hAnsi="仿宋" w:eastAsia="仿宋" w:cs="仿宋"/>
              </w:rPr>
              <w:t>3月底</w:t>
            </w:r>
          </w:p>
        </w:tc>
        <w:tc>
          <w:tcPr>
            <w:tcW w:w="1587" w:type="dxa"/>
            <w:vAlign w:val="center"/>
          </w:tcPr>
          <w:p>
            <w:pPr>
              <w:pStyle w:val="16"/>
              <w:rPr>
                <w:rFonts w:hint="eastAsia" w:ascii="仿宋" w:hAnsi="仿宋" w:eastAsia="仿宋" w:cs="仿宋"/>
              </w:rPr>
            </w:pPr>
            <w:r>
              <w:rPr>
                <w:rFonts w:hint="eastAsia" w:ascii="仿宋" w:hAnsi="仿宋" w:eastAsia="仿宋" w:cs="仿宋"/>
              </w:rPr>
              <w:t>6月底</w:t>
            </w:r>
          </w:p>
        </w:tc>
        <w:tc>
          <w:tcPr>
            <w:tcW w:w="1304" w:type="dxa"/>
            <w:vAlign w:val="center"/>
          </w:tcPr>
          <w:p>
            <w:pPr>
              <w:pStyle w:val="16"/>
              <w:rPr>
                <w:rFonts w:hint="eastAsia" w:ascii="仿宋" w:hAnsi="仿宋" w:eastAsia="仿宋" w:cs="仿宋"/>
              </w:rPr>
            </w:pPr>
            <w:r>
              <w:rPr>
                <w:rFonts w:hint="eastAsia" w:ascii="仿宋" w:hAnsi="仿宋" w:eastAsia="仿宋" w:cs="仿宋"/>
              </w:rPr>
              <w:t>10月底</w:t>
            </w:r>
          </w:p>
        </w:tc>
        <w:tc>
          <w:tcPr>
            <w:tcW w:w="3118" w:type="dxa"/>
            <w:gridSpan w:val="2"/>
            <w:vAlign w:val="center"/>
          </w:tcPr>
          <w:p>
            <w:pPr>
              <w:pStyle w:val="16"/>
              <w:rPr>
                <w:rFonts w:hint="eastAsia" w:ascii="仿宋" w:hAnsi="仿宋" w:eastAsia="仿宋" w:cs="仿宋"/>
              </w:rPr>
            </w:pPr>
            <w:r>
              <w:rPr>
                <w:rFonts w:hint="eastAsia" w:ascii="仿宋" w:hAnsi="仿宋" w:eastAsia="仿宋" w:cs="仿宋"/>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rFonts w:hint="eastAsia" w:ascii="仿宋" w:hAnsi="仿宋" w:eastAsia="仿宋" w:cs="仿宋"/>
              </w:rPr>
            </w:pPr>
          </w:p>
        </w:tc>
        <w:tc>
          <w:tcPr>
            <w:tcW w:w="2608" w:type="dxa"/>
            <w:gridSpan w:val="2"/>
            <w:vAlign w:val="center"/>
          </w:tcPr>
          <w:p>
            <w:pPr>
              <w:pStyle w:val="18"/>
              <w:rPr>
                <w:rFonts w:hint="eastAsia" w:ascii="仿宋" w:hAnsi="仿宋" w:eastAsia="仿宋" w:cs="仿宋"/>
              </w:rPr>
            </w:pPr>
            <w:r>
              <w:rPr>
                <w:rFonts w:hint="eastAsia" w:ascii="仿宋" w:hAnsi="仿宋" w:eastAsia="仿宋" w:cs="仿宋"/>
              </w:rPr>
              <w:t>25%</w:t>
            </w:r>
          </w:p>
        </w:tc>
        <w:tc>
          <w:tcPr>
            <w:tcW w:w="1587" w:type="dxa"/>
            <w:vAlign w:val="center"/>
          </w:tcPr>
          <w:p>
            <w:pPr>
              <w:pStyle w:val="18"/>
              <w:rPr>
                <w:rFonts w:hint="eastAsia" w:ascii="仿宋" w:hAnsi="仿宋" w:eastAsia="仿宋" w:cs="仿宋"/>
              </w:rPr>
            </w:pPr>
            <w:r>
              <w:rPr>
                <w:rFonts w:hint="eastAsia" w:ascii="仿宋" w:hAnsi="仿宋" w:eastAsia="仿宋" w:cs="仿宋"/>
              </w:rPr>
              <w:t>50%</w:t>
            </w:r>
          </w:p>
        </w:tc>
        <w:tc>
          <w:tcPr>
            <w:tcW w:w="1304" w:type="dxa"/>
            <w:vAlign w:val="center"/>
          </w:tcPr>
          <w:p>
            <w:pPr>
              <w:pStyle w:val="18"/>
              <w:rPr>
                <w:rFonts w:hint="eastAsia" w:ascii="仿宋" w:hAnsi="仿宋" w:eastAsia="仿宋" w:cs="仿宋"/>
              </w:rPr>
            </w:pPr>
            <w:r>
              <w:rPr>
                <w:rFonts w:hint="eastAsia" w:ascii="仿宋" w:hAnsi="仿宋" w:eastAsia="仿宋" w:cs="仿宋"/>
              </w:rPr>
              <w:t>75%</w:t>
            </w:r>
          </w:p>
        </w:tc>
        <w:tc>
          <w:tcPr>
            <w:tcW w:w="3118" w:type="dxa"/>
            <w:gridSpan w:val="2"/>
            <w:vAlign w:val="center"/>
          </w:tcPr>
          <w:p>
            <w:pPr>
              <w:pStyle w:val="18"/>
              <w:rPr>
                <w:rFonts w:hint="eastAsia" w:ascii="仿宋" w:hAnsi="仿宋" w:eastAsia="仿宋" w:cs="仿宋"/>
              </w:rPr>
            </w:pPr>
            <w:r>
              <w:rPr>
                <w:rFonts w:hint="eastAsia" w:ascii="仿宋" w:hAnsi="仿宋" w:eastAsia="仿宋" w:cs="仿宋"/>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6"/>
              <w:rPr>
                <w:rFonts w:hint="eastAsia" w:ascii="仿宋" w:hAnsi="仿宋" w:eastAsia="仿宋" w:cs="仿宋"/>
              </w:rPr>
            </w:pPr>
            <w:r>
              <w:rPr>
                <w:rFonts w:hint="eastAsia" w:ascii="仿宋" w:hAnsi="仿宋" w:eastAsia="仿宋" w:cs="仿宋"/>
              </w:rPr>
              <w:t>绩效目标</w:t>
            </w:r>
          </w:p>
        </w:tc>
        <w:tc>
          <w:tcPr>
            <w:tcW w:w="8617" w:type="dxa"/>
            <w:gridSpan w:val="6"/>
            <w:vAlign w:val="center"/>
          </w:tcPr>
          <w:p>
            <w:pPr>
              <w:pStyle w:val="17"/>
              <w:rPr>
                <w:rFonts w:hint="eastAsia" w:ascii="仿宋" w:hAnsi="仿宋" w:eastAsia="仿宋" w:cs="仿宋"/>
              </w:rPr>
            </w:pPr>
            <w:r>
              <w:rPr>
                <w:rFonts w:hint="eastAsia" w:ascii="仿宋" w:hAnsi="仿宋" w:eastAsia="仿宋" w:cs="仿宋"/>
              </w:rPr>
              <w:t>1.妥善处理企业改制遗留问题，防止国有资产流失，保护国有资产安全。</w:t>
            </w:r>
          </w:p>
          <w:p>
            <w:pPr>
              <w:pStyle w:val="17"/>
              <w:rPr>
                <w:rFonts w:hint="eastAsia" w:ascii="仿宋" w:hAnsi="仿宋" w:eastAsia="仿宋" w:cs="仿宋"/>
              </w:rPr>
            </w:pPr>
            <w:r>
              <w:rPr>
                <w:rFonts w:hint="eastAsia" w:ascii="仿宋" w:hAnsi="仿宋" w:eastAsia="仿宋" w:cs="仿宋"/>
              </w:rPr>
              <w:t>2.发放3名留守人员工资补助，缴纳各项社会保险。</w:t>
            </w:r>
          </w:p>
          <w:p>
            <w:pPr>
              <w:pStyle w:val="17"/>
              <w:rPr>
                <w:rFonts w:hint="eastAsia" w:ascii="仿宋" w:hAnsi="仿宋" w:eastAsia="仿宋" w:cs="仿宋"/>
              </w:rPr>
            </w:pPr>
            <w:r>
              <w:rPr>
                <w:rFonts w:hint="eastAsia" w:ascii="仿宋" w:hAnsi="仿宋" w:eastAsia="仿宋" w:cs="仿宋"/>
              </w:rPr>
              <w:t>3.按时间进度发放工资补助，缴纳各项社会保险，2022年12月份完成全部支出。</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6"/>
              <w:rPr>
                <w:rFonts w:hint="eastAsia" w:ascii="仿宋" w:hAnsi="仿宋" w:eastAsia="仿宋" w:cs="仿宋"/>
              </w:rPr>
            </w:pPr>
            <w:r>
              <w:rPr>
                <w:rFonts w:hint="eastAsia" w:ascii="仿宋" w:hAnsi="仿宋" w:eastAsia="仿宋" w:cs="仿宋"/>
              </w:rPr>
              <w:t>一级指标</w:t>
            </w:r>
          </w:p>
        </w:tc>
        <w:tc>
          <w:tcPr>
            <w:tcW w:w="1276" w:type="dxa"/>
            <w:vAlign w:val="center"/>
          </w:tcPr>
          <w:p>
            <w:pPr>
              <w:pStyle w:val="16"/>
              <w:rPr>
                <w:rFonts w:hint="eastAsia" w:ascii="仿宋" w:hAnsi="仿宋" w:eastAsia="仿宋" w:cs="仿宋"/>
              </w:rPr>
            </w:pPr>
            <w:r>
              <w:rPr>
                <w:rFonts w:hint="eastAsia" w:ascii="仿宋" w:hAnsi="仿宋" w:eastAsia="仿宋" w:cs="仿宋"/>
              </w:rPr>
              <w:t>二级指标</w:t>
            </w:r>
          </w:p>
        </w:tc>
        <w:tc>
          <w:tcPr>
            <w:tcW w:w="1332" w:type="dxa"/>
            <w:vAlign w:val="center"/>
          </w:tcPr>
          <w:p>
            <w:pPr>
              <w:pStyle w:val="16"/>
              <w:rPr>
                <w:rFonts w:hint="eastAsia" w:ascii="仿宋" w:hAnsi="仿宋" w:eastAsia="仿宋" w:cs="仿宋"/>
              </w:rPr>
            </w:pPr>
            <w:r>
              <w:rPr>
                <w:rFonts w:hint="eastAsia" w:ascii="仿宋" w:hAnsi="仿宋" w:eastAsia="仿宋" w:cs="仿宋"/>
              </w:rPr>
              <w:t>三级指标</w:t>
            </w:r>
          </w:p>
        </w:tc>
        <w:tc>
          <w:tcPr>
            <w:tcW w:w="2891" w:type="dxa"/>
            <w:vAlign w:val="center"/>
          </w:tcPr>
          <w:p>
            <w:pPr>
              <w:pStyle w:val="16"/>
              <w:rPr>
                <w:rFonts w:hint="eastAsia" w:ascii="仿宋" w:hAnsi="仿宋" w:eastAsia="仿宋" w:cs="仿宋"/>
              </w:rPr>
            </w:pPr>
            <w:r>
              <w:rPr>
                <w:rFonts w:hint="eastAsia" w:ascii="仿宋" w:hAnsi="仿宋" w:eastAsia="仿宋" w:cs="仿宋"/>
              </w:rPr>
              <w:t>绩效指标描述</w:t>
            </w:r>
          </w:p>
        </w:tc>
        <w:tc>
          <w:tcPr>
            <w:tcW w:w="1276" w:type="dxa"/>
            <w:vAlign w:val="center"/>
          </w:tcPr>
          <w:p>
            <w:pPr>
              <w:pStyle w:val="16"/>
              <w:rPr>
                <w:rFonts w:hint="eastAsia" w:ascii="仿宋" w:hAnsi="仿宋" w:eastAsia="仿宋" w:cs="仿宋"/>
              </w:rPr>
            </w:pPr>
            <w:r>
              <w:rPr>
                <w:rFonts w:hint="eastAsia" w:ascii="仿宋" w:hAnsi="仿宋" w:eastAsia="仿宋" w:cs="仿宋"/>
              </w:rPr>
              <w:t>指标值</w:t>
            </w:r>
          </w:p>
        </w:tc>
        <w:tc>
          <w:tcPr>
            <w:tcW w:w="1843" w:type="dxa"/>
            <w:vAlign w:val="center"/>
          </w:tcPr>
          <w:p>
            <w:pPr>
              <w:pStyle w:val="16"/>
              <w:rPr>
                <w:rFonts w:hint="eastAsia" w:ascii="仿宋" w:hAnsi="仿宋" w:eastAsia="仿宋" w:cs="仿宋"/>
              </w:rPr>
            </w:pPr>
            <w:r>
              <w:rPr>
                <w:rFonts w:hint="eastAsia" w:ascii="仿宋" w:hAnsi="仿宋" w:eastAsia="仿宋" w:cs="仿宋"/>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hint="eastAsia" w:ascii="仿宋" w:hAnsi="仿宋" w:eastAsia="仿宋" w:cs="仿宋"/>
              </w:rPr>
            </w:pPr>
            <w:r>
              <w:rPr>
                <w:rFonts w:hint="eastAsia" w:ascii="仿宋" w:hAnsi="仿宋" w:eastAsia="仿宋" w:cs="仿宋"/>
              </w:rPr>
              <w:t>产出指标</w:t>
            </w:r>
          </w:p>
        </w:tc>
        <w:tc>
          <w:tcPr>
            <w:tcW w:w="1276" w:type="dxa"/>
            <w:vAlign w:val="center"/>
          </w:tcPr>
          <w:p>
            <w:pPr>
              <w:pStyle w:val="17"/>
              <w:rPr>
                <w:rFonts w:hint="eastAsia" w:ascii="仿宋" w:hAnsi="仿宋" w:eastAsia="仿宋" w:cs="仿宋"/>
              </w:rPr>
            </w:pPr>
            <w:r>
              <w:rPr>
                <w:rFonts w:hint="eastAsia" w:ascii="仿宋" w:hAnsi="仿宋" w:eastAsia="仿宋" w:cs="仿宋"/>
              </w:rPr>
              <w:t>数量指标</w:t>
            </w:r>
          </w:p>
        </w:tc>
        <w:tc>
          <w:tcPr>
            <w:tcW w:w="1332" w:type="dxa"/>
            <w:vAlign w:val="center"/>
          </w:tcPr>
          <w:p>
            <w:pPr>
              <w:pStyle w:val="17"/>
              <w:rPr>
                <w:rFonts w:hint="eastAsia" w:ascii="仿宋" w:hAnsi="仿宋" w:eastAsia="仿宋" w:cs="仿宋"/>
              </w:rPr>
            </w:pPr>
            <w:r>
              <w:rPr>
                <w:rFonts w:hint="eastAsia" w:ascii="仿宋" w:hAnsi="仿宋" w:eastAsia="仿宋" w:cs="仿宋"/>
              </w:rPr>
              <w:t>留守人员数量</w:t>
            </w:r>
          </w:p>
        </w:tc>
        <w:tc>
          <w:tcPr>
            <w:tcW w:w="2891" w:type="dxa"/>
            <w:vAlign w:val="center"/>
          </w:tcPr>
          <w:p>
            <w:pPr>
              <w:pStyle w:val="17"/>
              <w:rPr>
                <w:rFonts w:hint="eastAsia" w:ascii="仿宋" w:hAnsi="仿宋" w:eastAsia="仿宋" w:cs="仿宋"/>
              </w:rPr>
            </w:pPr>
            <w:r>
              <w:rPr>
                <w:rFonts w:hint="eastAsia" w:ascii="仿宋" w:hAnsi="仿宋" w:eastAsia="仿宋" w:cs="仿宋"/>
              </w:rPr>
              <w:t>享受补助的留守人员数量</w:t>
            </w:r>
          </w:p>
        </w:tc>
        <w:tc>
          <w:tcPr>
            <w:tcW w:w="1276" w:type="dxa"/>
            <w:vAlign w:val="center"/>
          </w:tcPr>
          <w:p>
            <w:pPr>
              <w:pStyle w:val="17"/>
              <w:rPr>
                <w:rFonts w:hint="eastAsia" w:ascii="仿宋" w:hAnsi="仿宋" w:eastAsia="仿宋" w:cs="仿宋"/>
              </w:rPr>
            </w:pPr>
            <w:r>
              <w:rPr>
                <w:rFonts w:hint="eastAsia" w:ascii="仿宋" w:hAnsi="仿宋" w:eastAsia="仿宋" w:cs="仿宋"/>
              </w:rPr>
              <w:t>3人</w:t>
            </w:r>
          </w:p>
        </w:tc>
        <w:tc>
          <w:tcPr>
            <w:tcW w:w="1843" w:type="dxa"/>
            <w:vAlign w:val="center"/>
          </w:tcPr>
          <w:p>
            <w:pPr>
              <w:pStyle w:val="17"/>
              <w:rPr>
                <w:rFonts w:hint="eastAsia" w:ascii="仿宋" w:hAnsi="仿宋" w:eastAsia="仿宋" w:cs="仿宋"/>
              </w:rPr>
            </w:pPr>
            <w:r>
              <w:rPr>
                <w:rFonts w:hint="eastAsia" w:ascii="仿宋" w:hAnsi="仿宋" w:eastAsia="仿宋" w:cs="仿宋"/>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rFonts w:hint="eastAsia" w:ascii="仿宋" w:hAnsi="仿宋" w:eastAsia="仿宋" w:cs="仿宋"/>
              </w:rPr>
            </w:pPr>
          </w:p>
        </w:tc>
        <w:tc>
          <w:tcPr>
            <w:tcW w:w="1276" w:type="dxa"/>
            <w:vAlign w:val="center"/>
          </w:tcPr>
          <w:p>
            <w:pPr>
              <w:pStyle w:val="17"/>
              <w:rPr>
                <w:rFonts w:hint="eastAsia" w:ascii="仿宋" w:hAnsi="仿宋" w:eastAsia="仿宋" w:cs="仿宋"/>
              </w:rPr>
            </w:pPr>
            <w:r>
              <w:rPr>
                <w:rFonts w:hint="eastAsia" w:ascii="仿宋" w:hAnsi="仿宋" w:eastAsia="仿宋" w:cs="仿宋"/>
              </w:rPr>
              <w:t>质量指标</w:t>
            </w:r>
          </w:p>
        </w:tc>
        <w:tc>
          <w:tcPr>
            <w:tcW w:w="1332" w:type="dxa"/>
            <w:vAlign w:val="center"/>
          </w:tcPr>
          <w:p>
            <w:pPr>
              <w:pStyle w:val="17"/>
              <w:rPr>
                <w:rFonts w:hint="eastAsia" w:ascii="仿宋" w:hAnsi="仿宋" w:eastAsia="仿宋" w:cs="仿宋"/>
              </w:rPr>
            </w:pPr>
            <w:r>
              <w:rPr>
                <w:rFonts w:hint="eastAsia" w:ascii="仿宋" w:hAnsi="仿宋" w:eastAsia="仿宋" w:cs="仿宋"/>
              </w:rPr>
              <w:t>补助覆盖率</w:t>
            </w:r>
          </w:p>
        </w:tc>
        <w:tc>
          <w:tcPr>
            <w:tcW w:w="2891" w:type="dxa"/>
            <w:vAlign w:val="center"/>
          </w:tcPr>
          <w:p>
            <w:pPr>
              <w:pStyle w:val="17"/>
              <w:rPr>
                <w:rFonts w:hint="eastAsia" w:ascii="仿宋" w:hAnsi="仿宋" w:eastAsia="仿宋" w:cs="仿宋"/>
              </w:rPr>
            </w:pPr>
            <w:r>
              <w:rPr>
                <w:rFonts w:hint="eastAsia" w:ascii="仿宋" w:hAnsi="仿宋" w:eastAsia="仿宋" w:cs="仿宋"/>
              </w:rPr>
              <w:t>项目资金支出相关人数占项目总人数的比重</w:t>
            </w:r>
          </w:p>
        </w:tc>
        <w:tc>
          <w:tcPr>
            <w:tcW w:w="1276" w:type="dxa"/>
            <w:vAlign w:val="center"/>
          </w:tcPr>
          <w:p>
            <w:pPr>
              <w:pStyle w:val="17"/>
              <w:rPr>
                <w:rFonts w:hint="eastAsia" w:ascii="仿宋" w:hAnsi="仿宋" w:eastAsia="仿宋" w:cs="仿宋"/>
              </w:rPr>
            </w:pPr>
            <w:r>
              <w:rPr>
                <w:rFonts w:hint="eastAsia" w:ascii="仿宋" w:hAnsi="仿宋" w:eastAsia="仿宋" w:cs="仿宋"/>
              </w:rPr>
              <w:t>≥95%</w:t>
            </w:r>
          </w:p>
        </w:tc>
        <w:tc>
          <w:tcPr>
            <w:tcW w:w="1843" w:type="dxa"/>
            <w:vAlign w:val="center"/>
          </w:tcPr>
          <w:p>
            <w:pPr>
              <w:pStyle w:val="17"/>
              <w:rPr>
                <w:rFonts w:hint="eastAsia" w:ascii="仿宋" w:hAnsi="仿宋" w:eastAsia="仿宋" w:cs="仿宋"/>
              </w:rPr>
            </w:pPr>
            <w:r>
              <w:rPr>
                <w:rFonts w:hint="eastAsia" w:ascii="仿宋" w:hAnsi="仿宋" w:eastAsia="仿宋" w:cs="仿宋"/>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rFonts w:hint="eastAsia" w:ascii="仿宋" w:hAnsi="仿宋" w:eastAsia="仿宋" w:cs="仿宋"/>
              </w:rPr>
            </w:pPr>
          </w:p>
        </w:tc>
        <w:tc>
          <w:tcPr>
            <w:tcW w:w="1276" w:type="dxa"/>
            <w:vAlign w:val="center"/>
          </w:tcPr>
          <w:p>
            <w:pPr>
              <w:pStyle w:val="17"/>
              <w:rPr>
                <w:rFonts w:hint="eastAsia" w:ascii="仿宋" w:hAnsi="仿宋" w:eastAsia="仿宋" w:cs="仿宋"/>
              </w:rPr>
            </w:pPr>
            <w:r>
              <w:rPr>
                <w:rFonts w:hint="eastAsia" w:ascii="仿宋" w:hAnsi="仿宋" w:eastAsia="仿宋" w:cs="仿宋"/>
              </w:rPr>
              <w:t>时效指标</w:t>
            </w:r>
          </w:p>
        </w:tc>
        <w:tc>
          <w:tcPr>
            <w:tcW w:w="1332" w:type="dxa"/>
            <w:vAlign w:val="center"/>
          </w:tcPr>
          <w:p>
            <w:pPr>
              <w:pStyle w:val="17"/>
              <w:rPr>
                <w:rFonts w:hint="eastAsia" w:ascii="仿宋" w:hAnsi="仿宋" w:eastAsia="仿宋" w:cs="仿宋"/>
              </w:rPr>
            </w:pPr>
            <w:r>
              <w:rPr>
                <w:rFonts w:hint="eastAsia" w:ascii="仿宋" w:hAnsi="仿宋" w:eastAsia="仿宋" w:cs="仿宋"/>
              </w:rPr>
              <w:t>补助及时性</w:t>
            </w:r>
          </w:p>
        </w:tc>
        <w:tc>
          <w:tcPr>
            <w:tcW w:w="2891" w:type="dxa"/>
            <w:vAlign w:val="center"/>
          </w:tcPr>
          <w:p>
            <w:pPr>
              <w:pStyle w:val="17"/>
              <w:rPr>
                <w:rFonts w:hint="eastAsia" w:ascii="仿宋" w:hAnsi="仿宋" w:eastAsia="仿宋" w:cs="仿宋"/>
              </w:rPr>
            </w:pPr>
            <w:r>
              <w:rPr>
                <w:rFonts w:hint="eastAsia" w:ascii="仿宋" w:hAnsi="仿宋" w:eastAsia="仿宋" w:cs="仿宋"/>
              </w:rPr>
              <w:t>按照时间进度要求和计划完成项目进度</w:t>
            </w:r>
          </w:p>
        </w:tc>
        <w:tc>
          <w:tcPr>
            <w:tcW w:w="1276" w:type="dxa"/>
            <w:vAlign w:val="center"/>
          </w:tcPr>
          <w:p>
            <w:pPr>
              <w:pStyle w:val="17"/>
              <w:rPr>
                <w:rFonts w:hint="eastAsia" w:ascii="仿宋" w:hAnsi="仿宋" w:eastAsia="仿宋" w:cs="仿宋"/>
              </w:rPr>
            </w:pPr>
            <w:r>
              <w:rPr>
                <w:rFonts w:hint="eastAsia" w:ascii="仿宋" w:hAnsi="仿宋" w:eastAsia="仿宋" w:cs="仿宋"/>
              </w:rPr>
              <w:t>≥95%</w:t>
            </w:r>
          </w:p>
        </w:tc>
        <w:tc>
          <w:tcPr>
            <w:tcW w:w="1843" w:type="dxa"/>
            <w:vAlign w:val="center"/>
          </w:tcPr>
          <w:p>
            <w:pPr>
              <w:pStyle w:val="17"/>
              <w:rPr>
                <w:rFonts w:hint="eastAsia" w:ascii="仿宋" w:hAnsi="仿宋" w:eastAsia="仿宋" w:cs="仿宋"/>
              </w:rPr>
            </w:pPr>
            <w:r>
              <w:rPr>
                <w:rFonts w:hint="eastAsia" w:ascii="仿宋" w:hAnsi="仿宋" w:eastAsia="仿宋" w:cs="仿宋"/>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rFonts w:hint="eastAsia" w:ascii="仿宋" w:hAnsi="仿宋" w:eastAsia="仿宋" w:cs="仿宋"/>
              </w:rPr>
            </w:pPr>
          </w:p>
        </w:tc>
        <w:tc>
          <w:tcPr>
            <w:tcW w:w="1276" w:type="dxa"/>
            <w:vAlign w:val="center"/>
          </w:tcPr>
          <w:p>
            <w:pPr>
              <w:pStyle w:val="17"/>
              <w:rPr>
                <w:rFonts w:hint="eastAsia" w:ascii="仿宋" w:hAnsi="仿宋" w:eastAsia="仿宋" w:cs="仿宋"/>
              </w:rPr>
            </w:pPr>
            <w:r>
              <w:rPr>
                <w:rFonts w:hint="eastAsia" w:ascii="仿宋" w:hAnsi="仿宋" w:eastAsia="仿宋" w:cs="仿宋"/>
              </w:rPr>
              <w:t>成本指标</w:t>
            </w:r>
          </w:p>
        </w:tc>
        <w:tc>
          <w:tcPr>
            <w:tcW w:w="1332" w:type="dxa"/>
            <w:vAlign w:val="center"/>
          </w:tcPr>
          <w:p>
            <w:pPr>
              <w:pStyle w:val="17"/>
              <w:rPr>
                <w:rFonts w:hint="eastAsia" w:ascii="仿宋" w:hAnsi="仿宋" w:eastAsia="仿宋" w:cs="仿宋"/>
              </w:rPr>
            </w:pPr>
            <w:r>
              <w:rPr>
                <w:rFonts w:hint="eastAsia" w:ascii="仿宋" w:hAnsi="仿宋" w:eastAsia="仿宋" w:cs="仿宋"/>
              </w:rPr>
              <w:t>补助金额</w:t>
            </w:r>
          </w:p>
        </w:tc>
        <w:tc>
          <w:tcPr>
            <w:tcW w:w="2891" w:type="dxa"/>
            <w:vAlign w:val="center"/>
          </w:tcPr>
          <w:p>
            <w:pPr>
              <w:pStyle w:val="17"/>
              <w:rPr>
                <w:rFonts w:hint="eastAsia" w:ascii="仿宋" w:hAnsi="仿宋" w:eastAsia="仿宋" w:cs="仿宋"/>
              </w:rPr>
            </w:pPr>
            <w:r>
              <w:rPr>
                <w:rFonts w:hint="eastAsia" w:ascii="仿宋" w:hAnsi="仿宋" w:eastAsia="仿宋" w:cs="仿宋"/>
              </w:rPr>
              <w:t>按政策标准进行补助</w:t>
            </w:r>
          </w:p>
        </w:tc>
        <w:tc>
          <w:tcPr>
            <w:tcW w:w="1276" w:type="dxa"/>
            <w:vAlign w:val="center"/>
          </w:tcPr>
          <w:p>
            <w:pPr>
              <w:pStyle w:val="17"/>
              <w:rPr>
                <w:rFonts w:hint="eastAsia" w:ascii="仿宋" w:hAnsi="仿宋" w:eastAsia="仿宋" w:cs="仿宋"/>
              </w:rPr>
            </w:pPr>
            <w:r>
              <w:rPr>
                <w:rFonts w:hint="eastAsia" w:ascii="仿宋" w:hAnsi="仿宋" w:eastAsia="仿宋" w:cs="仿宋"/>
              </w:rPr>
              <w:t>100%</w:t>
            </w:r>
          </w:p>
        </w:tc>
        <w:tc>
          <w:tcPr>
            <w:tcW w:w="1843" w:type="dxa"/>
            <w:vAlign w:val="center"/>
          </w:tcPr>
          <w:p>
            <w:pPr>
              <w:pStyle w:val="17"/>
              <w:rPr>
                <w:rFonts w:hint="eastAsia" w:ascii="仿宋" w:hAnsi="仿宋" w:eastAsia="仿宋" w:cs="仿宋"/>
              </w:rPr>
            </w:pPr>
            <w:r>
              <w:rPr>
                <w:rFonts w:hint="eastAsia" w:ascii="仿宋" w:hAnsi="仿宋" w:eastAsia="仿宋" w:cs="仿宋"/>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rPr>
                <w:rFonts w:hint="eastAsia" w:ascii="仿宋" w:hAnsi="仿宋" w:eastAsia="仿宋" w:cs="仿宋"/>
              </w:rPr>
            </w:pPr>
            <w:r>
              <w:rPr>
                <w:rFonts w:hint="eastAsia" w:ascii="仿宋" w:hAnsi="仿宋" w:eastAsia="仿宋" w:cs="仿宋"/>
              </w:rPr>
              <w:t>效益指标</w:t>
            </w:r>
          </w:p>
        </w:tc>
        <w:tc>
          <w:tcPr>
            <w:tcW w:w="1276" w:type="dxa"/>
            <w:vAlign w:val="center"/>
          </w:tcPr>
          <w:p>
            <w:pPr>
              <w:pStyle w:val="17"/>
              <w:rPr>
                <w:rFonts w:hint="eastAsia" w:ascii="仿宋" w:hAnsi="仿宋" w:eastAsia="仿宋" w:cs="仿宋"/>
              </w:rPr>
            </w:pPr>
            <w:r>
              <w:rPr>
                <w:rFonts w:hint="eastAsia" w:ascii="仿宋" w:hAnsi="仿宋" w:eastAsia="仿宋" w:cs="仿宋"/>
              </w:rPr>
              <w:t>社会效益指标</w:t>
            </w:r>
          </w:p>
        </w:tc>
        <w:tc>
          <w:tcPr>
            <w:tcW w:w="1332" w:type="dxa"/>
            <w:vAlign w:val="center"/>
          </w:tcPr>
          <w:p>
            <w:pPr>
              <w:pStyle w:val="17"/>
              <w:rPr>
                <w:rFonts w:hint="eastAsia" w:ascii="仿宋" w:hAnsi="仿宋" w:eastAsia="仿宋" w:cs="仿宋"/>
              </w:rPr>
            </w:pPr>
            <w:r>
              <w:rPr>
                <w:rFonts w:hint="eastAsia" w:ascii="仿宋" w:hAnsi="仿宋" w:eastAsia="仿宋" w:cs="仿宋"/>
              </w:rPr>
              <w:t>留守人员积极性提升程度</w:t>
            </w:r>
          </w:p>
        </w:tc>
        <w:tc>
          <w:tcPr>
            <w:tcW w:w="2891" w:type="dxa"/>
            <w:vAlign w:val="center"/>
          </w:tcPr>
          <w:p>
            <w:pPr>
              <w:pStyle w:val="17"/>
              <w:rPr>
                <w:rFonts w:hint="eastAsia" w:ascii="仿宋" w:hAnsi="仿宋" w:eastAsia="仿宋" w:cs="仿宋"/>
              </w:rPr>
            </w:pPr>
            <w:r>
              <w:rPr>
                <w:rFonts w:hint="eastAsia" w:ascii="仿宋" w:hAnsi="仿宋" w:eastAsia="仿宋" w:cs="仿宋"/>
              </w:rPr>
              <w:t>留守人员工作任务完成率</w:t>
            </w:r>
          </w:p>
        </w:tc>
        <w:tc>
          <w:tcPr>
            <w:tcW w:w="1276" w:type="dxa"/>
            <w:vAlign w:val="center"/>
          </w:tcPr>
          <w:p>
            <w:pPr>
              <w:pStyle w:val="17"/>
              <w:rPr>
                <w:rFonts w:hint="eastAsia" w:ascii="仿宋" w:hAnsi="仿宋" w:eastAsia="仿宋" w:cs="仿宋"/>
              </w:rPr>
            </w:pPr>
            <w:r>
              <w:rPr>
                <w:rFonts w:hint="eastAsia" w:ascii="仿宋" w:hAnsi="仿宋" w:eastAsia="仿宋" w:cs="仿宋"/>
              </w:rPr>
              <w:t>≥95%</w:t>
            </w:r>
          </w:p>
        </w:tc>
        <w:tc>
          <w:tcPr>
            <w:tcW w:w="1843" w:type="dxa"/>
            <w:vAlign w:val="center"/>
          </w:tcPr>
          <w:p>
            <w:pPr>
              <w:pStyle w:val="17"/>
              <w:rPr>
                <w:rFonts w:hint="eastAsia" w:ascii="仿宋" w:hAnsi="仿宋" w:eastAsia="仿宋" w:cs="仿宋"/>
              </w:rPr>
            </w:pPr>
            <w:r>
              <w:rPr>
                <w:rFonts w:hint="eastAsia" w:ascii="仿宋" w:hAnsi="仿宋" w:eastAsia="仿宋" w:cs="仿宋"/>
              </w:rPr>
              <w:t>依据工作要求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8"/>
              <w:rPr>
                <w:rFonts w:hint="eastAsia" w:ascii="仿宋" w:hAnsi="仿宋" w:eastAsia="仿宋" w:cs="仿宋"/>
              </w:rPr>
            </w:pPr>
            <w:r>
              <w:rPr>
                <w:rFonts w:hint="eastAsia" w:ascii="仿宋" w:hAnsi="仿宋" w:eastAsia="仿宋" w:cs="仿宋"/>
              </w:rPr>
              <w:t>满意度指标</w:t>
            </w:r>
          </w:p>
        </w:tc>
        <w:tc>
          <w:tcPr>
            <w:tcW w:w="1276" w:type="dxa"/>
            <w:vAlign w:val="center"/>
          </w:tcPr>
          <w:p>
            <w:pPr>
              <w:pStyle w:val="17"/>
              <w:rPr>
                <w:rFonts w:hint="eastAsia" w:ascii="仿宋" w:hAnsi="仿宋" w:eastAsia="仿宋" w:cs="仿宋"/>
              </w:rPr>
            </w:pPr>
            <w:r>
              <w:rPr>
                <w:rFonts w:hint="eastAsia" w:ascii="仿宋" w:hAnsi="仿宋" w:eastAsia="仿宋" w:cs="仿宋"/>
              </w:rPr>
              <w:t>服务对象满意度指标</w:t>
            </w:r>
          </w:p>
        </w:tc>
        <w:tc>
          <w:tcPr>
            <w:tcW w:w="1332" w:type="dxa"/>
            <w:vAlign w:val="center"/>
          </w:tcPr>
          <w:p>
            <w:pPr>
              <w:pStyle w:val="17"/>
              <w:rPr>
                <w:rFonts w:hint="eastAsia" w:ascii="仿宋" w:hAnsi="仿宋" w:eastAsia="仿宋" w:cs="仿宋"/>
              </w:rPr>
            </w:pPr>
            <w:r>
              <w:rPr>
                <w:rFonts w:hint="eastAsia" w:ascii="仿宋" w:hAnsi="仿宋" w:eastAsia="仿宋" w:cs="仿宋"/>
              </w:rPr>
              <w:t>留守人员满意度</w:t>
            </w:r>
          </w:p>
        </w:tc>
        <w:tc>
          <w:tcPr>
            <w:tcW w:w="2891" w:type="dxa"/>
            <w:vAlign w:val="center"/>
          </w:tcPr>
          <w:p>
            <w:pPr>
              <w:pStyle w:val="17"/>
              <w:rPr>
                <w:rFonts w:hint="eastAsia" w:ascii="仿宋" w:hAnsi="仿宋" w:eastAsia="仿宋" w:cs="仿宋"/>
              </w:rPr>
            </w:pPr>
            <w:r>
              <w:rPr>
                <w:rFonts w:hint="eastAsia" w:ascii="仿宋" w:hAnsi="仿宋" w:eastAsia="仿宋" w:cs="仿宋"/>
              </w:rPr>
              <w:t>项目涉及人员对项目实施的满意程度</w:t>
            </w:r>
          </w:p>
        </w:tc>
        <w:tc>
          <w:tcPr>
            <w:tcW w:w="1276" w:type="dxa"/>
            <w:vAlign w:val="center"/>
          </w:tcPr>
          <w:p>
            <w:pPr>
              <w:pStyle w:val="17"/>
              <w:rPr>
                <w:rFonts w:hint="eastAsia" w:ascii="仿宋" w:hAnsi="仿宋" w:eastAsia="仿宋" w:cs="仿宋"/>
              </w:rPr>
            </w:pPr>
            <w:r>
              <w:rPr>
                <w:rFonts w:hint="eastAsia" w:ascii="仿宋" w:hAnsi="仿宋" w:eastAsia="仿宋" w:cs="仿宋"/>
              </w:rPr>
              <w:t>≥95%</w:t>
            </w:r>
          </w:p>
        </w:tc>
        <w:tc>
          <w:tcPr>
            <w:tcW w:w="1843" w:type="dxa"/>
            <w:vAlign w:val="center"/>
          </w:tcPr>
          <w:p>
            <w:pPr>
              <w:pStyle w:val="17"/>
              <w:rPr>
                <w:rFonts w:hint="eastAsia" w:ascii="仿宋" w:hAnsi="仿宋" w:eastAsia="仿宋" w:cs="仿宋"/>
              </w:rPr>
            </w:pPr>
            <w:r>
              <w:rPr>
                <w:rFonts w:hint="eastAsia" w:ascii="仿宋" w:hAnsi="仿宋" w:eastAsia="仿宋" w:cs="仿宋"/>
              </w:rPr>
              <w:t>项目预期</w:t>
            </w:r>
          </w:p>
        </w:tc>
      </w:tr>
    </w:tbl>
    <w:p>
      <w:pPr>
        <w:rPr>
          <w:rFonts w:hint="eastAsia" w:ascii="仿宋" w:hAnsi="仿宋" w:eastAsia="仿宋" w:cs="仿宋"/>
        </w:rPr>
      </w:pPr>
    </w:p>
    <w:p>
      <w:pPr>
        <w:spacing w:line="360" w:lineRule="auto"/>
        <w:ind w:firstLine="640" w:firstLineChars="200"/>
        <w:rPr>
          <w:rFonts w:ascii="仿宋" w:hAnsi="仿宋" w:eastAsia="仿宋"/>
          <w:sz w:val="32"/>
          <w:szCs w:val="32"/>
        </w:rPr>
        <w:sectPr>
          <w:pgSz w:w="11907" w:h="16839"/>
          <w:pgMar w:top="1984" w:right="1304" w:bottom="1134" w:left="1304" w:header="851" w:footer="992" w:gutter="0"/>
          <w:cols w:space="425" w:num="1"/>
          <w:docGrid w:type="lines" w:linePitch="312" w:charSpace="0"/>
        </w:sectPr>
      </w:pPr>
    </w:p>
    <w:p/>
    <w:p>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pPr>
        <w:spacing w:line="360" w:lineRule="auto"/>
        <w:ind w:firstLine="640" w:firstLineChars="200"/>
        <w:rPr>
          <w:rFonts w:ascii="仿宋" w:hAnsi="仿宋" w:eastAsia="仿宋"/>
          <w:sz w:val="32"/>
          <w:szCs w:val="32"/>
        </w:rPr>
      </w:pPr>
      <w:r>
        <w:rPr>
          <w:rFonts w:ascii="仿宋" w:hAnsi="仿宋" w:eastAsia="仿宋"/>
          <w:sz w:val="32"/>
          <w:szCs w:val="32"/>
        </w:rPr>
        <w:t>202</w:t>
      </w:r>
      <w:r>
        <w:rPr>
          <w:rFonts w:hint="default" w:ascii="仿宋" w:hAnsi="仿宋" w:eastAsia="仿宋"/>
          <w:sz w:val="32"/>
          <w:szCs w:val="32"/>
          <w:lang w:val="en-US"/>
        </w:rPr>
        <w:t>2</w:t>
      </w:r>
      <w:r>
        <w:rPr>
          <w:rFonts w:ascii="仿宋" w:hAnsi="仿宋" w:eastAsia="仿宋"/>
          <w:sz w:val="32"/>
          <w:szCs w:val="32"/>
        </w:rPr>
        <w:t>年，我部门无政府采购预算，空表列示。</w:t>
      </w:r>
      <w:r>
        <w:rPr>
          <w:rFonts w:hint="eastAsia" w:ascii="仿宋" w:hAnsi="仿宋" w:eastAsia="仿宋"/>
          <w:sz w:val="32"/>
          <w:szCs w:val="32"/>
          <w:lang w:eastAsia="zh-CN"/>
        </w:rPr>
        <w:t>附部门政府采购预算表空表</w:t>
      </w:r>
      <w:r>
        <w:rPr>
          <w:rFonts w:ascii="仿宋" w:hAnsi="仿宋" w:eastAsia="仿宋"/>
          <w:sz w:val="32"/>
          <w:szCs w:val="32"/>
        </w:rPr>
        <w:t>。</w:t>
      </w:r>
    </w:p>
    <w:p>
      <w:pPr>
        <w:ind w:firstLine="640" w:firstLineChars="200"/>
        <w:jc w:val="center"/>
        <w:outlineLvl w:val="0"/>
        <w:rPr>
          <w:rFonts w:ascii="Times New Roman" w:hAnsi="宋体" w:eastAsia="宋体"/>
          <w:sz w:val="32"/>
        </w:rPr>
      </w:pPr>
      <w:r>
        <w:rPr>
          <w:rFonts w:ascii="方正小标宋_GBK" w:eastAsia="方正小标宋_GBK"/>
          <w:sz w:val="32"/>
        </w:rPr>
        <w:t>部门政府采购预算</w:t>
      </w:r>
      <w:r>
        <w:rPr>
          <w:rFonts w:ascii="方正小标宋_GBK" w:eastAsia="方正小标宋_GBK"/>
          <w:sz w:val="32"/>
        </w:rPr>
        <w:fldChar w:fldCharType="begin"/>
      </w:r>
      <w:r>
        <w:rPr>
          <w:rFonts w:ascii="方正小标宋_GBK" w:eastAsia="方正小标宋_GBK"/>
          <w:sz w:val="32"/>
        </w:rPr>
        <w:instrText xml:space="preserve"> TC </w:instrText>
      </w:r>
      <w:bookmarkStart w:id="6" w:name="_Toc31276003"/>
      <w:r>
        <w:rPr>
          <w:rFonts w:ascii="方正小标宋_GBK" w:eastAsia="方正小标宋_GBK"/>
          <w:sz w:val="32"/>
        </w:rPr>
        <w:instrText xml:space="preserve">部门政府采购预算</w:instrText>
      </w:r>
      <w:bookmarkEnd w:id="6"/>
      <w:r>
        <w:rPr>
          <w:rFonts w:ascii="方正小标宋_GBK" w:eastAsia="方正小标宋_GBK"/>
          <w:sz w:val="32"/>
        </w:rPr>
        <w:instrText xml:space="preserve"> \f A \l 1 </w:instrText>
      </w:r>
      <w:r>
        <w:rPr>
          <w:rFonts w:ascii="方正小标宋_GBK" w:eastAsia="方正小标宋_GBK"/>
          <w:sz w:val="32"/>
        </w:rPr>
        <w:fldChar w:fldCharType="end"/>
      </w:r>
    </w:p>
    <w:tbl>
      <w:tblPr>
        <w:tblStyle w:val="5"/>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8703" w:type="dxa"/>
            <w:gridSpan w:val="7"/>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r>
              <w:rPr>
                <w:rFonts w:hint="eastAsia" w:ascii="方正小标宋_GBK" w:eastAsia="方正小标宋_GBK"/>
                <w:sz w:val="24"/>
              </w:rPr>
              <w:t>保定市徐水区工业和信息化</w:t>
            </w:r>
            <w:r>
              <w:rPr>
                <w:rFonts w:ascii="方正小标宋_GBK" w:eastAsia="方正小标宋_GBK"/>
                <w:sz w:val="24"/>
              </w:rPr>
              <w:t>局</w:t>
            </w:r>
          </w:p>
        </w:tc>
        <w:tc>
          <w:tcPr>
            <w:tcW w:w="6804"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sz w:val="24"/>
              </w:rPr>
            </w:pPr>
            <w:r>
              <w:rPr>
                <w:rFonts w:ascii="方正书宋_GBK" w:eastAsia="方正书宋_GBK"/>
                <w:sz w:val="24"/>
              </w:rPr>
              <w:t>单位：</w:t>
            </w:r>
            <w:r>
              <w:rPr>
                <w:rFonts w:hint="eastAsia" w:ascii="方正书宋_GBK" w:eastAsia="方正书宋_GBK"/>
                <w:sz w:val="24"/>
              </w:rPr>
              <w:t>万</w:t>
            </w:r>
            <w:r>
              <w:rPr>
                <w:rFonts w:ascii="方正书宋_GBK" w:eastAsia="方正书宋_GBK"/>
                <w:sz w:val="24"/>
              </w:rPr>
              <w:t>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118"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政府采购项目来源</w:t>
            </w:r>
          </w:p>
        </w:tc>
        <w:tc>
          <w:tcPr>
            <w:tcW w:w="1531"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采购物品名称</w:t>
            </w:r>
          </w:p>
        </w:tc>
        <w:tc>
          <w:tcPr>
            <w:tcW w:w="1531"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政府采购目录序号</w:t>
            </w:r>
          </w:p>
        </w:tc>
        <w:tc>
          <w:tcPr>
            <w:tcW w:w="709"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计量  单位</w:t>
            </w:r>
          </w:p>
        </w:tc>
        <w:tc>
          <w:tcPr>
            <w:tcW w:w="907"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数量</w:t>
            </w:r>
          </w:p>
        </w:tc>
        <w:tc>
          <w:tcPr>
            <w:tcW w:w="907"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单价</w:t>
            </w:r>
          </w:p>
        </w:tc>
        <w:tc>
          <w:tcPr>
            <w:tcW w:w="6804" w:type="dxa"/>
            <w:gridSpan w:val="6"/>
            <w:shd w:val="clear" w:color="auto" w:fill="auto"/>
            <w:vAlign w:val="center"/>
          </w:tcPr>
          <w:p>
            <w:pPr>
              <w:spacing w:line="300" w:lineRule="exact"/>
              <w:jc w:val="center"/>
              <w:rPr>
                <w:rFonts w:ascii="方正书宋_GBK" w:eastAsia="方正书宋_GBK"/>
                <w:b/>
              </w:rPr>
            </w:pPr>
            <w:r>
              <w:rPr>
                <w:rFonts w:ascii="方正书宋_GBK" w:eastAsia="方正书宋_GBK"/>
                <w:b/>
              </w:rPr>
              <w:t>政府采购金额（当年部门预算安排资金）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8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预算资金</w:t>
            </w:r>
          </w:p>
        </w:tc>
        <w:tc>
          <w:tcPr>
            <w:tcW w:w="1531" w:type="dxa"/>
            <w:vMerge w:val="continue"/>
            <w:shd w:val="clear" w:color="auto" w:fill="auto"/>
            <w:vAlign w:val="center"/>
          </w:tcPr>
          <w:p>
            <w:pPr>
              <w:spacing w:line="300" w:lineRule="exact"/>
              <w:jc w:val="left"/>
              <w:outlineLvl w:val="1"/>
              <w:rPr>
                <w:rFonts w:ascii="Times New Roman" w:eastAsia="方正仿宋_GBK"/>
                <w:sz w:val="28"/>
              </w:rPr>
            </w:pPr>
          </w:p>
        </w:tc>
        <w:tc>
          <w:tcPr>
            <w:tcW w:w="1531" w:type="dxa"/>
            <w:vMerge w:val="continue"/>
            <w:shd w:val="clear" w:color="auto" w:fill="auto"/>
            <w:vAlign w:val="center"/>
          </w:tcPr>
          <w:p>
            <w:pPr>
              <w:spacing w:line="300" w:lineRule="exact"/>
              <w:jc w:val="left"/>
              <w:outlineLvl w:val="1"/>
              <w:rPr>
                <w:rFonts w:ascii="Times New Roman" w:eastAsia="方正仿宋_GBK"/>
                <w:sz w:val="28"/>
              </w:rPr>
            </w:pPr>
          </w:p>
        </w:tc>
        <w:tc>
          <w:tcPr>
            <w:tcW w:w="709" w:type="dxa"/>
            <w:vMerge w:val="continue"/>
            <w:shd w:val="clear" w:color="auto" w:fill="auto"/>
            <w:vAlign w:val="center"/>
          </w:tcPr>
          <w:p>
            <w:pPr>
              <w:spacing w:line="300" w:lineRule="exact"/>
              <w:jc w:val="left"/>
              <w:outlineLvl w:val="1"/>
              <w:rPr>
                <w:rFonts w:ascii="Times New Roman" w:eastAsia="方正仿宋_GBK"/>
                <w:sz w:val="28"/>
              </w:rPr>
            </w:pPr>
          </w:p>
        </w:tc>
        <w:tc>
          <w:tcPr>
            <w:tcW w:w="907" w:type="dxa"/>
            <w:vMerge w:val="continue"/>
            <w:shd w:val="clear" w:color="auto" w:fill="auto"/>
            <w:vAlign w:val="center"/>
          </w:tcPr>
          <w:p>
            <w:pPr>
              <w:spacing w:line="300" w:lineRule="exact"/>
              <w:jc w:val="left"/>
              <w:outlineLvl w:val="1"/>
              <w:rPr>
                <w:rFonts w:ascii="Times New Roman" w:eastAsia="方正仿宋_GBK"/>
                <w:sz w:val="28"/>
              </w:rPr>
            </w:pPr>
          </w:p>
        </w:tc>
        <w:tc>
          <w:tcPr>
            <w:tcW w:w="907" w:type="dxa"/>
            <w:vMerge w:val="continue"/>
            <w:shd w:val="clear" w:color="auto" w:fill="auto"/>
            <w:vAlign w:val="center"/>
          </w:tcPr>
          <w:p>
            <w:pPr>
              <w:spacing w:line="300" w:lineRule="exact"/>
              <w:jc w:val="left"/>
              <w:outlineLvl w:val="1"/>
              <w:rPr>
                <w:rFonts w:ascii="Times New Roman" w:eastAsia="方正仿宋_GBK"/>
                <w:sz w:val="28"/>
              </w:rPr>
            </w:pP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合计</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一般公共预算拨款</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基金预算拨款</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国有资本经营预算拨款</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财政专户核拨</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单位资金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center"/>
              <w:rPr>
                <w:rFonts w:ascii="方正书宋_GBK" w:eastAsia="方正书宋_GBK"/>
                <w:b/>
              </w:rPr>
            </w:pPr>
            <w:r>
              <w:rPr>
                <w:rFonts w:ascii="方正书宋_GBK" w:eastAsia="方正书宋_GBK"/>
                <w:b/>
              </w:rPr>
              <w:t>合  计</w:t>
            </w:r>
          </w:p>
        </w:tc>
        <w:tc>
          <w:tcPr>
            <w:tcW w:w="1134" w:type="dxa"/>
            <w:shd w:val="clear" w:color="auto" w:fill="auto"/>
            <w:vAlign w:val="center"/>
          </w:tcPr>
          <w:p>
            <w:pPr>
              <w:spacing w:line="300" w:lineRule="exact"/>
              <w:jc w:val="right"/>
              <w:rPr>
                <w:rFonts w:ascii="方正书宋_GBK" w:eastAsia="方正书宋_GBK"/>
                <w:b/>
              </w:rPr>
            </w:pPr>
          </w:p>
        </w:tc>
        <w:tc>
          <w:tcPr>
            <w:tcW w:w="1531" w:type="dxa"/>
            <w:shd w:val="clear" w:color="auto" w:fill="auto"/>
            <w:vAlign w:val="center"/>
          </w:tcPr>
          <w:p>
            <w:pPr>
              <w:spacing w:line="300" w:lineRule="exact"/>
              <w:jc w:val="left"/>
              <w:rPr>
                <w:rFonts w:ascii="方正书宋_GBK" w:eastAsia="方正书宋_GBK"/>
                <w:b/>
              </w:rPr>
            </w:pPr>
          </w:p>
        </w:tc>
        <w:tc>
          <w:tcPr>
            <w:tcW w:w="1531" w:type="dxa"/>
            <w:shd w:val="clear" w:color="auto" w:fill="auto"/>
            <w:vAlign w:val="center"/>
          </w:tcPr>
          <w:p>
            <w:pPr>
              <w:spacing w:line="300" w:lineRule="exact"/>
              <w:jc w:val="left"/>
              <w:rPr>
                <w:rFonts w:ascii="方正书宋_GBK" w:eastAsia="方正书宋_GBK"/>
                <w:b/>
              </w:rPr>
            </w:pPr>
          </w:p>
        </w:tc>
        <w:tc>
          <w:tcPr>
            <w:tcW w:w="709" w:type="dxa"/>
            <w:shd w:val="clear" w:color="auto" w:fill="auto"/>
            <w:vAlign w:val="center"/>
          </w:tcPr>
          <w:p>
            <w:pPr>
              <w:spacing w:line="300" w:lineRule="exact"/>
              <w:jc w:val="center"/>
              <w:rPr>
                <w:rFonts w:ascii="方正书宋_GBK" w:eastAsia="方正书宋_GBK"/>
                <w:b/>
              </w:rPr>
            </w:pPr>
          </w:p>
        </w:tc>
        <w:tc>
          <w:tcPr>
            <w:tcW w:w="907" w:type="dxa"/>
            <w:shd w:val="clear" w:color="auto" w:fill="auto"/>
            <w:vAlign w:val="center"/>
          </w:tcPr>
          <w:p>
            <w:pPr>
              <w:spacing w:line="300" w:lineRule="exact"/>
              <w:jc w:val="right"/>
              <w:rPr>
                <w:rFonts w:ascii="方正书宋_GBK" w:eastAsia="方正书宋_GBK"/>
                <w:b/>
              </w:rPr>
            </w:pPr>
          </w:p>
        </w:tc>
        <w:tc>
          <w:tcPr>
            <w:tcW w:w="907"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531" w:type="dxa"/>
            <w:shd w:val="clear" w:color="auto" w:fill="auto"/>
            <w:vAlign w:val="center"/>
          </w:tcPr>
          <w:p>
            <w:pPr>
              <w:spacing w:line="300" w:lineRule="exact"/>
              <w:jc w:val="left"/>
              <w:rPr>
                <w:rFonts w:ascii="方正书宋_GBK" w:eastAsia="方正书宋_GBK"/>
                <w:b/>
              </w:rPr>
            </w:pPr>
          </w:p>
        </w:tc>
        <w:tc>
          <w:tcPr>
            <w:tcW w:w="1531" w:type="dxa"/>
            <w:shd w:val="clear" w:color="auto" w:fill="auto"/>
            <w:vAlign w:val="center"/>
          </w:tcPr>
          <w:p>
            <w:pPr>
              <w:spacing w:line="300" w:lineRule="exact"/>
              <w:jc w:val="left"/>
              <w:rPr>
                <w:rFonts w:ascii="方正书宋_GBK" w:eastAsia="方正书宋_GBK"/>
                <w:b/>
              </w:rPr>
            </w:pPr>
          </w:p>
        </w:tc>
        <w:tc>
          <w:tcPr>
            <w:tcW w:w="709" w:type="dxa"/>
            <w:shd w:val="clear" w:color="auto" w:fill="auto"/>
            <w:vAlign w:val="center"/>
          </w:tcPr>
          <w:p>
            <w:pPr>
              <w:spacing w:line="300" w:lineRule="exact"/>
              <w:jc w:val="center"/>
              <w:rPr>
                <w:rFonts w:ascii="方正书宋_GBK" w:eastAsia="方正书宋_GBK"/>
                <w:b/>
              </w:rPr>
            </w:pPr>
          </w:p>
        </w:tc>
        <w:tc>
          <w:tcPr>
            <w:tcW w:w="907" w:type="dxa"/>
            <w:shd w:val="clear" w:color="auto" w:fill="auto"/>
            <w:vAlign w:val="center"/>
          </w:tcPr>
          <w:p>
            <w:pPr>
              <w:spacing w:line="300" w:lineRule="exact"/>
              <w:jc w:val="right"/>
              <w:rPr>
                <w:rFonts w:ascii="方正书宋_GBK" w:eastAsia="方正书宋_GBK"/>
                <w:b/>
              </w:rPr>
            </w:pPr>
          </w:p>
        </w:tc>
        <w:tc>
          <w:tcPr>
            <w:tcW w:w="907"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531" w:type="dxa"/>
            <w:shd w:val="clear" w:color="auto" w:fill="auto"/>
            <w:vAlign w:val="center"/>
          </w:tcPr>
          <w:p>
            <w:pPr>
              <w:spacing w:line="300" w:lineRule="exact"/>
              <w:jc w:val="left"/>
              <w:rPr>
                <w:rFonts w:ascii="方正书宋_GBK" w:eastAsia="方正书宋_GBK"/>
              </w:rPr>
            </w:pPr>
          </w:p>
        </w:tc>
        <w:tc>
          <w:tcPr>
            <w:tcW w:w="1531" w:type="dxa"/>
            <w:shd w:val="clear" w:color="auto" w:fill="auto"/>
            <w:vAlign w:val="center"/>
          </w:tcPr>
          <w:p>
            <w:pPr>
              <w:spacing w:line="300" w:lineRule="exact"/>
              <w:jc w:val="left"/>
              <w:rPr>
                <w:rFonts w:ascii="方正书宋_GBK" w:eastAsia="方正书宋_GBK"/>
              </w:rPr>
            </w:pPr>
          </w:p>
        </w:tc>
        <w:tc>
          <w:tcPr>
            <w:tcW w:w="709" w:type="dxa"/>
            <w:shd w:val="clear" w:color="auto" w:fill="auto"/>
            <w:vAlign w:val="center"/>
          </w:tcPr>
          <w:p>
            <w:pPr>
              <w:spacing w:line="300" w:lineRule="exact"/>
              <w:jc w:val="center"/>
              <w:rPr>
                <w:rFonts w:ascii="方正书宋_GBK" w:eastAsia="方正书宋_GBK"/>
              </w:rPr>
            </w:pPr>
          </w:p>
        </w:tc>
        <w:tc>
          <w:tcPr>
            <w:tcW w:w="907" w:type="dxa"/>
            <w:shd w:val="clear" w:color="auto" w:fill="auto"/>
            <w:vAlign w:val="center"/>
          </w:tcPr>
          <w:p>
            <w:pPr>
              <w:spacing w:line="300" w:lineRule="exact"/>
              <w:jc w:val="right"/>
              <w:rPr>
                <w:rFonts w:ascii="方正书宋_GBK" w:eastAsia="方正书宋_GBK"/>
              </w:rPr>
            </w:pPr>
          </w:p>
        </w:tc>
        <w:tc>
          <w:tcPr>
            <w:tcW w:w="907"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pPr>
              <w:spacing w:line="300" w:lineRule="exact"/>
              <w:jc w:val="lef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531" w:type="dxa"/>
            <w:shd w:val="clear" w:color="auto" w:fill="auto"/>
            <w:vAlign w:val="center"/>
          </w:tcPr>
          <w:p>
            <w:pPr>
              <w:spacing w:line="300" w:lineRule="exact"/>
              <w:jc w:val="left"/>
              <w:rPr>
                <w:rFonts w:ascii="方正书宋_GBK"/>
              </w:rPr>
            </w:pPr>
          </w:p>
        </w:tc>
        <w:tc>
          <w:tcPr>
            <w:tcW w:w="1531" w:type="dxa"/>
            <w:shd w:val="clear" w:color="auto" w:fill="auto"/>
            <w:vAlign w:val="center"/>
          </w:tcPr>
          <w:p>
            <w:pPr>
              <w:spacing w:line="300" w:lineRule="exact"/>
              <w:jc w:val="left"/>
              <w:rPr>
                <w:rFonts w:ascii="方正书宋_GBK" w:eastAsia="方正书宋_GBK"/>
              </w:rPr>
            </w:pPr>
          </w:p>
        </w:tc>
        <w:tc>
          <w:tcPr>
            <w:tcW w:w="709" w:type="dxa"/>
            <w:shd w:val="clear" w:color="auto" w:fill="auto"/>
            <w:vAlign w:val="center"/>
          </w:tcPr>
          <w:p>
            <w:pPr>
              <w:spacing w:line="300" w:lineRule="exact"/>
              <w:jc w:val="center"/>
              <w:rPr>
                <w:rFonts w:ascii="方正书宋_GBK"/>
              </w:rPr>
            </w:pPr>
          </w:p>
        </w:tc>
        <w:tc>
          <w:tcPr>
            <w:tcW w:w="907" w:type="dxa"/>
            <w:shd w:val="clear" w:color="auto" w:fill="auto"/>
            <w:vAlign w:val="center"/>
          </w:tcPr>
          <w:p>
            <w:pPr>
              <w:spacing w:line="300" w:lineRule="exact"/>
              <w:jc w:val="right"/>
              <w:rPr>
                <w:rFonts w:ascii="方正书宋_GBK" w:eastAsia="方正书宋_GBK"/>
              </w:rPr>
            </w:pPr>
          </w:p>
        </w:tc>
        <w:tc>
          <w:tcPr>
            <w:tcW w:w="907"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r>
    </w:tbl>
    <w:p>
      <w:pPr>
        <w:spacing w:line="360" w:lineRule="auto"/>
        <w:rPr>
          <w:rFonts w:hint="eastAsia" w:ascii="仿宋" w:hAnsi="仿宋" w:eastAsia="仿宋"/>
          <w:sz w:val="32"/>
          <w:szCs w:val="32"/>
        </w:rPr>
        <w:sectPr>
          <w:footerReference r:id="rId3" w:type="default"/>
          <w:pgSz w:w="16838" w:h="11906" w:orient="landscape"/>
          <w:pgMar w:top="1797" w:right="1440" w:bottom="1797" w:left="1440" w:header="851" w:footer="992" w:gutter="0"/>
          <w:cols w:space="425" w:num="1"/>
          <w:docGrid w:type="linesAndChars" w:linePitch="312" w:charSpace="0"/>
        </w:sectPr>
      </w:pPr>
    </w:p>
    <w:p>
      <w:pPr>
        <w:spacing w:line="360" w:lineRule="auto"/>
        <w:rPr>
          <w:rFonts w:hint="eastAsia" w:ascii="仿宋" w:hAnsi="仿宋" w:eastAsia="仿宋"/>
          <w:sz w:val="32"/>
          <w:szCs w:val="32"/>
        </w:rPr>
      </w:pPr>
    </w:p>
    <w:p>
      <w:pPr>
        <w:jc w:val="center"/>
        <w:outlineLvl w:val="0"/>
        <w:rPr>
          <w:rFonts w:ascii="方正小标宋_GBK" w:eastAsia="方正小标宋_GBK"/>
          <w:sz w:val="44"/>
        </w:rPr>
      </w:pPr>
      <w:r>
        <w:rPr>
          <w:rFonts w:hint="eastAsia" w:ascii="方正小标宋_GBK" w:eastAsia="方正小标宋_GBK"/>
          <w:sz w:val="44"/>
        </w:rPr>
        <w:t>第七部分：国有资产信息</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上年末我部门固定资产总金额为</w:t>
      </w:r>
      <w:r>
        <w:rPr>
          <w:rFonts w:hint="default" w:ascii="仿宋" w:hAnsi="仿宋" w:eastAsia="仿宋"/>
          <w:sz w:val="32"/>
          <w:szCs w:val="32"/>
          <w:lang w:val="en-US"/>
        </w:rPr>
        <w:t>123.98</w:t>
      </w:r>
      <w:r>
        <w:rPr>
          <w:rFonts w:hint="eastAsia" w:ascii="仿宋" w:hAnsi="仿宋" w:eastAsia="仿宋"/>
          <w:sz w:val="32"/>
          <w:szCs w:val="32"/>
        </w:rPr>
        <w:t>万元（详见下表）。</w:t>
      </w:r>
      <w:r>
        <w:rPr>
          <w:rFonts w:ascii="仿宋" w:hAnsi="仿宋" w:eastAsia="仿宋"/>
          <w:sz w:val="32"/>
          <w:szCs w:val="32"/>
        </w:rPr>
        <w:t xml:space="preserve"> </w:t>
      </w:r>
      <w:r>
        <w:rPr>
          <w:rFonts w:hint="eastAsia" w:ascii="仿宋" w:hAnsi="仿宋" w:eastAsia="仿宋"/>
          <w:sz w:val="32"/>
          <w:szCs w:val="32"/>
        </w:rPr>
        <w:t>本年度</w:t>
      </w:r>
      <w:r>
        <w:rPr>
          <w:rFonts w:hint="eastAsia" w:ascii="仿宋" w:hAnsi="仿宋" w:eastAsia="仿宋"/>
          <w:sz w:val="32"/>
          <w:szCs w:val="32"/>
          <w:lang w:eastAsia="zh-CN"/>
        </w:rPr>
        <w:t>拟购置固定</w:t>
      </w:r>
      <w:r>
        <w:rPr>
          <w:rFonts w:hint="eastAsia" w:ascii="仿宋" w:hAnsi="仿宋" w:eastAsia="仿宋"/>
          <w:sz w:val="32"/>
          <w:szCs w:val="32"/>
        </w:rPr>
        <w:t>资产</w:t>
      </w:r>
      <w:r>
        <w:rPr>
          <w:rFonts w:hint="eastAsia" w:ascii="仿宋" w:hAnsi="仿宋" w:eastAsia="仿宋"/>
          <w:sz w:val="32"/>
          <w:szCs w:val="32"/>
          <w:lang w:eastAsia="zh-CN"/>
        </w:rPr>
        <w:t>总额为</w:t>
      </w:r>
      <w:r>
        <w:rPr>
          <w:rFonts w:hint="default" w:ascii="仿宋" w:hAnsi="仿宋" w:eastAsia="仿宋"/>
          <w:sz w:val="32"/>
          <w:szCs w:val="32"/>
          <w:lang w:val="en-US"/>
        </w:rPr>
        <w:t>13</w:t>
      </w:r>
      <w:r>
        <w:rPr>
          <w:rFonts w:hint="eastAsia" w:ascii="仿宋" w:hAnsi="仿宋" w:eastAsia="仿宋"/>
          <w:sz w:val="32"/>
          <w:szCs w:val="32"/>
          <w:lang w:val="en-US" w:eastAsia="zh-CN"/>
        </w:rPr>
        <w:t>万元，其中空调</w:t>
      </w:r>
      <w:r>
        <w:rPr>
          <w:rFonts w:hint="default" w:ascii="仿宋" w:hAnsi="仿宋" w:eastAsia="仿宋"/>
          <w:sz w:val="32"/>
          <w:szCs w:val="32"/>
          <w:lang w:val="en-US" w:eastAsia="zh-CN"/>
        </w:rPr>
        <w:t>6</w:t>
      </w:r>
      <w:r>
        <w:rPr>
          <w:rFonts w:hint="eastAsia" w:ascii="仿宋" w:hAnsi="仿宋" w:eastAsia="仿宋"/>
          <w:sz w:val="32"/>
          <w:szCs w:val="32"/>
          <w:lang w:val="en-US" w:eastAsia="zh-CN"/>
        </w:rPr>
        <w:t>台，</w:t>
      </w:r>
      <w:r>
        <w:rPr>
          <w:rFonts w:hint="default" w:ascii="仿宋" w:hAnsi="仿宋" w:eastAsia="仿宋"/>
          <w:sz w:val="32"/>
          <w:szCs w:val="32"/>
          <w:lang w:val="en-US" w:eastAsia="zh-CN"/>
        </w:rPr>
        <w:t>2.5</w:t>
      </w:r>
      <w:r>
        <w:rPr>
          <w:rFonts w:hint="eastAsia" w:ascii="仿宋" w:hAnsi="仿宋" w:eastAsia="仿宋"/>
          <w:sz w:val="32"/>
          <w:szCs w:val="32"/>
          <w:lang w:val="en-US" w:eastAsia="zh-CN"/>
        </w:rPr>
        <w:t>万元；视频会议室桌椅</w:t>
      </w:r>
      <w:r>
        <w:rPr>
          <w:rFonts w:hint="default" w:ascii="仿宋" w:hAnsi="仿宋" w:eastAsia="仿宋"/>
          <w:sz w:val="32"/>
          <w:szCs w:val="32"/>
          <w:lang w:val="en-US" w:eastAsia="zh-CN"/>
        </w:rPr>
        <w:t>4.5</w:t>
      </w:r>
      <w:r>
        <w:rPr>
          <w:rFonts w:hint="eastAsia" w:ascii="仿宋" w:hAnsi="仿宋" w:eastAsia="仿宋"/>
          <w:sz w:val="32"/>
          <w:szCs w:val="32"/>
          <w:lang w:val="en-US" w:eastAsia="zh-CN"/>
        </w:rPr>
        <w:t>万元；电子设备</w:t>
      </w:r>
      <w:r>
        <w:rPr>
          <w:rFonts w:hint="default" w:ascii="仿宋" w:hAnsi="仿宋" w:eastAsia="仿宋"/>
          <w:sz w:val="32"/>
          <w:szCs w:val="32"/>
          <w:lang w:val="en-US" w:eastAsia="zh-CN"/>
        </w:rPr>
        <w:t>6</w:t>
      </w:r>
      <w:r>
        <w:rPr>
          <w:rFonts w:hint="eastAsia" w:ascii="仿宋" w:hAnsi="仿宋" w:eastAsia="仿宋"/>
          <w:sz w:val="32"/>
          <w:szCs w:val="32"/>
          <w:lang w:val="en-US" w:eastAsia="zh-CN"/>
        </w:rPr>
        <w:t>万元</w:t>
      </w:r>
      <w:r>
        <w:rPr>
          <w:rFonts w:ascii="仿宋" w:hAnsi="仿宋" w:eastAsia="仿宋"/>
          <w:sz w:val="32"/>
          <w:szCs w:val="32"/>
        </w:rPr>
        <w:t>。</w:t>
      </w:r>
    </w:p>
    <w:tbl>
      <w:tblPr>
        <w:tblStyle w:val="5"/>
        <w:tblW w:w="10084" w:type="dxa"/>
        <w:jc w:val="center"/>
        <w:tblLayout w:type="autofit"/>
        <w:tblCellMar>
          <w:top w:w="0" w:type="dxa"/>
          <w:left w:w="108" w:type="dxa"/>
          <w:bottom w:w="0" w:type="dxa"/>
          <w:right w:w="108" w:type="dxa"/>
        </w:tblCellMar>
      </w:tblPr>
      <w:tblGrid>
        <w:gridCol w:w="4788"/>
        <w:gridCol w:w="1035"/>
        <w:gridCol w:w="4261"/>
      </w:tblGrid>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pPr>
              <w:widowControl/>
              <w:jc w:val="center"/>
              <w:rPr>
                <w:rFonts w:ascii="宋体" w:hAnsi="宋体" w:cs="宋体"/>
                <w:kern w:val="0"/>
                <w:sz w:val="28"/>
                <w:szCs w:val="28"/>
              </w:rPr>
            </w:pPr>
            <w:r>
              <w:rPr>
                <w:rFonts w:hint="eastAsia" w:ascii="宋体" w:hAnsi="宋体"/>
                <w:sz w:val="32"/>
                <w:szCs w:val="32"/>
              </w:rPr>
              <w:t>固定资产占用情况表</w:t>
            </w:r>
          </w:p>
        </w:tc>
      </w:tr>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FF0000"/>
                <w:kern w:val="0"/>
                <w:sz w:val="28"/>
                <w:szCs w:val="28"/>
              </w:rPr>
              <w:t>202</w:t>
            </w:r>
            <w:r>
              <w:rPr>
                <w:rFonts w:hint="default" w:ascii="仿宋_GB2312" w:hAnsi="仿宋" w:eastAsia="仿宋_GB2312" w:cs="宋体"/>
                <w:bCs/>
                <w:color w:val="FF0000"/>
                <w:kern w:val="0"/>
                <w:sz w:val="28"/>
                <w:szCs w:val="28"/>
                <w:lang w:val="en-US"/>
              </w:rPr>
              <w:t>1</w:t>
            </w:r>
            <w:r>
              <w:rPr>
                <w:rFonts w:hint="eastAsia" w:ascii="仿宋_GB2312" w:hAnsi="仿宋" w:eastAsia="仿宋_GB2312" w:cs="宋体"/>
                <w:bCs/>
                <w:color w:val="FF0000"/>
                <w:kern w:val="0"/>
                <w:sz w:val="28"/>
                <w:szCs w:val="28"/>
              </w:rPr>
              <w:t>年12月31日</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仿宋_GB2312" w:hAnsi="仿宋" w:eastAsia="仿宋_GB2312" w:cs="宋体"/>
                <w:b/>
                <w:kern w:val="0"/>
                <w:sz w:val="24"/>
                <w:szCs w:val="24"/>
                <w:lang w:val="en-US"/>
              </w:rPr>
            </w:pPr>
            <w:r>
              <w:rPr>
                <w:rFonts w:hint="default" w:ascii="仿宋_GB2312" w:hAnsi="仿宋" w:eastAsia="仿宋_GB2312" w:cs="宋体"/>
                <w:b/>
                <w:kern w:val="0"/>
                <w:sz w:val="24"/>
                <w:szCs w:val="24"/>
                <w:lang w:val="en-US"/>
              </w:rPr>
              <w:t>123.98</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405</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20</w:t>
            </w: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3</w:t>
            </w: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25.25</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仿宋_GB2312" w:hAnsi="仿宋" w:eastAsia="仿宋_GB2312" w:cs="宋体"/>
                <w:kern w:val="0"/>
                <w:sz w:val="24"/>
                <w:szCs w:val="24"/>
                <w:lang w:val="en-US"/>
              </w:rPr>
            </w:pPr>
          </w:p>
        </w:tc>
        <w:tc>
          <w:tcPr>
            <w:tcW w:w="4261" w:type="dxa"/>
            <w:tcBorders>
              <w:top w:val="nil"/>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ascii="仿宋_GB2312" w:hAnsi="仿宋" w:eastAsia="仿宋_GB2312" w:cs="宋体"/>
                <w:kern w:val="0"/>
                <w:sz w:val="24"/>
                <w:szCs w:val="24"/>
                <w:lang w:val="en-US"/>
              </w:rPr>
            </w:pPr>
            <w:r>
              <w:rPr>
                <w:rFonts w:hint="default" w:ascii="仿宋_GB2312" w:hAnsi="仿宋" w:eastAsia="仿宋_GB2312" w:cs="宋体"/>
                <w:kern w:val="0"/>
                <w:sz w:val="24"/>
                <w:szCs w:val="24"/>
                <w:lang w:val="en-US"/>
              </w:rPr>
              <w:t>78.55</w:t>
            </w:r>
          </w:p>
        </w:tc>
      </w:tr>
    </w:tbl>
    <w:p>
      <w:pPr>
        <w:spacing w:line="360" w:lineRule="auto"/>
        <w:rPr>
          <w:rFonts w:ascii="黑体" w:hAnsi="黑体" w:eastAsia="黑体" w:cs="Times New Roman"/>
          <w:sz w:val="32"/>
          <w:szCs w:val="32"/>
        </w:rPr>
      </w:pPr>
    </w:p>
    <w:p>
      <w:pPr>
        <w:jc w:val="both"/>
        <w:outlineLvl w:val="0"/>
        <w:rPr>
          <w:rFonts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第八部分：名词解释</w:t>
      </w:r>
    </w:p>
    <w:p>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spacing w:line="360" w:lineRule="auto"/>
        <w:ind w:firstLine="640" w:firstLineChars="200"/>
        <w:rPr>
          <w:rFonts w:ascii="黑体" w:hAnsi="黑体" w:eastAsia="黑体" w:cs="Times New Roman"/>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我部门无其他需说明的事项。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auto"/>
    <w:pitch w:val="default"/>
    <w:sig w:usb0="00000001" w:usb1="080E0000" w:usb2="00000000" w:usb3="00000000" w:csb0="00040000" w:csb1="00000000"/>
  </w:font>
  <w:font w:name="方正书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docPartObj>
        <w:docPartGallery w:val="autotext"/>
      </w:docPartObj>
    </w:sdtPr>
    <w:sdtContent>
      <w:p>
        <w:pPr>
          <w:pStyle w:val="3"/>
          <w:jc w:val="center"/>
        </w:pPr>
        <w:r>
          <w:fldChar w:fldCharType="begin"/>
        </w:r>
        <w:r>
          <w:instrText xml:space="preserve">PAGE   \* MERGEFORMAT</w:instrText>
        </w:r>
        <w:r>
          <w:fldChar w:fldCharType="separate"/>
        </w:r>
        <w:r>
          <w:rPr>
            <w:lang w:val="zh-CN"/>
          </w:rPr>
          <w:t>4</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F1F"/>
    <w:rsid w:val="00013B8A"/>
    <w:rsid w:val="00044FBC"/>
    <w:rsid w:val="00055F1F"/>
    <w:rsid w:val="000577EF"/>
    <w:rsid w:val="00057F18"/>
    <w:rsid w:val="000A445D"/>
    <w:rsid w:val="000C178B"/>
    <w:rsid w:val="00131DEC"/>
    <w:rsid w:val="00136AB3"/>
    <w:rsid w:val="001462BD"/>
    <w:rsid w:val="00152380"/>
    <w:rsid w:val="001638BE"/>
    <w:rsid w:val="00164810"/>
    <w:rsid w:val="00172C7A"/>
    <w:rsid w:val="00181777"/>
    <w:rsid w:val="001B4688"/>
    <w:rsid w:val="001B6235"/>
    <w:rsid w:val="001F4875"/>
    <w:rsid w:val="00212335"/>
    <w:rsid w:val="002918C6"/>
    <w:rsid w:val="00291EF3"/>
    <w:rsid w:val="00296524"/>
    <w:rsid w:val="002E01F6"/>
    <w:rsid w:val="002F1ACB"/>
    <w:rsid w:val="002F530F"/>
    <w:rsid w:val="00305E97"/>
    <w:rsid w:val="00310532"/>
    <w:rsid w:val="0032782B"/>
    <w:rsid w:val="00340B3D"/>
    <w:rsid w:val="0034253A"/>
    <w:rsid w:val="003669CF"/>
    <w:rsid w:val="00367A30"/>
    <w:rsid w:val="003A06D2"/>
    <w:rsid w:val="003A4557"/>
    <w:rsid w:val="003A6366"/>
    <w:rsid w:val="003C2317"/>
    <w:rsid w:val="003C442E"/>
    <w:rsid w:val="003D1092"/>
    <w:rsid w:val="003D37CD"/>
    <w:rsid w:val="003E5531"/>
    <w:rsid w:val="003E555C"/>
    <w:rsid w:val="003E6AF3"/>
    <w:rsid w:val="0040243C"/>
    <w:rsid w:val="00406BD1"/>
    <w:rsid w:val="00426C19"/>
    <w:rsid w:val="00450FD9"/>
    <w:rsid w:val="00453CE0"/>
    <w:rsid w:val="00470736"/>
    <w:rsid w:val="00470BBB"/>
    <w:rsid w:val="0048611E"/>
    <w:rsid w:val="004B6929"/>
    <w:rsid w:val="004E2F43"/>
    <w:rsid w:val="004E3572"/>
    <w:rsid w:val="004F3C52"/>
    <w:rsid w:val="00510A1E"/>
    <w:rsid w:val="005158E2"/>
    <w:rsid w:val="00524204"/>
    <w:rsid w:val="00550049"/>
    <w:rsid w:val="00553F7E"/>
    <w:rsid w:val="00570142"/>
    <w:rsid w:val="00586C35"/>
    <w:rsid w:val="005B1B6F"/>
    <w:rsid w:val="005B6CCB"/>
    <w:rsid w:val="005C54AA"/>
    <w:rsid w:val="005C7B89"/>
    <w:rsid w:val="0062788A"/>
    <w:rsid w:val="00641F8A"/>
    <w:rsid w:val="0066383B"/>
    <w:rsid w:val="006A6FA2"/>
    <w:rsid w:val="006B5117"/>
    <w:rsid w:val="006C62DF"/>
    <w:rsid w:val="006F5104"/>
    <w:rsid w:val="006F6549"/>
    <w:rsid w:val="00735B02"/>
    <w:rsid w:val="007657C8"/>
    <w:rsid w:val="00767A77"/>
    <w:rsid w:val="00771E49"/>
    <w:rsid w:val="00782208"/>
    <w:rsid w:val="00791938"/>
    <w:rsid w:val="007A5999"/>
    <w:rsid w:val="007C7FD7"/>
    <w:rsid w:val="007F3746"/>
    <w:rsid w:val="00833132"/>
    <w:rsid w:val="00845C67"/>
    <w:rsid w:val="0086454E"/>
    <w:rsid w:val="008672EA"/>
    <w:rsid w:val="00891680"/>
    <w:rsid w:val="008A0099"/>
    <w:rsid w:val="008A0B5F"/>
    <w:rsid w:val="008B5402"/>
    <w:rsid w:val="008D11BC"/>
    <w:rsid w:val="0090527E"/>
    <w:rsid w:val="00905BB7"/>
    <w:rsid w:val="0090620C"/>
    <w:rsid w:val="00912DA4"/>
    <w:rsid w:val="009302B8"/>
    <w:rsid w:val="009305C6"/>
    <w:rsid w:val="009752AE"/>
    <w:rsid w:val="00982F3D"/>
    <w:rsid w:val="00983232"/>
    <w:rsid w:val="009A278A"/>
    <w:rsid w:val="009B6368"/>
    <w:rsid w:val="009F63C4"/>
    <w:rsid w:val="00A16957"/>
    <w:rsid w:val="00A6155C"/>
    <w:rsid w:val="00A8079E"/>
    <w:rsid w:val="00A90328"/>
    <w:rsid w:val="00A92D66"/>
    <w:rsid w:val="00AA4262"/>
    <w:rsid w:val="00AB5A90"/>
    <w:rsid w:val="00AB7449"/>
    <w:rsid w:val="00AE4AA5"/>
    <w:rsid w:val="00AE7FA9"/>
    <w:rsid w:val="00B147EB"/>
    <w:rsid w:val="00B22155"/>
    <w:rsid w:val="00B76AA9"/>
    <w:rsid w:val="00B80FAB"/>
    <w:rsid w:val="00B81C88"/>
    <w:rsid w:val="00BA5C83"/>
    <w:rsid w:val="00BC6A7D"/>
    <w:rsid w:val="00BD4829"/>
    <w:rsid w:val="00BD6002"/>
    <w:rsid w:val="00BD719F"/>
    <w:rsid w:val="00BF5442"/>
    <w:rsid w:val="00C177A5"/>
    <w:rsid w:val="00C35FEE"/>
    <w:rsid w:val="00C50535"/>
    <w:rsid w:val="00C6153C"/>
    <w:rsid w:val="00C906EF"/>
    <w:rsid w:val="00CC7D74"/>
    <w:rsid w:val="00D02F97"/>
    <w:rsid w:val="00D45530"/>
    <w:rsid w:val="00D45A0E"/>
    <w:rsid w:val="00D45D23"/>
    <w:rsid w:val="00D723D1"/>
    <w:rsid w:val="00D80C60"/>
    <w:rsid w:val="00D8525F"/>
    <w:rsid w:val="00DA0C4D"/>
    <w:rsid w:val="00DA5DA7"/>
    <w:rsid w:val="00DE3935"/>
    <w:rsid w:val="00DE6B32"/>
    <w:rsid w:val="00DF26B8"/>
    <w:rsid w:val="00E12C68"/>
    <w:rsid w:val="00E2325B"/>
    <w:rsid w:val="00E24075"/>
    <w:rsid w:val="00E270C9"/>
    <w:rsid w:val="00E35F38"/>
    <w:rsid w:val="00E46F27"/>
    <w:rsid w:val="00E509CC"/>
    <w:rsid w:val="00E56DC0"/>
    <w:rsid w:val="00E71A04"/>
    <w:rsid w:val="00E90DA6"/>
    <w:rsid w:val="00E96342"/>
    <w:rsid w:val="00EA2FEA"/>
    <w:rsid w:val="00EA56CB"/>
    <w:rsid w:val="00EA7853"/>
    <w:rsid w:val="00F000B1"/>
    <w:rsid w:val="00F012D3"/>
    <w:rsid w:val="00F044C3"/>
    <w:rsid w:val="00F10D04"/>
    <w:rsid w:val="00F169E3"/>
    <w:rsid w:val="00F35D4B"/>
    <w:rsid w:val="00F3746B"/>
    <w:rsid w:val="00F572CB"/>
    <w:rsid w:val="00F621AF"/>
    <w:rsid w:val="00F8024E"/>
    <w:rsid w:val="00F82447"/>
    <w:rsid w:val="00F868E5"/>
    <w:rsid w:val="00FB2F32"/>
    <w:rsid w:val="00FC3191"/>
    <w:rsid w:val="00FE0F1F"/>
    <w:rsid w:val="00FF61F3"/>
    <w:rsid w:val="04B4665C"/>
    <w:rsid w:val="07AA68DD"/>
    <w:rsid w:val="0A214432"/>
    <w:rsid w:val="15651D9D"/>
    <w:rsid w:val="1B420AEC"/>
    <w:rsid w:val="27733670"/>
    <w:rsid w:val="2DD015B2"/>
    <w:rsid w:val="2DEE4F26"/>
    <w:rsid w:val="334268CD"/>
    <w:rsid w:val="4EC04545"/>
    <w:rsid w:val="53F33BED"/>
    <w:rsid w:val="5A254242"/>
    <w:rsid w:val="5E7A079C"/>
    <w:rsid w:val="626536E3"/>
    <w:rsid w:val="64CE5436"/>
    <w:rsid w:val="68FF7AC0"/>
    <w:rsid w:val="6A101ABC"/>
    <w:rsid w:val="6C0615D1"/>
    <w:rsid w:val="6C3C2B95"/>
    <w:rsid w:val="6E757FF2"/>
    <w:rsid w:val="6F7E25FB"/>
    <w:rsid w:val="701050C8"/>
    <w:rsid w:val="77720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 w:type="paragraph" w:customStyle="1" w:styleId="10">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2">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3">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4">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5">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6">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8">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F3216C-15DA-412F-BB52-B31BA36DBF18}">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5928</Words>
  <Characters>6247</Characters>
  <Lines>13</Lines>
  <Paragraphs>3</Paragraphs>
  <TotalTime>32</TotalTime>
  <ScaleCrop>false</ScaleCrop>
  <LinksUpToDate>false</LinksUpToDate>
  <CharactersWithSpaces>6300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LENOVO</cp:lastModifiedBy>
  <cp:lastPrinted>2021-04-14T02:06:00Z</cp:lastPrinted>
  <dcterms:modified xsi:type="dcterms:W3CDTF">2026-01-09T05:58:49Z</dcterms:modified>
  <cp:revision>172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76EAFEA3433E47EF9BBEB116C4FC5C2C</vt:lpwstr>
  </property>
  <property fmtid="{D5CDD505-2E9C-101B-9397-08002B2CF9AE}" pid="4" name="KSOTemplateDocerSaveRecord">
    <vt:lpwstr>eyJoZGlkIjoiYjZkOTdiNmRlNjVjYTc0MzZmZTVjZTVmMjZhMTMyMmMiLCJ1c2VySWQiOiIxMjI0Mjk2Nzk5In0=</vt:lpwstr>
  </property>
</Properties>
</file>