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保定市徐水区妇女联合会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部门年度预算项目绩效自评工作报告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年度项目资金绩效自评工作，提高财政资金使用效益，根据《保定市徐水区财政局关于开展202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年度财政资金部门绩效自评及抽查工作的通知》（徐政财字〔202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，结合实际，我单位组织成立了以副主席为组长的绩效评价工作小组，评价小组采取座谈等方式听取情况，检查项目资金有关账目，收集整理项目资金支出相关资料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我单位预算项目支出总计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14.3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万元，自评得分 90分以上的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</w:rPr>
        <w:t>，得分60至90分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个，60分以下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其中，抽查项目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为妇联专项业务经费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项目基本情况是项目科学合理，项目管理规范，项目监管到位、完成较好，项目质量较高，实现了预期制定的绩效目标。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项，资金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14.3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万元, 项目资金总体评价是：项目科学合理，项目管理规范，项目监管到位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绩效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目标。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20" w:leftChars="0" w:firstLine="640" w:firstLineChars="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妇联综合业务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3.5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/>
        </w:rPr>
        <w:t>万元）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一是坚持党建带妇建，推动妇联基层组织建设。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是认真履行妇儿工委职责及职能，做好妇女儿童权益维护、普法宣传、“三八”妇女节选树慰问、“六一”儿童节慰问等工作，选树、慰问活动1场次，选树、慰问及时率及活动资金使用合格率均大于90%，人员受激励率不少于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三是开展美丽庭院示范创建工作，助力农村人居环境整治提升和乡村全面振兴，开展巾帼家政工作，提升家政服务从业妇女技能。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四是按标准创建各类妇联阵地、示范典型，阵地有效利用率90%，创建典型总数超过5000个。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、儿童友好城市建设（0.8万元）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通过儿童友好城市建设，促进儿童健康成长，促进儿童事业高质量发展。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（一）协调推动各成员单位落实好“十大行动”和“二十项基础性工作”。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（二）按计划开展学习调研、举办各类活动、邀请专家论证、进行宣传推广等活动10场。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（三）2024年底前重点打造儿童之家2个，建成儿童友好城市示范点5个，验收合格率85%以上，儿童发展环境改善度不少于90%。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80" w:lineRule="exact"/>
        <w:ind w:left="660" w:leftChars="0" w:right="0" w:right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妇联专项业务经费（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深入实施妇联组织建设“强基增效”行动，年内妇联阵地提质增效10个；实施“河北福嫂·燕赵家政”提质扩容工程，培育五星级巾帼家政基地1个，推荐五星级“河北福嫂”2名，开展巾帼家政进社区（乡村）活动40场；开展妇女之家和“妇女微家”建设工作，打造妇女之家和“妇女微家”10个。本年度各类妇联阵地、示范基地、妇女之家、培树典型等提升、创建总数30个，创建合格率达到95%以上，阵地提升、建设工程完工及时率不少于95%，阵地有效利用率达到90%以上，妇女群众满意度达到70%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二是组织妇联干部培训，妇联干部培训100余人次，培训合格率达到90%以上，2024年12月底前完成培训3场次，培训提升率达到90%以上，培训满意度不少于80%。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注重家庭家教家风建设，开展家庭家教家风建设活动1场次；开展维权宣传，维护妇女儿童合法权益宣传2场次；开展两纲两规宣传两纲两规宣传活动2场次。本年度开展活动总次数45场次，开展活动资金使用合格率达到90%以上，按计划时间开展活动次数占计划总数的比例达到90%以上，活动宣传、激励率不少于80%，活动对象满意度不少于80%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2、在编制预算与执行中，我单位将尽可能的用有限的经费平衡每年的工作任务，尽量做到科学、合理的分配。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jc w:val="right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/>
        </w:rPr>
        <w:t>2025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89E97"/>
    <w:multiLevelType w:val="singleLevel"/>
    <w:tmpl w:val="E0889E97"/>
    <w:lvl w:ilvl="0" w:tentative="0">
      <w:start w:val="1"/>
      <w:numFmt w:val="decimal"/>
      <w:suff w:val="nothing"/>
      <w:lvlText w:val="%1、"/>
      <w:lvlJc w:val="left"/>
      <w:pPr>
        <w:ind w:left="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42D1ADD"/>
    <w:rsid w:val="0BCC5D7D"/>
    <w:rsid w:val="0BF960FA"/>
    <w:rsid w:val="18B42A4A"/>
    <w:rsid w:val="1E4E4527"/>
    <w:rsid w:val="2481222B"/>
    <w:rsid w:val="2A8A2A59"/>
    <w:rsid w:val="33EB28CF"/>
    <w:rsid w:val="3C544A68"/>
    <w:rsid w:val="3DD457A4"/>
    <w:rsid w:val="49B26E4B"/>
    <w:rsid w:val="4BAF1CC7"/>
    <w:rsid w:val="4C516DE5"/>
    <w:rsid w:val="4D8A4F4B"/>
    <w:rsid w:val="57853404"/>
    <w:rsid w:val="5A721C23"/>
    <w:rsid w:val="68A2473F"/>
    <w:rsid w:val="6B2B52FA"/>
    <w:rsid w:val="6C3B46EC"/>
    <w:rsid w:val="75E97A12"/>
    <w:rsid w:val="7D14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user</cp:lastModifiedBy>
  <dcterms:modified xsi:type="dcterms:W3CDTF">2025-11-19T01:02:52Z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AAF41E6B3704437E8B59C124DFF69814</vt:lpwstr>
  </property>
</Properties>
</file>