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-SA"/>
        </w:rPr>
        <w:t>保定市徐水区文学艺术界联合会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kern w:val="2"/>
          <w:sz w:val="36"/>
          <w:szCs w:val="36"/>
          <w:lang w:val="en-US" w:eastAsia="zh-CN" w:bidi="ar-SA"/>
        </w:rPr>
        <w:t>部门年度预算项目绩效自评工作报告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按照《保定市徐水区财政局关于开展2024年度财政资金部门绩效自评及抽查工作的通知》要求，我们对我单位的支出项目进行了认真自查自评。2024年由区文联独立组织策划开展了九大系列10场次展演、展示的文艺活动。创作文艺精品百余件，产生广泛巨大影响原创戏剧、原创MV、原创歌曲、原创视频作品20余件，受到社会各界的广泛好评，有8部作品省级展演展示。与预算支出项目的绩效目标完全相符。预算项目支出总计5.1万元，自评得分90分以上的1个，得分60至90分0个，60分以下0个。其中，抽查项目1个，项目基本情况是文艺精品创作经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二、绩效目标实现情况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年，我单位按文艺精品创作经费项目要求，积极谋划开展了九大系列10场次展演、展示的文艺活动。创作文艺精品百余件，圆满完成了年度工作任务，与预算支出项目的绩效目标完全相符，较好的完成了预期绩效目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照年初绩效目标设定，在全年绩效目标任务实施过程中，绩效目标设定清晰准确，绩效指标全面完整、科学合理，绩效标准恰当适宜、易于评价，促进了文联对团体会员、文艺工作者及新文艺组织、新文艺群体的团结引领、联络协调、服务管理、自律维权工作，当好党和政府联系文艺工作者的桥梁和纽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根据以上自评情况，我单位就1项文艺精品创作经费项目。在2024年实施过程中严格按照绩效考核相关要求落实的，不存在需要整改的问题。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保定市徐水区文学艺术界联合会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2025年3月14日</w:t>
      </w:r>
    </w:p>
    <w:sectPr>
      <w:footerReference r:id="rId3" w:type="default"/>
      <w:type w:val="continuous"/>
      <w:pgSz w:w="11900" w:h="16960"/>
      <w:pgMar w:top="1440" w:right="1803" w:bottom="1440" w:left="1803" w:header="960" w:footer="144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A66E4"/>
    <w:rsid w:val="6A3A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qFormat/>
    <w:uiPriority w:val="99"/>
    <w:rPr>
      <w:rFonts w:ascii="宋体" w:hAnsi="Courier New" w:cs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2025-11-18T07:44:00Z</dcterms:created>
  <dc:creator>user</dc:creator>
  <cp:lastModifiedBy>user</cp:lastModifiedBy>
  <dcterms:modified xsi:type="dcterms:W3CDTF">2025-11-18T07:47:01Z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