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640" w:firstLineChars="200"/>
        <w:jc w:val="both"/>
        <w:rPr>
          <w:rFonts w:ascii="黑体" w:hAnsi="黑体" w:eastAsia="黑体" w:cs="黑体"/>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中共保定市徐水区纪委202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一、保定市徐水区纪委基本情况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10</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19</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end"/>
          </w:r>
          <w:r>
            <w:rPr>
              <w:rFonts w:asciiTheme="majorEastAsia" w:hAnsiTheme="majorEastAsia" w:eastAsiaTheme="majorEastAsia" w:cstheme="majorEastAsia"/>
              <w:sz w:val="24"/>
            </w:rPr>
            <w:t>24</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纪委为正科级行政单位，经费保障形式为财政拨款，下设23个股室，分别为办公室、组织部、党风政风监督室、信访室、案件监督管理室、第一至第八监督检查室、第九至第十二审查调查室、案件审理室、驻区委办公室纪检监察组、驻区政府办公室纪检监察组、驻区教育和体育局纪检监察组、驻区财政局纪检监察组、驻区政法委纪检监察组，主要职责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（二）依照党的章程和其他党内法规履行监督、执纪、问责职责。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（三）支持配合巡察工作。承担巡视巡察整改日常监督责任，做好巡视巡察整改督查督办工作，依规依纪依法处置巡视巡察移交的反映领导干部问题线索。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全区监察工作。贯彻落实党中央、省委、市委和区委关于监察工作的决策部署，维护宪法法律，依法对区委管理的行使公权力的公职人员进行监察，调查职务违法和职务犯罪，开展廉政建设和反腐败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（五）依照法律规定履行监督、调查、处置职责。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（六）负责组织协调全面从严治党、党风廉政建设和反腐败宣传教育工作。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（七）负责综合分析全面从严治党、党风廉政建设和反腐败工作情况。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（八)负责组织协调全区反腐败追逃追赃和防逃工作，督促有关单位做好相关工作。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（九）根据干部管理权限，负责全区纪检监察系统领导班子建设、干部队伍建设和组织建设的综合规划、政策研究和制度建设。</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（十）完成上级纪委、监委和区委授权或交办的其他任务。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本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纪委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87.54</w:t>
      </w:r>
      <w:r>
        <w:rPr>
          <w:rFonts w:hint="eastAsia" w:ascii="仿宋_GB2312" w:eastAsia="仿宋_GB2312" w:cs="DengXian-Regular"/>
          <w:sz w:val="32"/>
          <w:szCs w:val="32"/>
        </w:rPr>
        <w:t>分，评价等级为“良”。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经评价，区纪委 202</w:t>
      </w:r>
      <w:r>
        <w:rPr>
          <w:rFonts w:ascii="仿宋_GB2312" w:eastAsia="仿宋_GB2312" w:cs="DengXian-Regular"/>
          <w:sz w:val="32"/>
          <w:szCs w:val="32"/>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建议区纪委对项目资金进行梳理，督促项目进度和资金拨付进度，应拨付的资金及时拨付，不具备条件的资金及时收回，同时，对于按规定可以结转至下年的中央及省级项目资金，在下年的项目安排时优先考虑。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w:t>
      </w:r>
      <w:r>
        <w:rPr>
          <w:rFonts w:hint="eastAsia" w:ascii="仿宋_GB2312" w:eastAsia="仿宋_GB2312" w:cs="DengXian-Regular"/>
          <w:sz w:val="32"/>
          <w:szCs w:val="32"/>
        </w:rPr>
        <w:t>年度</w:t>
      </w:r>
      <w:r>
        <w:rPr>
          <w:rFonts w:ascii="仿宋_GB2312" w:eastAsia="仿宋_GB2312" w:cs="DengXian-Regular"/>
          <w:sz w:val="32"/>
          <w:szCs w:val="32"/>
        </w:rPr>
        <w:t>追加项目资金较多，今后预算编制</w:t>
      </w:r>
      <w:r>
        <w:rPr>
          <w:rFonts w:hint="eastAsia" w:ascii="仿宋_GB2312" w:eastAsia="仿宋_GB2312" w:cs="DengXian-Regular"/>
          <w:sz w:val="32"/>
          <w:szCs w:val="32"/>
        </w:rPr>
        <w:t>依据</w:t>
      </w:r>
      <w:r>
        <w:rPr>
          <w:rFonts w:ascii="仿宋_GB2312" w:eastAsia="仿宋_GB2312" w:cs="DengXian-Regular"/>
          <w:sz w:val="32"/>
          <w:szCs w:val="32"/>
        </w:rPr>
        <w:t xml:space="preserve">将要开展的工作，要更加科学、合理。 </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一、保定市徐水区纪委基本情况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机构编制委员会关于保定市徐水区纪委监委机关内设机构调整的通知》及《中共保定市徐水区委机构编制委员会关于区纪委监委派驻机构改革的通知》，区纪委为正科级单位，下设23个股室。根据绩效预算管理改革的相关要求，按照“部门职责—工作活动绩效目标”的层级设立了绩效预算架构，职责活动包括办案问责、党风廉政建设、监督检查、纪检事务管理共四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2</w:t>
      </w:r>
      <w:r>
        <w:rPr>
          <w:rFonts w:hint="eastAsia" w:ascii="仿宋_GB2312" w:eastAsia="仿宋_GB2312" w:cs="DengXian-Regular"/>
          <w:sz w:val="32"/>
          <w:szCs w:val="32"/>
        </w:rPr>
        <w:t>年绩效预算编制要求，区纪委设置的年度发展规划总体目标为：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以习近平新时代中国特色社会主义思想为指导，深入学习贯彻党的十九届四中全会和省委九届九次全会精神。自觉践行“四个意识”，牢固树立“四个自信”，不忘初心、牢记使命，着力加强监督检查，持之以恒正风肃纪，深化运用“四种形态”、把纪律和规矩挺在前面，强化监督执纪问责、始终保持反腐败高压态势，坚持标本兼治，深化“三不”机制，坚定不移推动全面从严治党、党风廉政建设和反腐败斗争向纵深发展，努力建设忠诚、干净、担当的纪检铁军，为建设富裕文明新区、美丽幸福徐水提供坚强的纪律保证。</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w:t>
      </w:r>
      <w:r>
        <w:rPr>
          <w:rFonts w:ascii="仿宋_GB2312" w:eastAsia="仿宋_GB2312" w:cs="DengXian-Regular"/>
          <w:sz w:val="32"/>
          <w:szCs w:val="32"/>
        </w:rPr>
        <w:t>.</w:t>
      </w:r>
      <w:r>
        <w:rPr>
          <w:rFonts w:hint="eastAsia" w:ascii="仿宋_GB2312" w:eastAsia="仿宋_GB2312" w:cs="DengXian-Regular"/>
          <w:sz w:val="32"/>
          <w:szCs w:val="32"/>
        </w:rPr>
        <w:t>加大案件查办力度，维护党纪国法尊严，坚决惩处腐败分子，有效遏制腐败现象。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受理信访、举报，集中管理问题线索、组织协调案件查办，调查、审查违纪违法案件，对有关对象违反党纪政纪和违纪违法行为进行处理。加大惩治腐败力度，始终保持纪律审查高压态势；持续深入落实好“两个责任”； 加大农村基层腐败的惩治力度，着力探索实践监督执纪“四种形态”的有效途径，严格抓好党纪教育、廉政提醒、谈心提醒、谈话函询、述职述廉等措施，推动咬耳扯袖、红脸出汗常态化。紧盯关键领域和关键人群。围绕“三重一大”、人财物管理、行政许可和审批、行政事业性收费、执纪执法等方面，强化廉政风险排查和纪律审查，严肃查处发生在重点工作、重点领域和关键岗位的腐败问题，坚决查处一批有影响的大案要案，逐步构建“不敢腐、不能腐、不想腐”的体制机制。严肃查处发生在群众身边的不正之风和腐败问题，发挥震慑效应，让基层群众更多感受到从上到下反腐的决心、力度和实际成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绩效指标：群众来信来访登记率达到100%，案件办结率达到90%以上。群众满意度达到90%以上，群众满意度明显提升。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w:t>
      </w:r>
      <w:r>
        <w:rPr>
          <w:rFonts w:hint="eastAsia" w:ascii="仿宋_GB2312" w:eastAsia="仿宋_GB2312" w:cs="DengXian-Regular"/>
          <w:sz w:val="32"/>
          <w:szCs w:val="32"/>
        </w:rPr>
        <w:t>加大监督、执纪、问责力度，促进“两个责任”有效落实。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经常对党员进行遵守纪律的教育，对区委管理的党的组织和各级领导干部履行职责、行使权力进行监督，受理处置党员群众检举举报、开展谈话提醒、约谈函询。监督检查党委（党组）落实管党治党主体责任情况，落实监督责任，实施问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绩效指标：综合运用“四种形态”，第一、二种形态占比不低于90%，第三种形态占比不超6%，第四种形态占比4%以下。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w:t>
      </w:r>
      <w:r>
        <w:rPr>
          <w:rFonts w:hint="eastAsia" w:ascii="仿宋_GB2312" w:eastAsia="仿宋_GB2312" w:cs="DengXian-Regular"/>
          <w:sz w:val="32"/>
          <w:szCs w:val="32"/>
        </w:rPr>
        <w:t>积极发挥职能作用，加强党风廉政建设，营造风清气正、干事创业的工作氛围。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监督检查党的路线方针政策和决议、国家法律法规、党的政治纪律和政治规矩贯彻执行情况，落实中央八项规定精神、纠正“四风”工作，整治群众身边和扶贫领域的腐败和作风问题，综合协调党内监督、党的问责等方面工作，推动管党治党政治责任落实。</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绩效指标：党风廉政建设宣传覆盖率达到100%，群众身边的腐败问题进一步减少，减少幅度10%以上，加大干部问责力度，对失职失责干部问责率达到100%。</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加强纪检监察综合事务管理，持续深化“三转”，做好“监督执纪问责”主业的保障和服务。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区直部门及乡镇“转职能、转作风、转方式”工作全部完成，做好后勤保障工作，保障监督执纪问责”主业工作顺利开展。办公楼工作环境整洁卫生，安全用水用电，加强对车辆的维修保养，保障用车安全，确保不发生一起安全事故。</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绩效指标：区直部门及乡镇“三转”工作完成率100%，监督执纪问责后勤保障满意度90%以上，办公楼工作环境卫生达标率达到90%以上，安全事故发生率降低为0.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w:t>
      </w:r>
      <w:r>
        <w:rPr>
          <w:rFonts w:hint="eastAsia" w:ascii="仿宋_GB2312" w:eastAsia="仿宋_GB2312" w:cs="DengXian-Regular"/>
          <w:sz w:val="32"/>
          <w:szCs w:val="32"/>
        </w:rPr>
        <w:t>加强派驻纪检监察机构和乡镇纪委管理。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突出监督重点，抓住“关键少数”，强化对驻在部门领导班子及区委管理干部和股级干部的监督，着力加强对驻在部门本级机关和直属单位的监督。加强乡镇纪检组织建设，配齐配强乡镇纪检干部，切实增强乡镇纪律监督权的相对独立性和权威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绩效指标：区直部门设立5个派驻纪检</w:t>
      </w:r>
      <w:r>
        <w:rPr>
          <w:rFonts w:hint="eastAsia" w:ascii="仿宋_GB2312" w:eastAsia="仿宋_GB2312" w:cs="DengXian-Regular"/>
          <w:sz w:val="32"/>
          <w:szCs w:val="32"/>
          <w:lang w:val="en-US" w:eastAsia="zh-CN"/>
        </w:rPr>
        <w:t>监察</w:t>
      </w:r>
      <w:r>
        <w:rPr>
          <w:rFonts w:hint="eastAsia" w:ascii="仿宋_GB2312" w:eastAsia="仿宋_GB2312" w:cs="DengXian-Regular"/>
          <w:sz w:val="32"/>
          <w:szCs w:val="32"/>
        </w:rPr>
        <w:t>组，每个纪检</w:t>
      </w:r>
      <w:r>
        <w:rPr>
          <w:rFonts w:hint="eastAsia" w:ascii="仿宋_GB2312" w:eastAsia="仿宋_GB2312" w:cs="DengXian-Regular"/>
          <w:sz w:val="32"/>
          <w:szCs w:val="32"/>
          <w:lang w:val="en-US" w:eastAsia="zh-CN"/>
        </w:rPr>
        <w:t>监察</w:t>
      </w:r>
      <w:bookmarkStart w:id="79" w:name="_GoBack"/>
      <w:bookmarkEnd w:id="79"/>
      <w:r>
        <w:rPr>
          <w:rFonts w:hint="eastAsia" w:ascii="仿宋_GB2312" w:eastAsia="仿宋_GB2312" w:cs="DengXian-Regular"/>
          <w:sz w:val="32"/>
          <w:szCs w:val="32"/>
        </w:rPr>
        <w:t>组编制三名，区直部门派驻率100%。全区16个乡镇成立监察室，覆盖率100%。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w:t>
      </w:r>
      <w:r>
        <w:rPr>
          <w:rFonts w:ascii="仿宋_GB2312" w:eastAsia="仿宋_GB2312" w:cs="DengXian-Regular"/>
          <w:sz w:val="32"/>
          <w:szCs w:val="32"/>
        </w:rPr>
        <w:t>.</w:t>
      </w:r>
      <w:r>
        <w:rPr>
          <w:rFonts w:hint="eastAsia" w:ascii="仿宋_GB2312" w:eastAsia="仿宋_GB2312" w:cs="DengXian-Regular"/>
          <w:sz w:val="32"/>
          <w:szCs w:val="32"/>
        </w:rPr>
        <w:t>支持配合巡察工作，做好巡视巡察整改日常监督。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绩效目标：承担巡视巡察整改日常监督责任，做好巡视巡察整改督查督办工作，依规依纪依法处置巡视巡察移交的反映领导干部问题线索。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绩效指标：巡视巡察整改督查督办工作完成率100%，移交问题线索查办率100%。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年本单位预算收入</w:t>
      </w:r>
      <w:r>
        <w:rPr>
          <w:rFonts w:ascii="仿宋_GB2312" w:eastAsia="仿宋_GB2312" w:cs="DengXian-Regular"/>
          <w:sz w:val="32"/>
          <w:szCs w:val="32"/>
        </w:rPr>
        <w:t>2269.32</w:t>
      </w:r>
      <w:r>
        <w:rPr>
          <w:rFonts w:hint="eastAsia" w:ascii="仿宋_GB2312" w:eastAsia="仿宋_GB2312" w:cs="DengXian-Regular"/>
          <w:sz w:val="32"/>
          <w:szCs w:val="32"/>
        </w:rPr>
        <w:t>万元，其中一般公共预算拨款2269.22万元，其中：财政拨款</w:t>
      </w:r>
      <w:r>
        <w:rPr>
          <w:rFonts w:ascii="仿宋_GB2312" w:eastAsia="仿宋_GB2312" w:cs="DengXian-Regular"/>
          <w:sz w:val="32"/>
          <w:szCs w:val="32"/>
        </w:rPr>
        <w:t>2269.22</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0</w:t>
      </w:r>
      <w:r>
        <w:rPr>
          <w:rFonts w:hint="eastAsia" w:ascii="仿宋_GB2312" w:eastAsia="仿宋_GB2312" w:cs="DengXian-Regular"/>
          <w:sz w:val="32"/>
          <w:szCs w:val="32"/>
        </w:rPr>
        <w:t>万元。预算收入按功能分类包含：一般公共服务支出1950.69万元，社会保障和就业支出163.78万元，卫生健康支出6</w:t>
      </w:r>
      <w:r>
        <w:rPr>
          <w:rFonts w:ascii="仿宋_GB2312" w:eastAsia="仿宋_GB2312" w:cs="DengXian-Regular"/>
          <w:sz w:val="32"/>
          <w:szCs w:val="32"/>
        </w:rPr>
        <w:t>4.93</w:t>
      </w:r>
      <w:r>
        <w:rPr>
          <w:rFonts w:hint="eastAsia" w:ascii="仿宋_GB2312" w:eastAsia="仿宋_GB2312" w:cs="DengXian-Regular"/>
          <w:sz w:val="32"/>
          <w:szCs w:val="32"/>
        </w:rPr>
        <w:t>万元，住房保障支出89.82万元。具体预算收入详见附件2。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年本单位决算收入</w:t>
      </w:r>
      <w:r>
        <w:rPr>
          <w:rFonts w:ascii="仿宋_GB2312" w:eastAsia="仿宋_GB2312" w:cs="DengXian-Regular"/>
          <w:sz w:val="32"/>
          <w:szCs w:val="32"/>
        </w:rPr>
        <w:t>2494.27</w:t>
      </w:r>
      <w:r>
        <w:rPr>
          <w:rFonts w:hint="eastAsia" w:ascii="仿宋_GB2312" w:eastAsia="仿宋_GB2312" w:cs="DengXian-Regular"/>
          <w:sz w:val="32"/>
          <w:szCs w:val="32"/>
        </w:rPr>
        <w:t>万元，其中：财政拨款收入</w:t>
      </w:r>
      <w:r>
        <w:rPr>
          <w:rFonts w:ascii="仿宋_GB2312" w:eastAsia="仿宋_GB2312" w:cs="DengXian-Regular"/>
          <w:sz w:val="32"/>
          <w:szCs w:val="32"/>
        </w:rPr>
        <w:t>2494.18</w:t>
      </w:r>
      <w:r>
        <w:rPr>
          <w:rFonts w:hint="eastAsia" w:ascii="仿宋_GB2312" w:eastAsia="仿宋_GB2312" w:cs="DengXian-Regular"/>
          <w:sz w:val="32"/>
          <w:szCs w:val="32"/>
        </w:rPr>
        <w:t>万元，其他收入</w:t>
      </w:r>
      <w:r>
        <w:rPr>
          <w:rFonts w:ascii="仿宋_GB2312" w:eastAsia="仿宋_GB2312" w:cs="DengXian-Regular"/>
          <w:sz w:val="32"/>
          <w:szCs w:val="32"/>
        </w:rPr>
        <w:t>0.09</w:t>
      </w:r>
      <w:r>
        <w:rPr>
          <w:rFonts w:hint="eastAsia" w:ascii="仿宋_GB2312" w:eastAsia="仿宋_GB2312" w:cs="DengXian-Regular"/>
          <w:sz w:val="32"/>
          <w:szCs w:val="32"/>
        </w:rPr>
        <w:t>万元（为利息收入及</w:t>
      </w:r>
      <w:r>
        <w:rPr>
          <w:rFonts w:ascii="仿宋_GB2312" w:eastAsia="仿宋_GB2312" w:cs="DengXian-Regular"/>
          <w:sz w:val="32"/>
          <w:szCs w:val="32"/>
        </w:rPr>
        <w:t>个税退付手续费</w:t>
      </w:r>
      <w:r>
        <w:rPr>
          <w:rFonts w:hint="eastAsia" w:ascii="仿宋_GB2312" w:eastAsia="仿宋_GB2312" w:cs="DengXian-Regular"/>
          <w:sz w:val="32"/>
          <w:szCs w:val="32"/>
        </w:rPr>
        <w:t>）。决算收入按功能分类包含：一般公共服务支出</w:t>
      </w:r>
      <w:r>
        <w:rPr>
          <w:rFonts w:ascii="仿宋_GB2312" w:eastAsia="仿宋_GB2312" w:cs="DengXian-Regular"/>
          <w:sz w:val="32"/>
          <w:szCs w:val="32"/>
        </w:rPr>
        <w:t>2183.74</w:t>
      </w:r>
      <w:r>
        <w:rPr>
          <w:rFonts w:hint="eastAsia" w:ascii="仿宋_GB2312" w:eastAsia="仿宋_GB2312" w:cs="DengXian-Regular"/>
          <w:sz w:val="32"/>
          <w:szCs w:val="32"/>
        </w:rPr>
        <w:t>万元，社会保障和就业支出</w:t>
      </w:r>
      <w:r>
        <w:rPr>
          <w:rFonts w:ascii="仿宋_GB2312" w:eastAsia="仿宋_GB2312" w:cs="DengXian-Regular"/>
          <w:sz w:val="32"/>
          <w:szCs w:val="32"/>
        </w:rPr>
        <w:t>166.96</w:t>
      </w:r>
      <w:r>
        <w:rPr>
          <w:rFonts w:hint="eastAsia" w:ascii="仿宋_GB2312" w:eastAsia="仿宋_GB2312" w:cs="DengXian-Regular"/>
          <w:sz w:val="32"/>
          <w:szCs w:val="32"/>
        </w:rPr>
        <w:t>万元，卫生健康支出</w:t>
      </w:r>
      <w:r>
        <w:rPr>
          <w:rFonts w:ascii="仿宋_GB2312" w:eastAsia="仿宋_GB2312" w:cs="DengXian-Regular"/>
          <w:sz w:val="32"/>
          <w:szCs w:val="32"/>
        </w:rPr>
        <w:t>50.81</w:t>
      </w:r>
      <w:r>
        <w:rPr>
          <w:rFonts w:hint="eastAsia" w:ascii="仿宋_GB2312" w:eastAsia="仿宋_GB2312" w:cs="DengXian-Regular"/>
          <w:sz w:val="32"/>
          <w:szCs w:val="32"/>
        </w:rPr>
        <w:t>万元，住房保障支出</w:t>
      </w:r>
      <w:r>
        <w:rPr>
          <w:rFonts w:ascii="仿宋_GB2312" w:eastAsia="仿宋_GB2312" w:cs="DengXian-Regular"/>
          <w:sz w:val="32"/>
          <w:szCs w:val="32"/>
        </w:rPr>
        <w:t>92.76</w:t>
      </w:r>
      <w:r>
        <w:rPr>
          <w:rFonts w:hint="eastAsia" w:ascii="仿宋_GB2312" w:eastAsia="仿宋_GB2312" w:cs="DengXian-Regular"/>
          <w:sz w:val="32"/>
          <w:szCs w:val="32"/>
        </w:rPr>
        <w:t>万元。具体决算收入详见附件2。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年度区纪委决算收入结构图</w:t>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60288" behindDoc="0" locked="0" layoutInCell="1" allowOverlap="1">
            <wp:simplePos x="0" y="0"/>
            <wp:positionH relativeFrom="column">
              <wp:posOffset>217170</wp:posOffset>
            </wp:positionH>
            <wp:positionV relativeFrom="paragraph">
              <wp:posOffset>126365</wp:posOffset>
            </wp:positionV>
            <wp:extent cx="5276215" cy="2312035"/>
            <wp:effectExtent l="4445" t="4445" r="15240" b="7620"/>
            <wp:wrapNone/>
            <wp:docPr id="103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本单位一般公共预算财政拨款决算收入比年初预算增加</w:t>
      </w:r>
      <w:r>
        <w:rPr>
          <w:rFonts w:ascii="仿宋_GB2312" w:eastAsia="仿宋_GB2312" w:cs="DengXian-Regular"/>
          <w:sz w:val="32"/>
          <w:szCs w:val="32"/>
        </w:rPr>
        <w:t>224.86</w:t>
      </w:r>
      <w:r>
        <w:rPr>
          <w:rFonts w:hint="eastAsia" w:ascii="仿宋_GB2312" w:eastAsia="仿宋_GB2312" w:cs="DengXian-Regular"/>
          <w:sz w:val="32"/>
          <w:szCs w:val="32"/>
        </w:rPr>
        <w:t>万元，完成年初预算的</w:t>
      </w:r>
      <w:r>
        <w:rPr>
          <w:rFonts w:ascii="仿宋_GB2312" w:eastAsia="仿宋_GB2312" w:cs="DengXian-Regular"/>
          <w:sz w:val="32"/>
          <w:szCs w:val="32"/>
        </w:rPr>
        <w:t>109.91</w:t>
      </w:r>
      <w:r>
        <w:rPr>
          <w:rFonts w:hint="eastAsia" w:ascii="仿宋_GB2312" w:eastAsia="仿宋_GB2312" w:cs="DengXian-Regular"/>
          <w:sz w:val="32"/>
          <w:szCs w:val="32"/>
        </w:rPr>
        <w:t>%。决算收入大于预算收入的主要原因为202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年度我单位收到中央转移支付资金及发放部分绩效奖。预算收入与决算收入对比情况见图2。</w:t>
      </w:r>
    </w:p>
    <w:p>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2</w:t>
      </w:r>
      <w:r>
        <w:rPr>
          <w:rFonts w:hint="eastAsia" w:asciiTheme="minorEastAsia" w:hAnsiTheme="minorEastAsia" w:eastAsiaTheme="minorEastAsia" w:cstheme="minorEastAsia"/>
          <w:b/>
          <w:sz w:val="32"/>
          <w:szCs w:val="32"/>
          <w:u w:color="000000"/>
        </w:rPr>
        <w:t>年度区纪委预算收入与决算收入对比图</w:t>
      </w:r>
    </w:p>
    <w:p>
      <w:pPr>
        <w:spacing w:after="0" w:line="360" w:lineRule="auto"/>
        <w:jc w:val="center"/>
        <w:rPr>
          <w:rFonts w:asciiTheme="minorEastAsia" w:hAnsiTheme="minorEastAsia" w:eastAsiaTheme="minorEastAsia" w:cstheme="minorEastAsia"/>
          <w:b/>
          <w:sz w:val="32"/>
          <w:szCs w:val="32"/>
          <w:u w:color="000000"/>
        </w:rPr>
      </w:pPr>
      <w:r>
        <w:drawing>
          <wp:anchor distT="0" distB="0" distL="114300" distR="114300" simplePos="0" relativeHeight="251659264" behindDoc="0" locked="0" layoutInCell="1" allowOverlap="1">
            <wp:simplePos x="0" y="0"/>
            <wp:positionH relativeFrom="column">
              <wp:posOffset>440055</wp:posOffset>
            </wp:positionH>
            <wp:positionV relativeFrom="paragraph">
              <wp:posOffset>339725</wp:posOffset>
            </wp:positionV>
            <wp:extent cx="4572000" cy="2743200"/>
            <wp:effectExtent l="0" t="0" r="0" b="0"/>
            <wp:wrapNone/>
            <wp:docPr id="308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spacing w:before="0" w:after="0"/>
        <w:ind w:firstLine="643" w:firstLineChars="200"/>
        <w:jc w:val="both"/>
        <w:rPr>
          <w:rFonts w:ascii="仿宋_GB2312" w:hAnsiTheme="minorEastAsia"/>
          <w:sz w:val="32"/>
        </w:rPr>
      </w:pPr>
      <w:bookmarkStart w:id="12" w:name="_Toc18197"/>
    </w:p>
    <w:p>
      <w:pPr>
        <w:pStyle w:val="4"/>
        <w:spacing w:before="0" w:after="0"/>
        <w:ind w:firstLine="643" w:firstLineChars="200"/>
        <w:jc w:val="both"/>
        <w:rPr>
          <w:rFonts w:ascii="仿宋_GB2312" w:hAnsiTheme="minorEastAsia"/>
          <w:sz w:val="32"/>
        </w:rPr>
      </w:pPr>
    </w:p>
    <w:p>
      <w:pPr>
        <w:pStyle w:val="4"/>
        <w:spacing w:before="0" w:after="0"/>
        <w:ind w:firstLine="643" w:firstLineChars="200"/>
        <w:jc w:val="both"/>
        <w:rPr>
          <w:rFonts w:ascii="仿宋_GB2312" w:hAnsiTheme="minorEastAsia"/>
          <w:sz w:val="32"/>
        </w:rPr>
      </w:pPr>
    </w:p>
    <w:p>
      <w:pPr>
        <w:pStyle w:val="4"/>
        <w:spacing w:before="0" w:after="0"/>
        <w:jc w:val="both"/>
        <w:rPr>
          <w:rFonts w:ascii="仿宋_GB2312" w:hAnsiTheme="minorEastAsia"/>
          <w:sz w:val="32"/>
        </w:rPr>
      </w:pPr>
    </w:p>
    <w:p>
      <w:pPr>
        <w:rPr>
          <w:rFonts w:ascii="仿宋_GB2312" w:hAnsiTheme="minorEastAsia"/>
          <w:sz w:val="32"/>
        </w:rPr>
      </w:pPr>
    </w:p>
    <w:p>
      <w:pPr>
        <w:rPr>
          <w:rFonts w:ascii="仿宋_GB2312" w:hAnsiTheme="minorEastAsia"/>
          <w:sz w:val="32"/>
        </w:rPr>
      </w:pP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年度本单位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2269.32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2160.85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108.47</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一般公共服务支出1950.69万元，社会保障和就业支出163.78万元，卫生健康支出6</w:t>
      </w:r>
      <w:r>
        <w:rPr>
          <w:rFonts w:ascii="仿宋_GB2312" w:eastAsia="仿宋_GB2312" w:cs="DengXian-Regular"/>
          <w:sz w:val="32"/>
          <w:szCs w:val="32"/>
        </w:rPr>
        <w:t>4.93</w:t>
      </w:r>
      <w:r>
        <w:rPr>
          <w:rFonts w:hint="eastAsia" w:ascii="仿宋_GB2312" w:eastAsia="仿宋_GB2312" w:cs="DengXian-Regular"/>
          <w:sz w:val="32"/>
          <w:szCs w:val="32"/>
        </w:rPr>
        <w:t>万元，住房保障支出89.82万元</w:t>
      </w: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年度本单位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2494.19</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2141.60</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352.58</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2183.65</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166.96</w:t>
      </w:r>
      <w:r>
        <w:rPr>
          <w:rFonts w:hint="eastAsia" w:ascii="仿宋_GB2312" w:eastAsia="仿宋_GB2312" w:cs="Times New Roman" w:hAnsiTheme="minorEastAsia"/>
          <w:sz w:val="32"/>
          <w:szCs w:val="32"/>
          <w:u w:color="000000"/>
        </w:rPr>
        <w:t>万元，卫生健康支出</w:t>
      </w:r>
      <w:r>
        <w:rPr>
          <w:rFonts w:ascii="仿宋_GB2312" w:eastAsia="仿宋_GB2312" w:cs="Times New Roman" w:hAnsiTheme="minorEastAsia"/>
          <w:sz w:val="32"/>
          <w:szCs w:val="32"/>
          <w:u w:color="000000"/>
        </w:rPr>
        <w:t>50.81</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92.76</w:t>
      </w:r>
      <w:r>
        <w:rPr>
          <w:rFonts w:hint="eastAsia" w:ascii="仿宋_GB2312" w:eastAsia="仿宋_GB2312" w:cs="Times New Roman" w:hAnsiTheme="minorEastAsia"/>
          <w:sz w:val="32"/>
          <w:szCs w:val="32"/>
          <w:u w:color="000000"/>
        </w:rPr>
        <w:t>万元。具体决算支出详见附件2。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2</w:t>
      </w:r>
      <w:r>
        <w:rPr>
          <w:rFonts w:hint="eastAsia" w:asciiTheme="minorEastAsia" w:hAnsiTheme="minorEastAsia" w:eastAsiaTheme="minorEastAsia" w:cstheme="minorEastAsia"/>
          <w:b/>
          <w:bCs/>
          <w:sz w:val="32"/>
          <w:szCs w:val="32"/>
          <w:u w:color="000000"/>
        </w:rPr>
        <w:t>年度区纪委决算支出结构图</w:t>
      </w:r>
    </w:p>
    <w:p>
      <w:pPr>
        <w:spacing w:after="0" w:line="360" w:lineRule="auto"/>
        <w:jc w:val="center"/>
        <w:rPr>
          <w:rFonts w:ascii="仿宋_GB2312" w:eastAsia="仿宋_GB2312" w:cs="Times New Roman" w:hAnsiTheme="minorEastAsia"/>
          <w:sz w:val="32"/>
          <w:szCs w:val="32"/>
          <w:u w:color="000000"/>
        </w:rPr>
      </w:pPr>
      <w:r>
        <w:drawing>
          <wp:inline distT="0" distB="0" distL="0" distR="0">
            <wp:extent cx="4371975" cy="27432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224.86</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109.91</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主要原因为202</w:t>
      </w:r>
      <w:r>
        <w:rPr>
          <w:rFonts w:ascii="仿宋_GB2312" w:eastAsia="仿宋_GB2312" w:cs="DengXian-Regular"/>
          <w:sz w:val="32"/>
          <w:szCs w:val="32"/>
        </w:rPr>
        <w:t>2</w:t>
      </w:r>
      <w:r>
        <w:rPr>
          <w:rFonts w:hint="eastAsia" w:ascii="仿宋_GB2312" w:eastAsia="仿宋_GB2312" w:cs="DengXian-Regular"/>
          <w:sz w:val="32"/>
          <w:szCs w:val="32"/>
        </w:rPr>
        <w:t>年度我单位收到中央转移支付资金及发放部分绩效奖</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年度区纪委预算支出与决算支出对比图</w:t>
      </w:r>
    </w:p>
    <w:p>
      <w:pPr>
        <w:spacing w:after="0" w:line="360" w:lineRule="auto"/>
        <w:jc w:val="center"/>
        <w:rPr>
          <w:rFonts w:ascii="仿宋_GB2312" w:eastAsia="仿宋_GB2312" w:cs="DengXian-Regular"/>
          <w:sz w:val="32"/>
          <w:szCs w:val="32"/>
        </w:rPr>
      </w:pPr>
      <w:r>
        <w:drawing>
          <wp:inline distT="0" distB="0" distL="0" distR="0">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本单位202</w:t>
      </w:r>
      <w:r>
        <w:rPr>
          <w:rFonts w:ascii="仿宋_GB2312" w:eastAsia="仿宋_GB2312" w:cs="DengXian-Regular"/>
          <w:sz w:val="32"/>
          <w:szCs w:val="32"/>
        </w:rPr>
        <w:t>2</w:t>
      </w:r>
      <w:r>
        <w:rPr>
          <w:rFonts w:hint="eastAsia" w:ascii="仿宋_GB2312" w:eastAsia="仿宋_GB2312" w:cs="DengXian-Regular"/>
          <w:sz w:val="32"/>
          <w:szCs w:val="32"/>
        </w:rPr>
        <w:t>年实际项目支出</w:t>
      </w:r>
      <w:r>
        <w:rPr>
          <w:rFonts w:ascii="仿宋_GB2312" w:eastAsia="仿宋_GB2312" w:cs="DengXian-Regular"/>
          <w:sz w:val="32"/>
          <w:szCs w:val="32"/>
        </w:rPr>
        <w:t>352.58</w:t>
      </w:r>
      <w:r>
        <w:rPr>
          <w:rFonts w:hint="eastAsia" w:ascii="仿宋_GB2312" w:eastAsia="仿宋_GB2312" w:cs="DengXian-Regular"/>
          <w:sz w:val="32"/>
          <w:szCs w:val="32"/>
        </w:rPr>
        <w:t>万元，决算报表中项目支出</w:t>
      </w:r>
      <w:r>
        <w:rPr>
          <w:rFonts w:ascii="仿宋_GB2312" w:eastAsia="仿宋_GB2312" w:cs="DengXian-Regular"/>
          <w:sz w:val="32"/>
          <w:szCs w:val="32"/>
        </w:rPr>
        <w:t>352.58</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r>
        <w:rPr>
          <w:rFonts w:ascii="仿宋_GB2312" w:eastAsia="仿宋_GB2312" w:cs="DengXian-Regular"/>
          <w:sz w:val="32"/>
          <w:szCs w:val="32"/>
        </w:rPr>
        <w:t xml:space="preserve"> </w:t>
      </w:r>
    </w:p>
    <w:p>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年区纪委单位“三公”经费预算</w:t>
      </w:r>
      <w:r>
        <w:rPr>
          <w:rFonts w:ascii="仿宋_GB2312" w:eastAsia="仿宋_GB2312" w:cs="DengXian-Regular"/>
          <w:sz w:val="32"/>
          <w:szCs w:val="32"/>
        </w:rPr>
        <w:t>67.52</w:t>
      </w:r>
      <w:r>
        <w:rPr>
          <w:rFonts w:hint="eastAsia" w:ascii="仿宋_GB2312" w:eastAsia="仿宋_GB2312" w:cs="DengXian-Regular"/>
          <w:sz w:val="32"/>
          <w:szCs w:val="32"/>
        </w:rPr>
        <w:t>万元（公务用车运行维护费</w:t>
      </w:r>
      <w:r>
        <w:rPr>
          <w:rFonts w:ascii="仿宋_GB2312" w:eastAsia="仿宋_GB2312" w:cs="DengXian-Regular"/>
          <w:sz w:val="32"/>
          <w:szCs w:val="32"/>
        </w:rPr>
        <w:t>16.69</w:t>
      </w:r>
      <w:r>
        <w:rPr>
          <w:rFonts w:hint="eastAsia" w:ascii="仿宋_GB2312" w:eastAsia="仿宋_GB2312" w:cs="DengXian-Regular"/>
          <w:sz w:val="32"/>
          <w:szCs w:val="32"/>
        </w:rPr>
        <w:t>万元，公务接待费</w:t>
      </w:r>
      <w:r>
        <w:rPr>
          <w:rFonts w:ascii="仿宋_GB2312" w:eastAsia="仿宋_GB2312" w:cs="DengXian-Regular"/>
          <w:sz w:val="32"/>
          <w:szCs w:val="32"/>
        </w:rPr>
        <w:t>2.43</w:t>
      </w:r>
      <w:r>
        <w:rPr>
          <w:rFonts w:hint="eastAsia" w:ascii="仿宋_GB2312" w:eastAsia="仿宋_GB2312" w:cs="DengXian-Regular"/>
          <w:sz w:val="32"/>
          <w:szCs w:val="32"/>
        </w:rPr>
        <w:t>万元，</w:t>
      </w:r>
      <w:r>
        <w:rPr>
          <w:rFonts w:ascii="仿宋_GB2312" w:eastAsia="仿宋_GB2312" w:cs="DengXian-Regular"/>
          <w:sz w:val="32"/>
          <w:szCs w:val="32"/>
        </w:rPr>
        <w:t>公务用车购置费</w:t>
      </w:r>
      <w:r>
        <w:rPr>
          <w:rFonts w:hint="eastAsia" w:ascii="仿宋_GB2312" w:eastAsia="仿宋_GB2312" w:cs="DengXian-Regular"/>
          <w:sz w:val="32"/>
          <w:szCs w:val="32"/>
        </w:rPr>
        <w:t>48.40万元），实际支出</w:t>
      </w:r>
      <w:r>
        <w:rPr>
          <w:rFonts w:ascii="仿宋_GB2312" w:eastAsia="仿宋_GB2312" w:cs="DengXian-Regular"/>
          <w:sz w:val="32"/>
          <w:szCs w:val="32"/>
        </w:rPr>
        <w:t>67.52</w:t>
      </w:r>
      <w:r>
        <w:rPr>
          <w:rFonts w:hint="eastAsia" w:ascii="仿宋_GB2312" w:eastAsia="仿宋_GB2312" w:cs="DengXian-Regular"/>
          <w:sz w:val="32"/>
          <w:szCs w:val="32"/>
        </w:rPr>
        <w:t>万元（公务用车运行维护费</w:t>
      </w:r>
      <w:r>
        <w:rPr>
          <w:rFonts w:ascii="仿宋_GB2312" w:eastAsia="仿宋_GB2312" w:cs="DengXian-Regular"/>
          <w:sz w:val="32"/>
          <w:szCs w:val="32"/>
        </w:rPr>
        <w:t>16.69</w:t>
      </w:r>
      <w:r>
        <w:rPr>
          <w:rFonts w:hint="eastAsia" w:ascii="仿宋_GB2312" w:eastAsia="仿宋_GB2312" w:cs="DengXian-Regular"/>
          <w:sz w:val="32"/>
          <w:szCs w:val="32"/>
        </w:rPr>
        <w:t>万元，公务接待费</w:t>
      </w:r>
      <w:r>
        <w:rPr>
          <w:rFonts w:ascii="仿宋_GB2312" w:eastAsia="仿宋_GB2312" w:cs="DengXian-Regular"/>
          <w:sz w:val="32"/>
          <w:szCs w:val="32"/>
        </w:rPr>
        <w:t>2.43</w:t>
      </w:r>
      <w:r>
        <w:rPr>
          <w:rFonts w:hint="eastAsia" w:ascii="仿宋_GB2312" w:eastAsia="仿宋_GB2312" w:cs="DengXian-Regular"/>
          <w:sz w:val="32"/>
          <w:szCs w:val="32"/>
        </w:rPr>
        <w:t>万元，</w:t>
      </w:r>
      <w:r>
        <w:rPr>
          <w:rFonts w:ascii="仿宋_GB2312" w:eastAsia="仿宋_GB2312" w:cs="DengXian-Regular"/>
          <w:sz w:val="32"/>
          <w:szCs w:val="32"/>
        </w:rPr>
        <w:t>公务用车购置费</w:t>
      </w:r>
      <w:r>
        <w:rPr>
          <w:rFonts w:hint="eastAsia" w:ascii="仿宋_GB2312" w:eastAsia="仿宋_GB2312" w:cs="DengXian-Regular"/>
          <w:sz w:val="32"/>
          <w:szCs w:val="32"/>
        </w:rPr>
        <w:t>48.40万元），比预算减少</w:t>
      </w:r>
      <w:r>
        <w:rPr>
          <w:rFonts w:ascii="仿宋_GB2312" w:eastAsia="仿宋_GB2312" w:cs="DengXian-Regular"/>
          <w:sz w:val="32"/>
          <w:szCs w:val="32"/>
        </w:rPr>
        <w:t>0</w:t>
      </w:r>
      <w:r>
        <w:rPr>
          <w:rFonts w:hint="eastAsia" w:ascii="仿宋_GB2312" w:eastAsia="仿宋_GB2312" w:cs="DengXian-Regular"/>
          <w:sz w:val="32"/>
          <w:szCs w:val="32"/>
        </w:rPr>
        <w:t>万元，节约率</w:t>
      </w:r>
      <w:r>
        <w:rPr>
          <w:rFonts w:ascii="仿宋_GB2312" w:eastAsia="仿宋_GB2312" w:cs="DengXian-Regular"/>
          <w:sz w:val="32"/>
          <w:szCs w:val="32"/>
        </w:rPr>
        <w:t>0</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2021</w:t>
      </w:r>
      <w:r>
        <w:rPr>
          <w:rFonts w:hint="eastAsia" w:ascii="仿宋_GB2312" w:eastAsia="仿宋_GB2312" w:cs="DengXian-Regular"/>
          <w:sz w:val="32"/>
          <w:szCs w:val="32"/>
        </w:rPr>
        <w:t>年预算数相比增加25.52万元，决算数与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年实际支出相比，增加46.67万元。具体详见表1。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区纪委“三公”经费预算及决算明细表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ascii="宋体" w:hAnsi="宋体" w:eastAsia="宋体" w:cs="宋体"/>
                <w:b/>
                <w:bCs/>
                <w:sz w:val="21"/>
                <w:szCs w:val="21"/>
              </w:rPr>
              <w:t>2021</w:t>
            </w:r>
            <w:r>
              <w:rPr>
                <w:rFonts w:hint="eastAsia" w:ascii="宋体" w:hAnsi="宋体" w:eastAsia="宋体" w:cs="宋体"/>
                <w:b/>
                <w:bCs/>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hint="eastAsia" w:ascii="宋体" w:hAnsi="宋体" w:eastAsia="宋体" w:cs="宋体"/>
                <w:b/>
                <w:bCs/>
                <w:sz w:val="21"/>
                <w:szCs w:val="21"/>
              </w:rPr>
              <w:t>202</w:t>
            </w:r>
            <w:r>
              <w:rPr>
                <w:rFonts w:ascii="宋体" w:hAnsi="宋体" w:eastAsia="宋体" w:cs="宋体"/>
                <w:b/>
                <w:bCs/>
                <w:sz w:val="21"/>
                <w:szCs w:val="21"/>
              </w:rPr>
              <w:t>2</w:t>
            </w:r>
            <w:r>
              <w:rPr>
                <w:rFonts w:hint="eastAsia" w:ascii="宋体" w:hAnsi="宋体" w:eastAsia="宋体" w:cs="宋体"/>
                <w:b/>
                <w:bCs/>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sz w:val="21"/>
                <w:szCs w:val="21"/>
              </w:rPr>
            </w:pPr>
            <w:r>
              <w:rPr>
                <w:rFonts w:hint="eastAsia" w:ascii="宋体" w:hAnsi="宋体" w:eastAsia="宋体" w:cs="宋体"/>
                <w:b/>
                <w:bCs/>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sz w:val="21"/>
                <w:szCs w:val="21"/>
              </w:rPr>
            </w:pPr>
            <w:r>
              <w:rPr>
                <w:rFonts w:hint="eastAsia" w:ascii="宋体" w:hAnsi="宋体" w:eastAsia="宋体" w:cs="宋体"/>
                <w:b/>
                <w:bCs/>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65.09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65.09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35.09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50.71</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67.52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46.67</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2</w:t>
      </w:r>
      <w:r>
        <w:rPr>
          <w:rFonts w:hint="eastAsia" w:ascii="仿宋_GB2312" w:eastAsia="仿宋_GB2312" w:cs="DengXian-Regular"/>
          <w:sz w:val="32"/>
          <w:szCs w:val="32"/>
        </w:rPr>
        <w:t>年底区纪委车辆合计</w:t>
      </w:r>
      <w:r>
        <w:rPr>
          <w:rFonts w:ascii="仿宋_GB2312" w:eastAsia="仿宋_GB2312" w:cs="DengXian-Regular"/>
          <w:sz w:val="32"/>
          <w:szCs w:val="32"/>
        </w:rPr>
        <w:t>9</w:t>
      </w:r>
      <w:r>
        <w:rPr>
          <w:rFonts w:hint="eastAsia" w:ascii="仿宋_GB2312" w:eastAsia="仿宋_GB2312" w:cs="DengXian-Regular"/>
          <w:sz w:val="32"/>
          <w:szCs w:val="32"/>
        </w:rPr>
        <w:t>辆，其中机要通信</w:t>
      </w:r>
      <w:r>
        <w:rPr>
          <w:rFonts w:ascii="仿宋_GB2312" w:eastAsia="仿宋_GB2312" w:cs="DengXian-Regular"/>
          <w:sz w:val="32"/>
          <w:szCs w:val="32"/>
        </w:rPr>
        <w:t>车辆一辆，</w:t>
      </w:r>
      <w:r>
        <w:rPr>
          <w:rFonts w:hint="eastAsia" w:ascii="仿宋_GB2312" w:eastAsia="仿宋_GB2312" w:cs="DengXian-Regular"/>
          <w:sz w:val="32"/>
          <w:szCs w:val="32"/>
        </w:rPr>
        <w:t>应急</w:t>
      </w:r>
      <w:r>
        <w:rPr>
          <w:rFonts w:ascii="仿宋_GB2312" w:eastAsia="仿宋_GB2312" w:cs="DengXian-Regular"/>
          <w:sz w:val="32"/>
          <w:szCs w:val="32"/>
        </w:rPr>
        <w:t>保障车辆两辆，执法执勤车辆</w:t>
      </w:r>
      <w:r>
        <w:rPr>
          <w:rFonts w:hint="eastAsia" w:ascii="仿宋_GB2312" w:eastAsia="仿宋_GB2312" w:cs="DengXian-Regular"/>
          <w:sz w:val="32"/>
          <w:szCs w:val="32"/>
        </w:rPr>
        <w:t>六</w:t>
      </w:r>
      <w:r>
        <w:rPr>
          <w:rFonts w:ascii="仿宋_GB2312" w:eastAsia="仿宋_GB2312" w:cs="DengXian-Regular"/>
          <w:sz w:val="32"/>
          <w:szCs w:val="32"/>
        </w:rPr>
        <w:t>辆，</w:t>
      </w:r>
      <w:r>
        <w:rPr>
          <w:rFonts w:hint="eastAsia" w:ascii="仿宋_GB2312" w:eastAsia="仿宋_GB2312" w:cs="DengXian-Regular"/>
          <w:sz w:val="32"/>
          <w:szCs w:val="32"/>
        </w:rPr>
        <w:t>其他用车零辆。202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14.58</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65.09</w:t>
      </w:r>
      <w:r>
        <w:rPr>
          <w:rFonts w:hint="eastAsia" w:ascii="仿宋_GB2312" w:eastAsia="仿宋_GB2312" w:cs="DengXian-Regular"/>
          <w:sz w:val="32"/>
          <w:szCs w:val="32"/>
        </w:rPr>
        <w:t>万元，比预算增加50.51万元，增加率346.43%，</w:t>
      </w:r>
      <w:r>
        <w:rPr>
          <w:rFonts w:ascii="仿宋_GB2312" w:eastAsia="仿宋_GB2312" w:cs="DengXian-Regular"/>
          <w:sz w:val="32"/>
          <w:szCs w:val="32"/>
        </w:rPr>
        <w:t>主要原因为</w:t>
      </w:r>
      <w:r>
        <w:rPr>
          <w:rFonts w:hint="eastAsia" w:ascii="仿宋_GB2312" w:eastAsia="仿宋_GB2312" w:cs="DengXian-Regular"/>
          <w:sz w:val="32"/>
          <w:szCs w:val="32"/>
        </w:rPr>
        <w:t>我单位</w:t>
      </w:r>
      <w:r>
        <w:rPr>
          <w:rFonts w:ascii="仿宋_GB2312" w:eastAsia="仿宋_GB2312" w:cs="DengXian-Regular"/>
          <w:sz w:val="32"/>
          <w:szCs w:val="32"/>
        </w:rPr>
        <w:t>按照规定流程购置了三辆公务用车。</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年预算相比增加35.09万元，决算数与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年实际支出相比，增加50.71万元，</w:t>
      </w:r>
      <w:r>
        <w:rPr>
          <w:rFonts w:ascii="仿宋_GB2312" w:eastAsia="仿宋_GB2312" w:cs="DengXian-Regular"/>
          <w:sz w:val="32"/>
          <w:szCs w:val="32"/>
        </w:rPr>
        <w:t>主要原因为</w:t>
      </w:r>
      <w:r>
        <w:rPr>
          <w:rFonts w:hint="eastAsia" w:ascii="仿宋_GB2312" w:eastAsia="仿宋_GB2312" w:cs="DengXian-Regular"/>
          <w:sz w:val="32"/>
          <w:szCs w:val="32"/>
        </w:rPr>
        <w:t>2022年</w:t>
      </w:r>
      <w:r>
        <w:rPr>
          <w:rFonts w:ascii="仿宋_GB2312" w:eastAsia="仿宋_GB2312" w:cs="DengXian-Regular"/>
          <w:sz w:val="32"/>
          <w:szCs w:val="32"/>
        </w:rPr>
        <w:t>按照流程购置三辆公务用车</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2</w:t>
      </w:r>
      <w:r>
        <w:rPr>
          <w:rFonts w:hint="eastAsia" w:ascii="仿宋_GB2312" w:eastAsia="仿宋_GB2312" w:cs="DengXian-Regular"/>
          <w:sz w:val="32"/>
          <w:szCs w:val="32"/>
        </w:rPr>
        <w:t>年区纪委单位公务接待费年初预算</w:t>
      </w:r>
      <w:r>
        <w:rPr>
          <w:rFonts w:ascii="仿宋_GB2312" w:eastAsia="仿宋_GB2312" w:cs="DengXian-Regular"/>
          <w:sz w:val="32"/>
          <w:szCs w:val="32"/>
        </w:rPr>
        <w:t>7.82</w:t>
      </w:r>
      <w:r>
        <w:rPr>
          <w:rFonts w:hint="eastAsia" w:ascii="仿宋_GB2312" w:eastAsia="仿宋_GB2312" w:cs="DengXian-Regular"/>
          <w:sz w:val="32"/>
          <w:szCs w:val="32"/>
        </w:rPr>
        <w:t>万元，实际支出</w:t>
      </w:r>
      <w:r>
        <w:rPr>
          <w:rFonts w:ascii="仿宋_GB2312" w:eastAsia="仿宋_GB2312" w:cs="DengXian-Regular"/>
          <w:sz w:val="32"/>
          <w:szCs w:val="32"/>
        </w:rPr>
        <w:t>2.43</w:t>
      </w:r>
      <w:r>
        <w:rPr>
          <w:rFonts w:hint="eastAsia" w:ascii="仿宋_GB2312" w:eastAsia="仿宋_GB2312" w:cs="DengXian-Regular"/>
          <w:sz w:val="32"/>
          <w:szCs w:val="32"/>
        </w:rPr>
        <w:t>万元，比预算减少了</w:t>
      </w:r>
      <w:r>
        <w:rPr>
          <w:rFonts w:ascii="仿宋_GB2312" w:eastAsia="仿宋_GB2312" w:cs="DengXian-Regular"/>
          <w:sz w:val="32"/>
          <w:szCs w:val="32"/>
        </w:rPr>
        <w:t>5.39</w:t>
      </w:r>
      <w:r>
        <w:rPr>
          <w:rFonts w:hint="eastAsia" w:ascii="仿宋_GB2312" w:eastAsia="仿宋_GB2312" w:cs="DengXian-Regular"/>
          <w:sz w:val="32"/>
          <w:szCs w:val="32"/>
        </w:rPr>
        <w:t>万元，节约率</w:t>
      </w:r>
      <w:r>
        <w:rPr>
          <w:rFonts w:ascii="仿宋_GB2312" w:eastAsia="仿宋_GB2312" w:cs="DengXian-Regular"/>
          <w:sz w:val="32"/>
          <w:szCs w:val="32"/>
        </w:rPr>
        <w:t>68.93</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年预算相比减少9.57万元，决算数与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w:t>
      </w:r>
      <w:r>
        <w:rPr>
          <w:rFonts w:ascii="仿宋_GB2312" w:eastAsia="仿宋_GB2312" w:cs="DengXian-Regular"/>
          <w:sz w:val="32"/>
          <w:szCs w:val="32"/>
        </w:rPr>
        <w:t>减少</w:t>
      </w:r>
      <w:r>
        <w:rPr>
          <w:rFonts w:hint="eastAsia" w:ascii="仿宋_GB2312" w:eastAsia="仿宋_GB2312" w:cs="DengXian-Regular"/>
          <w:sz w:val="32"/>
          <w:szCs w:val="32"/>
        </w:rPr>
        <w:t>4.04万元。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根据绩效预算管理改革的有关政策和文件规定，并与区xxx单位沟通，绩效评价工作组以绩效预算架构为指导，以部门预算文本及相关资料为基础，制定了部门整体支出绩效评价指标体系。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bookmarkStart w:id="21" w:name="_Toc30221"/>
      <w:bookmarkStart w:id="22" w:name="_Toc492652772"/>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产出指标指标分值为25分，下设1个二级指标：责任履行，5个三级指标：结转结余率、项目资金使用率、监督</w:t>
      </w:r>
      <w:r>
        <w:rPr>
          <w:rFonts w:ascii="仿宋_GB2312" w:eastAsia="仿宋_GB2312" w:cs="DengXian-Regular"/>
          <w:sz w:val="32"/>
          <w:szCs w:val="32"/>
        </w:rPr>
        <w:t>检查次数、培训次数、</w:t>
      </w:r>
      <w:r>
        <w:rPr>
          <w:rFonts w:hint="eastAsia" w:ascii="仿宋_GB2312" w:eastAsia="仿宋_GB2312" w:cs="DengXian-Regular"/>
          <w:sz w:val="32"/>
          <w:szCs w:val="32"/>
        </w:rPr>
        <w:t>差旅费</w:t>
      </w:r>
      <w:r>
        <w:rPr>
          <w:rFonts w:ascii="仿宋_GB2312" w:eastAsia="仿宋_GB2312" w:cs="DengXian-Regular"/>
          <w:sz w:val="32"/>
          <w:szCs w:val="32"/>
        </w:rPr>
        <w:t>支出合规率。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通过对区纪委单位202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保定市徐水区财政局《关于开展2022年度</w:t>
      </w:r>
      <w:r>
        <w:rPr>
          <w:rFonts w:ascii="仿宋_GB2312" w:eastAsia="仿宋_GB2312" w:cs="DengXian-Regular"/>
          <w:sz w:val="32"/>
          <w:szCs w:val="32"/>
        </w:rPr>
        <w:t>部门整体支出绩效自评</w:t>
      </w:r>
      <w:r>
        <w:rPr>
          <w:rFonts w:hint="eastAsia" w:ascii="仿宋_GB2312" w:eastAsia="仿宋_GB2312" w:cs="DengXian-Regular"/>
          <w:sz w:val="32"/>
          <w:szCs w:val="32"/>
        </w:rPr>
        <w:t>工作的</w:t>
      </w:r>
      <w:r>
        <w:rPr>
          <w:rFonts w:ascii="仿宋_GB2312" w:eastAsia="仿宋_GB2312" w:cs="DengXian-Regular"/>
          <w:sz w:val="32"/>
          <w:szCs w:val="32"/>
        </w:rPr>
        <w:t>通知</w:t>
      </w:r>
      <w:r>
        <w:rPr>
          <w:rFonts w:hint="eastAsia" w:ascii="仿宋_GB2312" w:eastAsia="仿宋_GB2312" w:cs="DengXian-Regular"/>
          <w:sz w:val="32"/>
          <w:szCs w:val="32"/>
        </w:rPr>
        <w:t>》（徐政财字〔202</w:t>
      </w:r>
      <w:r>
        <w:rPr>
          <w:rFonts w:ascii="仿宋_GB2312" w:eastAsia="仿宋_GB2312" w:cs="DengXian-Regular"/>
          <w:sz w:val="32"/>
          <w:szCs w:val="32"/>
        </w:rPr>
        <w:t>3</w:t>
      </w:r>
      <w:r>
        <w:rPr>
          <w:rFonts w:hint="eastAsia" w:ascii="仿宋_GB2312" w:eastAsia="仿宋_GB2312" w:cs="DengXian-Regular"/>
          <w:sz w:val="32"/>
          <w:szCs w:val="32"/>
        </w:rPr>
        <w:t>〕</w:t>
      </w:r>
      <w:r>
        <w:rPr>
          <w:rFonts w:ascii="仿宋_GB2312" w:eastAsia="仿宋_GB2312" w:cs="DengXian-Regular"/>
          <w:sz w:val="32"/>
          <w:szCs w:val="32"/>
        </w:rPr>
        <w:t>78</w:t>
      </w:r>
      <w:r>
        <w:rPr>
          <w:rFonts w:hint="eastAsia" w:ascii="仿宋_GB2312" w:eastAsia="仿宋_GB2312" w:cs="DengXian-Regular"/>
          <w:sz w:val="32"/>
          <w:szCs w:val="32"/>
        </w:rPr>
        <w:t>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20821"/>
      <w:bookmarkStart w:id="47"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8" w:name="_Toc421623218"/>
      <w:bookmarkStart w:id="49"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8"/>
      <w:bookmarkEnd w:id="49"/>
    </w:p>
    <w:p>
      <w:pPr>
        <w:spacing w:after="0" w:line="360" w:lineRule="auto"/>
        <w:ind w:firstLine="640" w:firstLineChars="200"/>
        <w:jc w:val="both"/>
        <w:textAlignment w:val="baseline"/>
        <w:rPr>
          <w:rFonts w:ascii="仿宋_GB2312" w:eastAsia="仿宋_GB2312" w:cs="DengXian-Regular"/>
          <w:sz w:val="32"/>
          <w:szCs w:val="32"/>
        </w:rPr>
      </w:pPr>
      <w:bookmarkStart w:id="50" w:name="_Toc422314155"/>
      <w:bookmarkStart w:id="51"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0"/>
      <w:bookmarkEnd w:id="51"/>
    </w:p>
    <w:p>
      <w:pPr>
        <w:spacing w:after="0" w:line="360" w:lineRule="auto"/>
        <w:ind w:firstLine="640" w:firstLineChars="200"/>
        <w:jc w:val="both"/>
        <w:textAlignment w:val="baseline"/>
        <w:rPr>
          <w:rFonts w:ascii="仿宋_GB2312" w:eastAsia="仿宋_GB2312" w:cs="DengXian-Regular"/>
          <w:sz w:val="32"/>
          <w:szCs w:val="32"/>
        </w:rPr>
      </w:pPr>
      <w:bookmarkStart w:id="52" w:name="_Toc421623221"/>
      <w:bookmarkStart w:id="53"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2"/>
      <w:bookmarkEnd w:id="53"/>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47"/>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基于对本单位相关资料的收集，制定绩效评价实施方案和体系,确定最终方案。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本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本单位部门整体支出绩效评价总得分为</w:t>
      </w:r>
      <w:r>
        <w:rPr>
          <w:rFonts w:ascii="仿宋_GB2312" w:eastAsia="仿宋_GB2312" w:cs="DengXian-Regular"/>
          <w:sz w:val="32"/>
          <w:szCs w:val="32"/>
        </w:rPr>
        <w:t>87.54</w:t>
      </w:r>
      <w:r>
        <w:rPr>
          <w:rFonts w:hint="eastAsia" w:ascii="仿宋_GB2312" w:eastAsia="仿宋_GB2312" w:cs="DengXian-Regular"/>
          <w:sz w:val="32"/>
          <w:szCs w:val="32"/>
        </w:rPr>
        <w:t>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11.5</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通过对比《中共保定市徐水区委机构编制委员会关于保定市徐水区纪委监委机关内设机构调整的通知》、《中共保定市徐水区委机构编制委员会关于区纪委监委派驻机构改革的通知》和徐水区纪委</w:t>
      </w:r>
      <w:r>
        <w:rPr>
          <w:rFonts w:ascii="仿宋_GB2312" w:eastAsia="仿宋_GB2312" w:cs="DengXian-Regular"/>
          <w:sz w:val="32"/>
          <w:szCs w:val="32"/>
        </w:rPr>
        <w:t>2022</w:t>
      </w:r>
      <w:r>
        <w:rPr>
          <w:rFonts w:hint="eastAsia" w:ascii="仿宋_GB2312" w:eastAsia="仿宋_GB2312" w:cs="DengXian-Regular"/>
          <w:sz w:val="32"/>
          <w:szCs w:val="32"/>
        </w:rPr>
        <w:t>年预算文本—部门职责工作活动绩效目标，评价工作组认为本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1.5</w:t>
      </w:r>
      <w:r>
        <w:rPr>
          <w:rFonts w:hint="eastAsia" w:ascii="仿宋_GB2312" w:eastAsia="仿宋_GB2312" w:cs="DengXian-Regular"/>
          <w:sz w:val="32"/>
          <w:szCs w:val="32"/>
        </w:rPr>
        <w:t>分。</w:t>
      </w:r>
      <w:r>
        <w:rPr>
          <w:rFonts w:ascii="仿宋_GB2312" w:eastAsia="仿宋_GB2312" w:cs="DengXian-Regular"/>
          <w:sz w:val="32"/>
          <w:szCs w:val="32"/>
        </w:rPr>
        <w:t>部分</w:t>
      </w:r>
      <w:r>
        <w:rPr>
          <w:rFonts w:hint="eastAsia" w:ascii="仿宋_GB2312" w:eastAsia="仿宋_GB2312" w:cs="DengXian-Regular"/>
          <w:sz w:val="32"/>
          <w:szCs w:val="32"/>
        </w:rPr>
        <w:t>绩效指标</w:t>
      </w:r>
      <w:r>
        <w:rPr>
          <w:rFonts w:ascii="仿宋_GB2312" w:eastAsia="仿宋_GB2312" w:cs="DengXian-Regular"/>
          <w:sz w:val="32"/>
          <w:szCs w:val="32"/>
        </w:rPr>
        <w:t>针对性比较弱，今后还需要根据项目具体情况，细化绩效指标</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bookmarkEnd w:id="60"/>
    <w:bookmarkEnd w:id="61"/>
    <w:p>
      <w:pPr>
        <w:spacing w:after="0" w:line="360" w:lineRule="auto"/>
        <w:ind w:firstLine="640" w:firstLineChars="200"/>
        <w:jc w:val="both"/>
        <w:textAlignment w:val="baseline"/>
        <w:rPr>
          <w:rFonts w:ascii="仿宋_GB2312" w:eastAsia="仿宋_GB2312" w:cs="DengXian-Regular"/>
          <w:sz w:val="32"/>
          <w:szCs w:val="32"/>
        </w:rPr>
      </w:pPr>
      <w:bookmarkStart w:id="62" w:name="_Toc19940"/>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年预算文本及相关会计资料，区纪委所有收入均已纳入部门预算，部门支出按基本支出、项目支出分别编制。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w:t>
      </w:r>
      <w:r>
        <w:rPr>
          <w:rFonts w:ascii="仿宋_GB2312" w:eastAsia="仿宋_GB2312" w:cs="DengXian-Regular"/>
          <w:sz w:val="32"/>
          <w:szCs w:val="32"/>
        </w:rPr>
        <w:t>2022</w:t>
      </w:r>
      <w:r>
        <w:rPr>
          <w:rFonts w:hint="eastAsia" w:ascii="仿宋_GB2312" w:eastAsia="仿宋_GB2312" w:cs="DengXian-Regular"/>
          <w:sz w:val="32"/>
          <w:szCs w:val="32"/>
        </w:rPr>
        <w:t>年预算文本—部门项目支出预算表，区纪委</w:t>
      </w:r>
      <w:r>
        <w:rPr>
          <w:rFonts w:ascii="仿宋_GB2312" w:eastAsia="仿宋_GB2312" w:cs="DengXian-Regular"/>
          <w:sz w:val="32"/>
          <w:szCs w:val="32"/>
        </w:rPr>
        <w:t>2022</w:t>
      </w:r>
      <w:r>
        <w:rPr>
          <w:rFonts w:hint="eastAsia" w:ascii="仿宋_GB2312" w:eastAsia="仿宋_GB2312" w:cs="DengXian-Regular"/>
          <w:sz w:val="32"/>
          <w:szCs w:val="32"/>
        </w:rPr>
        <w:t>年预算项目涉及资金</w:t>
      </w:r>
      <w:r>
        <w:rPr>
          <w:rFonts w:ascii="仿宋_GB2312" w:eastAsia="仿宋_GB2312" w:cs="DengXian-Regular"/>
          <w:sz w:val="32"/>
          <w:szCs w:val="32"/>
        </w:rPr>
        <w:t>108.47</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108.47</w:t>
      </w:r>
      <w:r>
        <w:rPr>
          <w:rFonts w:hint="eastAsia" w:ascii="仿宋_GB2312" w:eastAsia="仿宋_GB2312" w:cs="DengXian-Regular"/>
          <w:sz w:val="32"/>
          <w:szCs w:val="32"/>
        </w:rPr>
        <w:t>/</w:t>
      </w:r>
      <w:r>
        <w:rPr>
          <w:rFonts w:ascii="仿宋_GB2312" w:eastAsia="仿宋_GB2312" w:cs="DengXian-Regular"/>
          <w:sz w:val="32"/>
          <w:szCs w:val="32"/>
        </w:rPr>
        <w:t>108.47</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w:t>
      </w:r>
      <w:r>
        <w:rPr>
          <w:rFonts w:ascii="仿宋_GB2312" w:eastAsia="仿宋_GB2312" w:cs="DengXian-Regular"/>
          <w:sz w:val="32"/>
          <w:szCs w:val="32"/>
        </w:rPr>
        <w:t>22</w:t>
      </w:r>
      <w:r>
        <w:rPr>
          <w:rFonts w:hint="eastAsia" w:ascii="仿宋_GB2312" w:eastAsia="仿宋_GB2312" w:cs="DengXian-Regular"/>
          <w:sz w:val="32"/>
          <w:szCs w:val="32"/>
        </w:rPr>
        <w:t>年底区纪委在职人员控制情况，通过在职人员控制率衡量。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w:t>
      </w:r>
      <w:r>
        <w:rPr>
          <w:rFonts w:ascii="仿宋_GB2312" w:eastAsia="仿宋_GB2312" w:cs="DengXian-Regular"/>
          <w:sz w:val="32"/>
          <w:szCs w:val="32"/>
        </w:rPr>
        <w:t>保定市徐水区委机构编制委员会</w:t>
      </w:r>
      <w:r>
        <w:rPr>
          <w:rFonts w:hint="eastAsia" w:ascii="仿宋_GB2312" w:eastAsia="仿宋_GB2312" w:cs="DengXian-Regular"/>
          <w:sz w:val="32"/>
          <w:szCs w:val="32"/>
        </w:rPr>
        <w:t>关于</w:t>
      </w:r>
      <w:r>
        <w:rPr>
          <w:rFonts w:ascii="仿宋_GB2312" w:eastAsia="仿宋_GB2312" w:cs="DengXian-Regular"/>
          <w:sz w:val="32"/>
          <w:szCs w:val="32"/>
        </w:rPr>
        <w:t>保定</w:t>
      </w:r>
      <w:r>
        <w:rPr>
          <w:rFonts w:hint="eastAsia" w:ascii="仿宋_GB2312" w:eastAsia="仿宋_GB2312" w:cs="DengXian-Regular"/>
          <w:sz w:val="32"/>
          <w:szCs w:val="32"/>
        </w:rPr>
        <w:t>市</w:t>
      </w:r>
      <w:r>
        <w:rPr>
          <w:rFonts w:ascii="仿宋_GB2312" w:eastAsia="仿宋_GB2312" w:cs="DengXian-Regular"/>
          <w:sz w:val="32"/>
          <w:szCs w:val="32"/>
        </w:rPr>
        <w:t>徐水区纪委监委机关</w:t>
      </w:r>
      <w:r>
        <w:rPr>
          <w:rFonts w:hint="eastAsia" w:ascii="仿宋_GB2312" w:eastAsia="仿宋_GB2312" w:cs="DengXian-Regular"/>
          <w:sz w:val="32"/>
          <w:szCs w:val="32"/>
        </w:rPr>
        <w:t>内设</w:t>
      </w:r>
      <w:r>
        <w:rPr>
          <w:rFonts w:ascii="仿宋_GB2312" w:eastAsia="仿宋_GB2312" w:cs="DengXian-Regular"/>
          <w:sz w:val="32"/>
          <w:szCs w:val="32"/>
        </w:rPr>
        <w:t>机构调整</w:t>
      </w:r>
      <w:r>
        <w:rPr>
          <w:rFonts w:hint="eastAsia" w:ascii="仿宋_GB2312" w:eastAsia="仿宋_GB2312" w:cs="DengXian-Regular"/>
          <w:sz w:val="32"/>
          <w:szCs w:val="32"/>
        </w:rPr>
        <w:t>的</w:t>
      </w:r>
      <w:r>
        <w:rPr>
          <w:rFonts w:ascii="仿宋_GB2312" w:eastAsia="仿宋_GB2312" w:cs="DengXian-Regular"/>
          <w:sz w:val="32"/>
          <w:szCs w:val="32"/>
        </w:rPr>
        <w:t>通知》</w:t>
      </w:r>
      <w:r>
        <w:rPr>
          <w:rFonts w:hint="eastAsia" w:ascii="仿宋_GB2312" w:eastAsia="仿宋_GB2312" w:cs="DengXian-Regular"/>
          <w:sz w:val="32"/>
          <w:szCs w:val="32"/>
        </w:rPr>
        <w:t>，徐水</w:t>
      </w:r>
      <w:r>
        <w:rPr>
          <w:rFonts w:ascii="仿宋_GB2312" w:eastAsia="仿宋_GB2312" w:cs="DengXian-Regular"/>
          <w:sz w:val="32"/>
          <w:szCs w:val="32"/>
        </w:rPr>
        <w:t>区纪委</w:t>
      </w:r>
      <w:r>
        <w:rPr>
          <w:rFonts w:hint="eastAsia" w:ascii="仿宋_GB2312" w:eastAsia="仿宋_GB2312" w:cs="DengXian-Regular"/>
          <w:sz w:val="32"/>
          <w:szCs w:val="32"/>
        </w:rPr>
        <w:t>编制为</w:t>
      </w:r>
      <w:r>
        <w:rPr>
          <w:rFonts w:ascii="仿宋_GB2312" w:eastAsia="仿宋_GB2312" w:cs="DengXian-Regular"/>
          <w:sz w:val="32"/>
          <w:szCs w:val="32"/>
        </w:rPr>
        <w:t>86</w:t>
      </w:r>
      <w:r>
        <w:rPr>
          <w:rFonts w:hint="eastAsia" w:ascii="仿宋_GB2312" w:eastAsia="仿宋_GB2312" w:cs="DengXian-Regular"/>
          <w:sz w:val="32"/>
          <w:szCs w:val="32"/>
        </w:rPr>
        <w:t>人，根据区纪委单位</w:t>
      </w:r>
      <w:r>
        <w:rPr>
          <w:rFonts w:ascii="仿宋_GB2312" w:eastAsia="仿宋_GB2312" w:cs="DengXian-Regular"/>
          <w:sz w:val="32"/>
          <w:szCs w:val="32"/>
        </w:rPr>
        <w:t>2022</w:t>
      </w:r>
      <w:r>
        <w:rPr>
          <w:rFonts w:hint="eastAsia" w:ascii="仿宋_GB2312" w:eastAsia="仿宋_GB2312" w:cs="DengXian-Regular"/>
          <w:sz w:val="32"/>
          <w:szCs w:val="32"/>
        </w:rPr>
        <w:t>年决算文本-部门基本情况表，截至</w:t>
      </w:r>
      <w:r>
        <w:rPr>
          <w:rFonts w:ascii="仿宋_GB2312" w:eastAsia="仿宋_GB2312" w:cs="DengXian-Regular"/>
          <w:sz w:val="32"/>
          <w:szCs w:val="32"/>
        </w:rPr>
        <w:t>2022</w:t>
      </w:r>
      <w:r>
        <w:rPr>
          <w:rFonts w:hint="eastAsia" w:ascii="仿宋_GB2312" w:eastAsia="仿宋_GB2312" w:cs="DengXian-Regular"/>
          <w:sz w:val="32"/>
          <w:szCs w:val="32"/>
        </w:rPr>
        <w:t>年底，在职人员</w:t>
      </w:r>
      <w:r>
        <w:rPr>
          <w:rFonts w:ascii="仿宋_GB2312" w:eastAsia="仿宋_GB2312" w:cs="DengXian-Regular"/>
          <w:sz w:val="32"/>
          <w:szCs w:val="32"/>
        </w:rPr>
        <w:t>84</w:t>
      </w:r>
      <w:r>
        <w:rPr>
          <w:rFonts w:hint="eastAsia" w:ascii="仿宋_GB2312" w:eastAsia="仿宋_GB2312" w:cs="DengXian-Regular"/>
          <w:sz w:val="32"/>
          <w:szCs w:val="32"/>
        </w:rPr>
        <w:t>人，在职人员控制率=（</w:t>
      </w:r>
      <w:r>
        <w:rPr>
          <w:rFonts w:ascii="仿宋_GB2312" w:eastAsia="仿宋_GB2312" w:cs="DengXian-Regular"/>
          <w:sz w:val="32"/>
          <w:szCs w:val="32"/>
        </w:rPr>
        <w:t>84</w:t>
      </w:r>
      <w:r>
        <w:rPr>
          <w:rFonts w:hint="eastAsia" w:ascii="仿宋_GB2312" w:eastAsia="仿宋_GB2312" w:cs="DengXian-Regular"/>
          <w:sz w:val="32"/>
          <w:szCs w:val="32"/>
        </w:rPr>
        <w:t>/</w:t>
      </w:r>
      <w:r>
        <w:rPr>
          <w:rFonts w:ascii="仿宋_GB2312" w:eastAsia="仿宋_GB2312" w:cs="DengXian-Regular"/>
          <w:sz w:val="32"/>
          <w:szCs w:val="32"/>
        </w:rPr>
        <w:t>86</w:t>
      </w:r>
      <w:r>
        <w:rPr>
          <w:rFonts w:hint="eastAsia" w:ascii="仿宋_GB2312" w:eastAsia="仿宋_GB2312" w:cs="DengXian-Regular"/>
          <w:sz w:val="32"/>
          <w:szCs w:val="32"/>
        </w:rPr>
        <w:t>）*100%=</w:t>
      </w:r>
      <w:r>
        <w:rPr>
          <w:rFonts w:ascii="仿宋_GB2312" w:eastAsia="仿宋_GB2312" w:cs="DengXian-Regular"/>
          <w:sz w:val="32"/>
          <w:szCs w:val="32"/>
        </w:rPr>
        <w:t>97.67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41.04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根据区纪委的预算指标文件，其中：保财行[2022]9号追加中央</w:t>
      </w:r>
      <w:r>
        <w:rPr>
          <w:rFonts w:ascii="仿宋_GB2312" w:eastAsia="仿宋_GB2312" w:cs="DengXian-Regular"/>
          <w:sz w:val="32"/>
          <w:szCs w:val="32"/>
        </w:rPr>
        <w:t>转移支付资金</w:t>
      </w:r>
      <w:r>
        <w:rPr>
          <w:rFonts w:hint="eastAsia" w:ascii="仿宋_GB2312" w:eastAsia="仿宋_GB2312" w:cs="DengXian-Regular"/>
          <w:sz w:val="32"/>
          <w:szCs w:val="32"/>
        </w:rPr>
        <w:t>53万元；徐财预指[2022]1-1211号追加</w:t>
      </w:r>
      <w:r>
        <w:rPr>
          <w:rFonts w:ascii="仿宋_GB2312" w:eastAsia="仿宋_GB2312" w:cs="DengXian-Regular"/>
          <w:sz w:val="32"/>
          <w:szCs w:val="32"/>
        </w:rPr>
        <w:t>劳务派遣人员经费</w:t>
      </w:r>
      <w:r>
        <w:rPr>
          <w:rFonts w:hint="eastAsia" w:ascii="仿宋_GB2312" w:eastAsia="仿宋_GB2312" w:cs="DengXian-Regular"/>
          <w:sz w:val="32"/>
          <w:szCs w:val="32"/>
        </w:rPr>
        <w:t>21.62万元；徐财预指[2022]1-1281号追加设备</w:t>
      </w:r>
      <w:r>
        <w:rPr>
          <w:rFonts w:ascii="仿宋_GB2312" w:eastAsia="仿宋_GB2312" w:cs="DengXian-Regular"/>
          <w:sz w:val="32"/>
          <w:szCs w:val="32"/>
        </w:rPr>
        <w:t>购置费</w:t>
      </w:r>
      <w:r>
        <w:rPr>
          <w:rFonts w:hint="eastAsia" w:ascii="仿宋_GB2312" w:eastAsia="仿宋_GB2312" w:cs="DengXian-Regular"/>
          <w:sz w:val="32"/>
          <w:szCs w:val="32"/>
        </w:rPr>
        <w:t>12.77万元等，徐财预指[2022]1-1284号追加</w:t>
      </w:r>
      <w:r>
        <w:rPr>
          <w:rFonts w:ascii="仿宋_GB2312" w:eastAsia="仿宋_GB2312" w:cs="DengXian-Regular"/>
          <w:sz w:val="32"/>
          <w:szCs w:val="32"/>
        </w:rPr>
        <w:t>办案差旅、租赁费</w:t>
      </w:r>
      <w:r>
        <w:rPr>
          <w:rFonts w:hint="eastAsia" w:ascii="仿宋_GB2312" w:eastAsia="仿宋_GB2312" w:cs="DengXian-Regular"/>
          <w:sz w:val="32"/>
          <w:szCs w:val="32"/>
        </w:rPr>
        <w:t>50万元</w:t>
      </w:r>
      <w:r>
        <w:rPr>
          <w:rFonts w:ascii="仿宋_GB2312" w:eastAsia="仿宋_GB2312" w:cs="DengXian-Regular"/>
          <w:sz w:val="32"/>
          <w:szCs w:val="32"/>
        </w:rPr>
        <w:t>，</w:t>
      </w:r>
      <w:r>
        <w:rPr>
          <w:rFonts w:hint="eastAsia" w:ascii="仿宋_GB2312" w:eastAsia="仿宋_GB2312" w:cs="DengXian-Regular"/>
          <w:sz w:val="32"/>
          <w:szCs w:val="32"/>
        </w:rPr>
        <w:t>徐财预指[2022]1-0014号追加</w:t>
      </w:r>
      <w:r>
        <w:rPr>
          <w:rFonts w:ascii="仿宋_GB2312" w:eastAsia="仿宋_GB2312" w:cs="DengXian-Regular"/>
          <w:sz w:val="32"/>
          <w:szCs w:val="32"/>
        </w:rPr>
        <w:t>奖金等人员经费</w:t>
      </w:r>
      <w:r>
        <w:rPr>
          <w:rFonts w:hint="eastAsia" w:ascii="仿宋_GB2312" w:eastAsia="仿宋_GB2312" w:cs="DengXian-Regular"/>
          <w:sz w:val="32"/>
          <w:szCs w:val="32"/>
        </w:rPr>
        <w:t>115.85万元。区纪委202</w:t>
      </w:r>
      <w:r>
        <w:rPr>
          <w:rFonts w:ascii="仿宋_GB2312" w:eastAsia="仿宋_GB2312" w:cs="DengXian-Regular"/>
          <w:sz w:val="32"/>
          <w:szCs w:val="32"/>
        </w:rPr>
        <w:t>2</w:t>
      </w:r>
      <w:r>
        <w:rPr>
          <w:rFonts w:hint="eastAsia" w:ascii="仿宋_GB2312" w:eastAsia="仿宋_GB2312" w:cs="DengXian-Regular"/>
          <w:sz w:val="32"/>
          <w:szCs w:val="32"/>
        </w:rPr>
        <w:t>年度预算收入的追加数为</w:t>
      </w:r>
      <w:r>
        <w:rPr>
          <w:rFonts w:ascii="仿宋_GB2312" w:eastAsia="仿宋_GB2312" w:cs="DengXian-Regular"/>
          <w:sz w:val="32"/>
          <w:szCs w:val="32"/>
        </w:rPr>
        <w:t>224.95</w:t>
      </w:r>
      <w:r>
        <w:rPr>
          <w:rFonts w:hint="eastAsia" w:ascii="仿宋_GB2312" w:eastAsia="仿宋_GB2312" w:cs="DengXian-Regular"/>
          <w:sz w:val="32"/>
          <w:szCs w:val="32"/>
        </w:rPr>
        <w:t>万元整，增加了</w:t>
      </w:r>
      <w:r>
        <w:rPr>
          <w:rFonts w:ascii="仿宋_GB2312" w:eastAsia="仿宋_GB2312" w:cs="DengXian-Regular"/>
          <w:sz w:val="32"/>
          <w:szCs w:val="32"/>
        </w:rPr>
        <w:t>9.91</w:t>
      </w:r>
      <w:r>
        <w:rPr>
          <w:rFonts w:hint="eastAsia" w:ascii="仿宋_GB2312" w:eastAsia="仿宋_GB2312" w:cs="DengXian-Regular"/>
          <w:sz w:val="32"/>
          <w:szCs w:val="32"/>
        </w:rPr>
        <w:t>个百分点，扣</w:t>
      </w:r>
      <w:r>
        <w:rPr>
          <w:rFonts w:ascii="仿宋_GB2312" w:eastAsia="仿宋_GB2312" w:cs="DengXian-Regular"/>
          <w:sz w:val="32"/>
          <w:szCs w:val="32"/>
        </w:rPr>
        <w:t>9.91</w:t>
      </w:r>
      <w:r>
        <w:rPr>
          <w:rFonts w:hint="eastAsia" w:ascii="仿宋_GB2312" w:eastAsia="仿宋_GB2312" w:cs="DengXian-Regular"/>
          <w:sz w:val="32"/>
          <w:szCs w:val="32"/>
        </w:rPr>
        <w:t>*0.1*2=</w:t>
      </w:r>
      <w:r>
        <w:rPr>
          <w:rFonts w:ascii="仿宋_GB2312" w:eastAsia="仿宋_GB2312" w:cs="DengXian-Regular"/>
          <w:sz w:val="32"/>
          <w:szCs w:val="32"/>
        </w:rPr>
        <w:t>1.98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0.02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根据本单位202</w:t>
      </w:r>
      <w:r>
        <w:rPr>
          <w:rFonts w:ascii="仿宋_GB2312" w:eastAsia="仿宋_GB2312" w:cs="DengXian-Regular"/>
          <w:sz w:val="32"/>
          <w:szCs w:val="32"/>
        </w:rPr>
        <w:t>2</w:t>
      </w:r>
      <w:r>
        <w:rPr>
          <w:rFonts w:hint="eastAsia" w:ascii="仿宋_GB2312" w:eastAsia="仿宋_GB2312" w:cs="DengXian-Regular"/>
          <w:sz w:val="32"/>
          <w:szCs w:val="32"/>
        </w:rPr>
        <w:t>年预算文本、决算文本，202</w:t>
      </w:r>
      <w:r>
        <w:rPr>
          <w:rFonts w:ascii="仿宋_GB2312" w:eastAsia="仿宋_GB2312" w:cs="DengXian-Regular"/>
          <w:sz w:val="32"/>
          <w:szCs w:val="32"/>
        </w:rPr>
        <w:t>2</w:t>
      </w:r>
      <w:r>
        <w:rPr>
          <w:rFonts w:hint="eastAsia" w:ascii="仿宋_GB2312" w:eastAsia="仿宋_GB2312" w:cs="DengXian-Regular"/>
          <w:sz w:val="32"/>
          <w:szCs w:val="32"/>
        </w:rPr>
        <w:t>年收入预算数</w:t>
      </w:r>
      <w:r>
        <w:rPr>
          <w:rFonts w:ascii="仿宋_GB2312" w:eastAsia="仿宋_GB2312" w:cs="DengXian-Regular"/>
          <w:sz w:val="32"/>
          <w:szCs w:val="32"/>
        </w:rPr>
        <w:t>2269.32</w:t>
      </w:r>
      <w:r>
        <w:rPr>
          <w:rFonts w:hint="eastAsia" w:ascii="仿宋_GB2312" w:eastAsia="仿宋_GB2312" w:cs="DengXian-Regular"/>
          <w:sz w:val="32"/>
          <w:szCs w:val="32"/>
        </w:rPr>
        <w:t>万元，收入决算数</w:t>
      </w:r>
      <w:r>
        <w:rPr>
          <w:rFonts w:ascii="仿宋_GB2312" w:eastAsia="仿宋_GB2312" w:cs="DengXian-Regular"/>
          <w:sz w:val="32"/>
          <w:szCs w:val="32"/>
        </w:rPr>
        <w:t>2494.27</w:t>
      </w:r>
      <w:r>
        <w:rPr>
          <w:rFonts w:hint="eastAsia" w:ascii="仿宋_GB2312" w:eastAsia="仿宋_GB2312" w:cs="DengXian-Regular"/>
          <w:sz w:val="32"/>
          <w:szCs w:val="32"/>
        </w:rPr>
        <w:t>万元，收入完成率=（2</w:t>
      </w:r>
      <w:r>
        <w:rPr>
          <w:rFonts w:ascii="仿宋_GB2312" w:eastAsia="仿宋_GB2312" w:cs="DengXian-Regular"/>
          <w:sz w:val="32"/>
          <w:szCs w:val="32"/>
        </w:rPr>
        <w:t>494.27</w:t>
      </w:r>
      <w:r>
        <w:rPr>
          <w:rFonts w:hint="eastAsia" w:ascii="仿宋_GB2312" w:eastAsia="仿宋_GB2312" w:cs="DengXian-Regular"/>
          <w:sz w:val="32"/>
          <w:szCs w:val="32"/>
        </w:rPr>
        <w:t>/2</w:t>
      </w:r>
      <w:r>
        <w:rPr>
          <w:rFonts w:ascii="仿宋_GB2312" w:eastAsia="仿宋_GB2312" w:cs="DengXian-Regular"/>
          <w:sz w:val="32"/>
          <w:szCs w:val="32"/>
        </w:rPr>
        <w:t>269.32</w:t>
      </w:r>
      <w:r>
        <w:rPr>
          <w:rFonts w:hint="eastAsia" w:ascii="仿宋_GB2312" w:eastAsia="仿宋_GB2312" w:cs="DengXian-Regular"/>
          <w:sz w:val="32"/>
          <w:szCs w:val="32"/>
        </w:rPr>
        <w:t>）*100%=</w:t>
      </w:r>
      <w:r>
        <w:rPr>
          <w:rFonts w:ascii="仿宋_GB2312" w:eastAsia="仿宋_GB2312" w:cs="DengXian-Regular"/>
          <w:sz w:val="32"/>
          <w:szCs w:val="32"/>
        </w:rPr>
        <w:t>109.91</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根据区纪委的预算指标文件，其中：保财行[2022]9号追加中央</w:t>
      </w:r>
      <w:r>
        <w:rPr>
          <w:rFonts w:ascii="仿宋_GB2312" w:eastAsia="仿宋_GB2312" w:cs="DengXian-Regular"/>
          <w:sz w:val="32"/>
          <w:szCs w:val="32"/>
        </w:rPr>
        <w:t>转移支付资金</w:t>
      </w:r>
      <w:r>
        <w:rPr>
          <w:rFonts w:hint="eastAsia" w:ascii="仿宋_GB2312" w:eastAsia="仿宋_GB2312" w:cs="DengXian-Regular"/>
          <w:sz w:val="32"/>
          <w:szCs w:val="32"/>
        </w:rPr>
        <w:t>53万元；徐财预指[2022]1-1211号追加</w:t>
      </w:r>
      <w:r>
        <w:rPr>
          <w:rFonts w:ascii="仿宋_GB2312" w:eastAsia="仿宋_GB2312" w:cs="DengXian-Regular"/>
          <w:sz w:val="32"/>
          <w:szCs w:val="32"/>
        </w:rPr>
        <w:t>劳务派遣人员经费</w:t>
      </w:r>
      <w:r>
        <w:rPr>
          <w:rFonts w:hint="eastAsia" w:ascii="仿宋_GB2312" w:eastAsia="仿宋_GB2312" w:cs="DengXian-Regular"/>
          <w:sz w:val="32"/>
          <w:szCs w:val="32"/>
        </w:rPr>
        <w:t>21.62万元；徐财预指[2022]1-1281号追加设备</w:t>
      </w:r>
      <w:r>
        <w:rPr>
          <w:rFonts w:ascii="仿宋_GB2312" w:eastAsia="仿宋_GB2312" w:cs="DengXian-Regular"/>
          <w:sz w:val="32"/>
          <w:szCs w:val="32"/>
        </w:rPr>
        <w:t>购置费</w:t>
      </w:r>
      <w:r>
        <w:rPr>
          <w:rFonts w:hint="eastAsia" w:ascii="仿宋_GB2312" w:eastAsia="仿宋_GB2312" w:cs="DengXian-Regular"/>
          <w:sz w:val="32"/>
          <w:szCs w:val="32"/>
        </w:rPr>
        <w:t>12.77万元等，徐财预指[2022]1-1284号追加</w:t>
      </w:r>
      <w:r>
        <w:rPr>
          <w:rFonts w:ascii="仿宋_GB2312" w:eastAsia="仿宋_GB2312" w:cs="DengXian-Regular"/>
          <w:sz w:val="32"/>
          <w:szCs w:val="32"/>
        </w:rPr>
        <w:t>办案差旅、租赁费</w:t>
      </w:r>
      <w:r>
        <w:rPr>
          <w:rFonts w:hint="eastAsia" w:ascii="仿宋_GB2312" w:eastAsia="仿宋_GB2312" w:cs="DengXian-Regular"/>
          <w:sz w:val="32"/>
          <w:szCs w:val="32"/>
        </w:rPr>
        <w:t>50万元</w:t>
      </w:r>
      <w:r>
        <w:rPr>
          <w:rFonts w:ascii="仿宋_GB2312" w:eastAsia="仿宋_GB2312" w:cs="DengXian-Regular"/>
          <w:sz w:val="32"/>
          <w:szCs w:val="32"/>
        </w:rPr>
        <w:t>，</w:t>
      </w:r>
      <w:r>
        <w:rPr>
          <w:rFonts w:hint="eastAsia" w:ascii="仿宋_GB2312" w:eastAsia="仿宋_GB2312" w:cs="DengXian-Regular"/>
          <w:sz w:val="32"/>
          <w:szCs w:val="32"/>
        </w:rPr>
        <w:t>徐财预指[2022]1-0014号追加</w:t>
      </w:r>
      <w:r>
        <w:rPr>
          <w:rFonts w:ascii="仿宋_GB2312" w:eastAsia="仿宋_GB2312" w:cs="DengXian-Regular"/>
          <w:sz w:val="32"/>
          <w:szCs w:val="32"/>
        </w:rPr>
        <w:t>奖金等人员经费</w:t>
      </w:r>
      <w:r>
        <w:rPr>
          <w:rFonts w:hint="eastAsia" w:ascii="仿宋_GB2312" w:eastAsia="仿宋_GB2312" w:cs="DengXian-Regular"/>
          <w:sz w:val="32"/>
          <w:szCs w:val="32"/>
        </w:rPr>
        <w:t>115.85万元。区纪委20</w:t>
      </w:r>
      <w:r>
        <w:rPr>
          <w:rFonts w:ascii="仿宋_GB2312" w:eastAsia="仿宋_GB2312" w:cs="DengXian-Regular"/>
          <w:sz w:val="32"/>
          <w:szCs w:val="32"/>
        </w:rPr>
        <w:t>22</w:t>
      </w:r>
      <w:r>
        <w:rPr>
          <w:rFonts w:hint="eastAsia" w:ascii="仿宋_GB2312" w:eastAsia="仿宋_GB2312" w:cs="DengXian-Regular"/>
          <w:sz w:val="32"/>
          <w:szCs w:val="32"/>
        </w:rPr>
        <w:t>年度预算支出的追加数合计</w:t>
      </w:r>
      <w:r>
        <w:rPr>
          <w:rFonts w:ascii="仿宋_GB2312" w:eastAsia="仿宋_GB2312" w:cs="DengXian-Regular"/>
          <w:sz w:val="32"/>
          <w:szCs w:val="32"/>
        </w:rPr>
        <w:t>224.86</w:t>
      </w:r>
      <w:r>
        <w:rPr>
          <w:rFonts w:hint="eastAsia" w:ascii="仿宋_GB2312" w:eastAsia="仿宋_GB2312" w:cs="DengXian-Regular"/>
          <w:sz w:val="32"/>
          <w:szCs w:val="32"/>
        </w:rPr>
        <w:t>万元，年初预算数为</w:t>
      </w:r>
      <w:r>
        <w:rPr>
          <w:rFonts w:ascii="仿宋_GB2312" w:eastAsia="仿宋_GB2312" w:cs="DengXian-Regular"/>
          <w:sz w:val="32"/>
          <w:szCs w:val="32"/>
        </w:rPr>
        <w:t>2269.32</w:t>
      </w:r>
      <w:r>
        <w:rPr>
          <w:rFonts w:hint="eastAsia" w:ascii="仿宋_GB2312" w:eastAsia="仿宋_GB2312" w:cs="DengXian-Regular"/>
          <w:sz w:val="32"/>
          <w:szCs w:val="32"/>
        </w:rPr>
        <w:t>万元，预算支出调整率为</w:t>
      </w:r>
      <w:r>
        <w:rPr>
          <w:rFonts w:ascii="仿宋_GB2312" w:eastAsia="仿宋_GB2312" w:cs="DengXian-Regular"/>
          <w:sz w:val="32"/>
          <w:szCs w:val="32"/>
        </w:rPr>
        <w:t>9.91</w:t>
      </w:r>
      <w:r>
        <w:rPr>
          <w:rFonts w:hint="eastAsia" w:ascii="仿宋_GB2312" w:eastAsia="仿宋_GB2312" w:cs="DengXian-Regular"/>
          <w:sz w:val="32"/>
          <w:szCs w:val="32"/>
        </w:rPr>
        <w:t>%，预算调整增加9</w:t>
      </w:r>
      <w:r>
        <w:rPr>
          <w:rFonts w:ascii="仿宋_GB2312" w:eastAsia="仿宋_GB2312" w:cs="DengXian-Regular"/>
          <w:sz w:val="32"/>
          <w:szCs w:val="32"/>
        </w:rPr>
        <w:t>.91</w:t>
      </w:r>
      <w:r>
        <w:rPr>
          <w:rFonts w:hint="eastAsia" w:ascii="仿宋_GB2312" w:eastAsia="仿宋_GB2312" w:cs="DengXian-Regular"/>
          <w:sz w:val="32"/>
          <w:szCs w:val="32"/>
        </w:rPr>
        <w:t>个百分点，扣1</w:t>
      </w:r>
      <w:r>
        <w:rPr>
          <w:rFonts w:ascii="仿宋_GB2312" w:eastAsia="仿宋_GB2312" w:cs="DengXian-Regular"/>
          <w:sz w:val="32"/>
          <w:szCs w:val="32"/>
        </w:rPr>
        <w:t>.98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0.02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本提供的202</w:t>
      </w:r>
      <w:r>
        <w:rPr>
          <w:rFonts w:ascii="仿宋_GB2312" w:eastAsia="仿宋_GB2312" w:cs="DengXian-Regular"/>
          <w:sz w:val="32"/>
          <w:szCs w:val="32"/>
        </w:rPr>
        <w:t>2</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2494.18</w:t>
      </w:r>
      <w:r>
        <w:rPr>
          <w:rFonts w:hint="eastAsia" w:ascii="仿宋_GB2312" w:eastAsia="仿宋_GB2312" w:cs="DengXian-Regular"/>
          <w:sz w:val="32"/>
          <w:szCs w:val="32"/>
        </w:rPr>
        <w:t>万元，财政拨款收入数</w:t>
      </w:r>
      <w:r>
        <w:rPr>
          <w:rFonts w:ascii="仿宋_GB2312" w:eastAsia="仿宋_GB2312" w:cs="DengXian-Regular"/>
          <w:sz w:val="32"/>
          <w:szCs w:val="32"/>
        </w:rPr>
        <w:t>2494.18</w:t>
      </w:r>
      <w:r>
        <w:rPr>
          <w:rFonts w:hint="eastAsia" w:ascii="仿宋_GB2312" w:eastAsia="仿宋_GB2312" w:cs="DengXian-Regular"/>
          <w:sz w:val="32"/>
          <w:szCs w:val="32"/>
        </w:rPr>
        <w:t>万元，财政拨款支出率=（2</w:t>
      </w:r>
      <w:r>
        <w:rPr>
          <w:rFonts w:ascii="仿宋_GB2312" w:eastAsia="仿宋_GB2312" w:cs="DengXian-Regular"/>
          <w:sz w:val="32"/>
          <w:szCs w:val="32"/>
        </w:rPr>
        <w:t>494.18</w:t>
      </w:r>
      <w:r>
        <w:rPr>
          <w:rFonts w:hint="eastAsia" w:ascii="仿宋_GB2312" w:eastAsia="仿宋_GB2312" w:cs="DengXian-Regular"/>
          <w:sz w:val="32"/>
          <w:szCs w:val="32"/>
        </w:rPr>
        <w:t>/2</w:t>
      </w:r>
      <w:r>
        <w:rPr>
          <w:rFonts w:ascii="仿宋_GB2312" w:eastAsia="仿宋_GB2312" w:cs="DengXian-Regular"/>
          <w:sz w:val="32"/>
          <w:szCs w:val="32"/>
        </w:rPr>
        <w:t>494.18</w:t>
      </w:r>
      <w:r>
        <w:rPr>
          <w:rFonts w:hint="eastAsia" w:ascii="仿宋_GB2312" w:eastAsia="仿宋_GB2312" w:cs="DengXian-Regular"/>
          <w:sz w:val="32"/>
          <w:szCs w:val="32"/>
        </w:rPr>
        <w:t>）*100%=</w:t>
      </w:r>
      <w:r>
        <w:rPr>
          <w:rFonts w:ascii="仿宋_GB2312" w:eastAsia="仿宋_GB2312" w:cs="DengXian-Regular"/>
          <w:sz w:val="32"/>
          <w:szCs w:val="32"/>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年预算文本及决算文本，“三公”经费年初预算数24.47万元，年末决算数</w:t>
      </w:r>
      <w:r>
        <w:rPr>
          <w:rFonts w:ascii="仿宋_GB2312" w:eastAsia="仿宋_GB2312" w:cs="DengXian-Regular"/>
          <w:sz w:val="32"/>
          <w:szCs w:val="32"/>
        </w:rPr>
        <w:t>67.52</w:t>
      </w:r>
      <w:r>
        <w:rPr>
          <w:rFonts w:hint="eastAsia" w:ascii="仿宋_GB2312" w:eastAsia="仿宋_GB2312" w:cs="DengXian-Regular"/>
          <w:sz w:val="32"/>
          <w:szCs w:val="32"/>
        </w:rPr>
        <w:t>万元，“三公”经费控制率=（6</w:t>
      </w:r>
      <w:r>
        <w:rPr>
          <w:rFonts w:ascii="仿宋_GB2312" w:eastAsia="仿宋_GB2312" w:cs="DengXian-Regular"/>
          <w:sz w:val="32"/>
          <w:szCs w:val="32"/>
        </w:rPr>
        <w:t>7.52</w:t>
      </w:r>
      <w:r>
        <w:rPr>
          <w:rFonts w:hint="eastAsia" w:ascii="仿宋_GB2312" w:eastAsia="仿宋_GB2312" w:cs="DengXian-Regular"/>
          <w:sz w:val="32"/>
          <w:szCs w:val="32"/>
        </w:rPr>
        <w:t>/2</w:t>
      </w:r>
      <w:r>
        <w:rPr>
          <w:rFonts w:ascii="仿宋_GB2312" w:eastAsia="仿宋_GB2312" w:cs="DengXian-Regular"/>
          <w:sz w:val="32"/>
          <w:szCs w:val="32"/>
        </w:rPr>
        <w:t>4.47</w:t>
      </w:r>
      <w:r>
        <w:rPr>
          <w:rFonts w:hint="eastAsia" w:ascii="仿宋_GB2312" w:eastAsia="仿宋_GB2312" w:cs="DengXian-Regular"/>
          <w:sz w:val="32"/>
          <w:szCs w:val="32"/>
        </w:rPr>
        <w:t>）*100%=</w:t>
      </w:r>
      <w:r>
        <w:rPr>
          <w:rFonts w:ascii="仿宋_GB2312" w:eastAsia="仿宋_GB2312" w:cs="DengXian-Regular"/>
          <w:sz w:val="32"/>
          <w:szCs w:val="32"/>
        </w:rPr>
        <w:t>275.93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w:t>
      </w:r>
      <w:r>
        <w:rPr>
          <w:rFonts w:ascii="仿宋_GB2312" w:eastAsia="仿宋_GB2312" w:cs="DengXian-Regular"/>
          <w:sz w:val="32"/>
          <w:szCs w:val="32"/>
        </w:rPr>
        <w:t>22</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6</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年明细账、会计凭证等相关资料，区纪委资金使用符合相关会计准则和财务制度，资金拨付有完备的审批程序和手续，资金使用符合部门预算批复的用途，未发现截留、挤占、挪用财政资金的情况。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经核查区纪委202</w:t>
      </w:r>
      <w:r>
        <w:rPr>
          <w:rFonts w:ascii="仿宋_GB2312" w:eastAsia="仿宋_GB2312" w:cs="DengXian-Regular"/>
          <w:sz w:val="32"/>
          <w:szCs w:val="32"/>
        </w:rPr>
        <w:t>2</w:t>
      </w:r>
      <w:r>
        <w:rPr>
          <w:rFonts w:hint="eastAsia" w:ascii="仿宋_GB2312" w:eastAsia="仿宋_GB2312" w:cs="DengXian-Regular"/>
          <w:sz w:val="32"/>
          <w:szCs w:val="32"/>
        </w:rPr>
        <w:t>年决算文本、明细账及总账，决算文本数据均与明细账、总账一致。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区纪委工作制度涵盖了财务制度、网络安全制度、公务用车制度等相关制度，经检查单位付款流程审批单、资产登记表等资料，本单位已按照相关管理制度的规定执行。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2</w:t>
      </w:r>
      <w:r>
        <w:rPr>
          <w:rFonts w:hint="eastAsia" w:ascii="仿宋_GB2312" w:eastAsia="仿宋_GB2312" w:cs="DengXian-Regular"/>
          <w:sz w:val="32"/>
          <w:szCs w:val="32"/>
        </w:rPr>
        <w:t>年的预算情况等相关信息。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根据查验会计账簿、凭证及其他相关资料，会计信息资料真实完整。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本建立了固定资产台账、无形资产台账，资产保存完整，202</w:t>
      </w:r>
      <w:r>
        <w:rPr>
          <w:rFonts w:ascii="仿宋_GB2312" w:eastAsia="仿宋_GB2312" w:cs="DengXian-Regular"/>
          <w:sz w:val="32"/>
          <w:szCs w:val="32"/>
        </w:rPr>
        <w:t>2</w:t>
      </w:r>
      <w:r>
        <w:rPr>
          <w:rFonts w:hint="eastAsia" w:ascii="仿宋_GB2312" w:eastAsia="仿宋_GB2312" w:cs="DengXian-Regular"/>
          <w:sz w:val="32"/>
          <w:szCs w:val="32"/>
        </w:rPr>
        <w:t>年新增资产</w:t>
      </w:r>
      <w:r>
        <w:rPr>
          <w:rFonts w:ascii="仿宋_GB2312" w:eastAsia="仿宋_GB2312" w:cs="DengXian-Regular"/>
          <w:sz w:val="32"/>
          <w:szCs w:val="32"/>
        </w:rPr>
        <w:t>90.12</w:t>
      </w:r>
      <w:r>
        <w:rPr>
          <w:rFonts w:hint="eastAsia" w:ascii="仿宋_GB2312" w:eastAsia="仿宋_GB2312" w:cs="DengXian-Regular"/>
          <w:sz w:val="32"/>
          <w:szCs w:val="32"/>
        </w:rPr>
        <w:t>万元，包含：通用</w:t>
      </w:r>
      <w:r>
        <w:rPr>
          <w:rFonts w:ascii="仿宋_GB2312" w:eastAsia="仿宋_GB2312" w:cs="DengXian-Regular"/>
          <w:sz w:val="32"/>
          <w:szCs w:val="32"/>
        </w:rPr>
        <w:t>设备（</w:t>
      </w:r>
      <w:r>
        <w:rPr>
          <w:rFonts w:hint="eastAsia" w:ascii="仿宋_GB2312" w:eastAsia="仿宋_GB2312" w:cs="DengXian-Regular"/>
          <w:sz w:val="32"/>
          <w:szCs w:val="32"/>
        </w:rPr>
        <w:t>87.04万元</w:t>
      </w:r>
      <w:r>
        <w:rPr>
          <w:rFonts w:ascii="仿宋_GB2312" w:eastAsia="仿宋_GB2312" w:cs="DengXian-Regular"/>
          <w:sz w:val="32"/>
          <w:szCs w:val="32"/>
        </w:rPr>
        <w:t>）</w:t>
      </w:r>
      <w:r>
        <w:rPr>
          <w:rFonts w:hint="eastAsia" w:ascii="仿宋_GB2312" w:eastAsia="仿宋_GB2312" w:cs="DengXian-Regular"/>
          <w:sz w:val="32"/>
          <w:szCs w:val="32"/>
        </w:rPr>
        <w:t>家具</w:t>
      </w:r>
      <w:r>
        <w:rPr>
          <w:rFonts w:ascii="仿宋_GB2312" w:eastAsia="仿宋_GB2312" w:cs="DengXian-Regular"/>
          <w:sz w:val="32"/>
          <w:szCs w:val="32"/>
        </w:rPr>
        <w:t>用具</w:t>
      </w:r>
      <w:r>
        <w:rPr>
          <w:rFonts w:hint="eastAsia" w:ascii="仿宋_GB2312" w:eastAsia="仿宋_GB2312" w:cs="DengXian-Regular"/>
          <w:sz w:val="32"/>
          <w:szCs w:val="32"/>
        </w:rPr>
        <w:t>（</w:t>
      </w:r>
      <w:r>
        <w:rPr>
          <w:rFonts w:ascii="仿宋_GB2312" w:eastAsia="仿宋_GB2312" w:cs="DengXian-Regular"/>
          <w:sz w:val="32"/>
          <w:szCs w:val="32"/>
        </w:rPr>
        <w:t>3.08</w:t>
      </w:r>
      <w:r>
        <w:rPr>
          <w:rFonts w:hint="eastAsia" w:ascii="仿宋_GB2312" w:eastAsia="仿宋_GB2312" w:cs="DengXian-Regular"/>
          <w:sz w:val="32"/>
          <w:szCs w:val="32"/>
        </w:rPr>
        <w:t>万元）等，资产购置手续完备，配置符合要求，资产管理整体较规范。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根据徐水区财政局文件</w:t>
      </w:r>
      <w:r>
        <w:rPr>
          <w:rFonts w:ascii="仿宋_GB2312" w:eastAsia="仿宋_GB2312" w:cs="DengXian-Regular"/>
          <w:sz w:val="32"/>
          <w:szCs w:val="32"/>
        </w:rPr>
        <w:t>要求</w:t>
      </w:r>
      <w:r>
        <w:rPr>
          <w:rFonts w:hint="eastAsia" w:ascii="仿宋_GB2312" w:eastAsia="仿宋_GB2312" w:cs="DengXian-Regular"/>
          <w:sz w:val="32"/>
          <w:szCs w:val="32"/>
        </w:rPr>
        <w:t>及徐水区纪委202</w:t>
      </w:r>
      <w:r>
        <w:rPr>
          <w:rFonts w:ascii="仿宋_GB2312" w:eastAsia="仿宋_GB2312" w:cs="DengXian-Regular"/>
          <w:sz w:val="32"/>
          <w:szCs w:val="32"/>
        </w:rPr>
        <w:t>2</w:t>
      </w:r>
      <w:r>
        <w:rPr>
          <w:rFonts w:hint="eastAsia" w:ascii="仿宋_GB2312" w:eastAsia="仿宋_GB2312" w:cs="DengXian-Regular"/>
          <w:sz w:val="32"/>
          <w:szCs w:val="32"/>
        </w:rPr>
        <w:t>年一般项目部门绩效自评表，本单位 202</w:t>
      </w:r>
      <w:r>
        <w:rPr>
          <w:rFonts w:ascii="仿宋_GB2312" w:eastAsia="仿宋_GB2312" w:cs="DengXian-Regular"/>
          <w:sz w:val="32"/>
          <w:szCs w:val="32"/>
        </w:rPr>
        <w:t>2</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10</w:t>
      </w:r>
      <w:r>
        <w:rPr>
          <w:rFonts w:hint="eastAsia" w:ascii="仿宋_GB2312" w:eastAsia="仿宋_GB2312" w:cs="DengXian-Regular"/>
          <w:sz w:val="32"/>
          <w:szCs w:val="32"/>
        </w:rPr>
        <w:t>个，年初预算文本项目数</w:t>
      </w:r>
      <w:r>
        <w:rPr>
          <w:rFonts w:ascii="仿宋_GB2312" w:eastAsia="仿宋_GB2312" w:cs="DengXian-Regular"/>
          <w:sz w:val="32"/>
          <w:szCs w:val="32"/>
        </w:rPr>
        <w:t>4</w:t>
      </w:r>
      <w:r>
        <w:rPr>
          <w:rFonts w:hint="eastAsia" w:ascii="仿宋_GB2312" w:eastAsia="仿宋_GB2312" w:cs="DengXian-Regular"/>
          <w:sz w:val="32"/>
          <w:szCs w:val="32"/>
        </w:rPr>
        <w:t>个，要求自评项目个数</w:t>
      </w:r>
      <w:r>
        <w:rPr>
          <w:rFonts w:ascii="仿宋_GB2312" w:eastAsia="仿宋_GB2312" w:cs="DengXian-Regular"/>
          <w:sz w:val="32"/>
          <w:szCs w:val="32"/>
        </w:rPr>
        <w:t>10</w:t>
      </w:r>
      <w:r>
        <w:rPr>
          <w:rFonts w:hint="eastAsia" w:ascii="仿宋_GB2312" w:eastAsia="仿宋_GB2312" w:cs="DengXian-Regular"/>
          <w:sz w:val="32"/>
          <w:szCs w:val="32"/>
        </w:rPr>
        <w:t>个，自评覆盖率为 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w:t>
      </w:r>
      <w:r>
        <w:rPr>
          <w:rFonts w:ascii="仿宋_GB2312" w:eastAsia="仿宋_GB2312" w:cs="DengXian-Regular"/>
          <w:sz w:val="32"/>
          <w:szCs w:val="32"/>
        </w:rPr>
        <w:t>2</w:t>
      </w:r>
      <w:r>
        <w:rPr>
          <w:rFonts w:hint="eastAsia" w:ascii="仿宋_GB2312" w:eastAsia="仿宋_GB2312" w:cs="DengXian-Regular"/>
          <w:sz w:val="32"/>
          <w:szCs w:val="32"/>
        </w:rPr>
        <w:t>年参评数量</w:t>
      </w:r>
      <w:r>
        <w:rPr>
          <w:rFonts w:ascii="仿宋_GB2312" w:eastAsia="仿宋_GB2312" w:cs="DengXian-Regular"/>
          <w:sz w:val="32"/>
          <w:szCs w:val="32"/>
        </w:rPr>
        <w:t>10</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10</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该一级指标包含责任履行一个二级指标，主要反映结转结余率，项目资金使用率，监督检查</w:t>
      </w:r>
      <w:r>
        <w:rPr>
          <w:rFonts w:ascii="仿宋_GB2312" w:eastAsia="仿宋_GB2312" w:cs="DengXian-Regular"/>
          <w:sz w:val="32"/>
          <w:szCs w:val="32"/>
        </w:rPr>
        <w:t>次数、培训次数、差旅费支出合规率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监督检查</w:t>
            </w:r>
            <w:r>
              <w:rPr>
                <w:rFonts w:cs="宋体" w:asciiTheme="minorEastAsia" w:hAnsiTheme="minorEastAsia" w:eastAsiaTheme="minorEastAsia"/>
                <w:sz w:val="21"/>
                <w:szCs w:val="21"/>
              </w:rPr>
              <w:t>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培训次数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差旅费支出合规率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根据区纪委202</w:t>
      </w:r>
      <w:r>
        <w:rPr>
          <w:rFonts w:ascii="仿宋_GB2312" w:eastAsia="仿宋_GB2312" w:cs="DengXian-Regular"/>
          <w:sz w:val="32"/>
          <w:szCs w:val="32"/>
        </w:rPr>
        <w:t>2</w:t>
      </w:r>
      <w:r>
        <w:rPr>
          <w:rFonts w:hint="eastAsia" w:ascii="仿宋_GB2312" w:eastAsia="仿宋_GB2312" w:cs="DengXian-Regular"/>
          <w:sz w:val="32"/>
          <w:szCs w:val="32"/>
        </w:rPr>
        <w:t>年决算文本及相关资料， 202</w:t>
      </w:r>
      <w:r>
        <w:rPr>
          <w:rFonts w:ascii="仿宋_GB2312" w:eastAsia="仿宋_GB2312" w:cs="DengXian-Regular"/>
          <w:sz w:val="32"/>
          <w:szCs w:val="32"/>
        </w:rPr>
        <w:t>2</w:t>
      </w:r>
      <w:r>
        <w:rPr>
          <w:rFonts w:hint="eastAsia" w:ascii="仿宋_GB2312" w:eastAsia="仿宋_GB2312" w:cs="DengXian-Regular"/>
          <w:sz w:val="32"/>
          <w:szCs w:val="32"/>
        </w:rPr>
        <w:t>年结转结余资金</w:t>
      </w:r>
      <w:r>
        <w:rPr>
          <w:rFonts w:ascii="仿宋_GB2312" w:eastAsia="仿宋_GB2312" w:cs="DengXian-Regular"/>
          <w:sz w:val="32"/>
          <w:szCs w:val="32"/>
        </w:rPr>
        <w:t>0.82</w:t>
      </w:r>
      <w:r>
        <w:rPr>
          <w:rFonts w:hint="eastAsia" w:ascii="仿宋_GB2312" w:eastAsia="仿宋_GB2312" w:cs="DengXian-Regular"/>
          <w:sz w:val="32"/>
          <w:szCs w:val="32"/>
        </w:rPr>
        <w:t>万元，决算收入</w:t>
      </w:r>
      <w:r>
        <w:rPr>
          <w:rFonts w:ascii="仿宋_GB2312" w:eastAsia="仿宋_GB2312" w:cs="DengXian-Regular"/>
          <w:sz w:val="32"/>
          <w:szCs w:val="32"/>
        </w:rPr>
        <w:t>2494.27</w:t>
      </w:r>
      <w:r>
        <w:rPr>
          <w:rFonts w:hint="eastAsia" w:ascii="仿宋_GB2312" w:eastAsia="仿宋_GB2312" w:cs="DengXian-Regular"/>
          <w:sz w:val="32"/>
          <w:szCs w:val="32"/>
        </w:rPr>
        <w:t>万元，结转结余率小于5%。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本单位202</w:t>
      </w:r>
      <w:r>
        <w:rPr>
          <w:rFonts w:ascii="仿宋_GB2312" w:eastAsia="仿宋_GB2312" w:cs="DengXian-Regular"/>
          <w:sz w:val="32"/>
          <w:szCs w:val="32"/>
        </w:rPr>
        <w:t>X</w:t>
      </w:r>
      <w:r>
        <w:rPr>
          <w:rFonts w:hint="eastAsia" w:ascii="仿宋_GB2312" w:eastAsia="仿宋_GB2312" w:cs="DengXian-Regular"/>
          <w:sz w:val="32"/>
          <w:szCs w:val="32"/>
        </w:rPr>
        <w:t>年实际支出项目资金总额</w:t>
      </w:r>
      <w:r>
        <w:rPr>
          <w:rFonts w:ascii="仿宋_GB2312" w:eastAsia="仿宋_GB2312" w:cs="DengXian-Regular"/>
          <w:sz w:val="32"/>
          <w:szCs w:val="32"/>
        </w:rPr>
        <w:t>352.58</w:t>
      </w:r>
      <w:r>
        <w:rPr>
          <w:rFonts w:hint="eastAsia" w:ascii="仿宋_GB2312" w:eastAsia="仿宋_GB2312" w:cs="DengXian-Regular"/>
          <w:sz w:val="32"/>
          <w:szCs w:val="32"/>
        </w:rPr>
        <w:t>万元，年初预算共</w:t>
      </w:r>
      <w:r>
        <w:rPr>
          <w:rFonts w:ascii="仿宋_GB2312" w:eastAsia="仿宋_GB2312" w:cs="DengXian-Regular"/>
          <w:sz w:val="32"/>
          <w:szCs w:val="32"/>
        </w:rPr>
        <w:t>4</w:t>
      </w:r>
      <w:r>
        <w:rPr>
          <w:rFonts w:hint="eastAsia" w:ascii="仿宋_GB2312" w:eastAsia="仿宋_GB2312" w:cs="DengXian-Regular"/>
          <w:sz w:val="32"/>
          <w:szCs w:val="32"/>
        </w:rPr>
        <w:t>个项目，预算数</w:t>
      </w:r>
      <w:r>
        <w:rPr>
          <w:rFonts w:ascii="仿宋_GB2312" w:eastAsia="仿宋_GB2312" w:cs="DengXian-Regular"/>
          <w:sz w:val="32"/>
          <w:szCs w:val="32"/>
        </w:rPr>
        <w:t>108.47</w:t>
      </w:r>
      <w:r>
        <w:rPr>
          <w:rFonts w:hint="eastAsia" w:ascii="仿宋_GB2312" w:eastAsia="仿宋_GB2312" w:cs="DengXian-Regular"/>
          <w:sz w:val="32"/>
          <w:szCs w:val="32"/>
        </w:rPr>
        <w:t>万元，年中追加项目资金</w:t>
      </w:r>
      <w:r>
        <w:rPr>
          <w:rFonts w:ascii="仿宋_GB2312" w:eastAsia="仿宋_GB2312" w:cs="DengXian-Regular"/>
          <w:sz w:val="32"/>
          <w:szCs w:val="32"/>
        </w:rPr>
        <w:t>244.11</w:t>
      </w:r>
      <w:r>
        <w:rPr>
          <w:rFonts w:hint="eastAsia" w:ascii="仿宋_GB2312" w:eastAsia="仿宋_GB2312" w:cs="DengXian-Regular"/>
          <w:sz w:val="32"/>
          <w:szCs w:val="32"/>
        </w:rPr>
        <w:t>万元，项目资金使用率为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 监督检查</w:t>
      </w:r>
      <w:r>
        <w:rPr>
          <w:rFonts w:ascii="仿宋_GB2312" w:eastAsia="仿宋_GB2312" w:cs="DengXian-Regular"/>
          <w:sz w:val="32"/>
          <w:szCs w:val="32"/>
        </w:rPr>
        <w:t>次数</w:t>
      </w:r>
      <w:r>
        <w:rPr>
          <w:rFonts w:hint="eastAsia" w:ascii="仿宋_GB2312" w:eastAsia="仿宋_GB2312" w:cs="DengXian-Regular"/>
          <w:sz w:val="32"/>
          <w:szCs w:val="32"/>
        </w:rPr>
        <w:t>（5分）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通过监督检查次数衡量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（本年度</w:t>
      </w:r>
      <w:r>
        <w:rPr>
          <w:rFonts w:ascii="仿宋_GB2312" w:eastAsia="仿宋_GB2312" w:cs="DengXian-Regular"/>
          <w:sz w:val="32"/>
          <w:szCs w:val="32"/>
        </w:rPr>
        <w:t>实际监督检查</w:t>
      </w:r>
      <w:r>
        <w:rPr>
          <w:rFonts w:hint="eastAsia" w:ascii="仿宋_GB2312" w:eastAsia="仿宋_GB2312" w:cs="DengXian-Regular"/>
          <w:sz w:val="32"/>
          <w:szCs w:val="32"/>
        </w:rPr>
        <w:t>次数/1</w:t>
      </w:r>
      <w:r>
        <w:rPr>
          <w:rFonts w:ascii="仿宋_GB2312" w:eastAsia="仿宋_GB2312" w:cs="DengXian-Regular"/>
          <w:sz w:val="32"/>
          <w:szCs w:val="32"/>
        </w:rPr>
        <w:t>00</w:t>
      </w:r>
      <w:r>
        <w:rPr>
          <w:rFonts w:hint="eastAsia" w:ascii="仿宋_GB2312" w:eastAsia="仿宋_GB2312" w:cs="DengXian-Regular"/>
          <w:sz w:val="32"/>
          <w:szCs w:val="32"/>
        </w:rPr>
        <w:t>次）*100%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w:t>
      </w:r>
      <w:r>
        <w:rPr>
          <w:rFonts w:ascii="仿宋_GB2312" w:eastAsia="仿宋_GB2312" w:cs="DengXian-Regular"/>
          <w:sz w:val="32"/>
          <w:szCs w:val="32"/>
        </w:rPr>
        <w:t>完成监督检查次数</w:t>
      </w:r>
      <w:r>
        <w:rPr>
          <w:rFonts w:hint="eastAsia" w:ascii="仿宋_GB2312" w:eastAsia="仿宋_GB2312" w:cs="DengXian-Regular"/>
          <w:sz w:val="32"/>
          <w:szCs w:val="32"/>
        </w:rPr>
        <w:t>133次，</w:t>
      </w:r>
      <w:r>
        <w:rPr>
          <w:rFonts w:ascii="仿宋_GB2312" w:eastAsia="仿宋_GB2312" w:cs="DengXian-Regular"/>
          <w:sz w:val="32"/>
          <w:szCs w:val="32"/>
        </w:rPr>
        <w:t>达到目标值。</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ascii="仿宋_GB2312" w:eastAsia="仿宋_GB2312" w:cs="DengXian-Regular"/>
          <w:sz w:val="32"/>
          <w:szCs w:val="32"/>
        </w:rPr>
        <w:t>培训次数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w:t>
      </w:r>
      <w:r>
        <w:rPr>
          <w:rFonts w:hint="eastAsia" w:ascii="仿宋_GB2312" w:eastAsia="仿宋_GB2312" w:cs="DengXian-Regular"/>
          <w:sz w:val="32"/>
          <w:szCs w:val="32"/>
        </w:rPr>
        <w:t>开展</w:t>
      </w:r>
      <w:r>
        <w:rPr>
          <w:rFonts w:ascii="仿宋_GB2312" w:eastAsia="仿宋_GB2312" w:cs="DengXian-Regular"/>
          <w:sz w:val="32"/>
          <w:szCs w:val="32"/>
        </w:rPr>
        <w:t>培训次数衡量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（本年度</w:t>
      </w:r>
      <w:r>
        <w:rPr>
          <w:rFonts w:ascii="仿宋_GB2312" w:eastAsia="仿宋_GB2312" w:cs="DengXian-Regular"/>
          <w:sz w:val="32"/>
          <w:szCs w:val="32"/>
        </w:rPr>
        <w:t>实际监督检查</w:t>
      </w:r>
      <w:r>
        <w:rPr>
          <w:rFonts w:hint="eastAsia" w:ascii="仿宋_GB2312" w:eastAsia="仿宋_GB2312" w:cs="DengXian-Regular"/>
          <w:sz w:val="32"/>
          <w:szCs w:val="32"/>
        </w:rPr>
        <w:t>次数/</w:t>
      </w:r>
      <w:r>
        <w:rPr>
          <w:rFonts w:ascii="仿宋_GB2312" w:eastAsia="仿宋_GB2312" w:cs="DengXian-Regular"/>
          <w:sz w:val="32"/>
          <w:szCs w:val="32"/>
        </w:rPr>
        <w:t>48</w:t>
      </w:r>
      <w:r>
        <w:rPr>
          <w:rFonts w:hint="eastAsia" w:ascii="仿宋_GB2312" w:eastAsia="仿宋_GB2312" w:cs="DengXian-Regular"/>
          <w:sz w:val="32"/>
          <w:szCs w:val="32"/>
        </w:rPr>
        <w:t>次）*100%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w:t>
      </w:r>
      <w:r>
        <w:rPr>
          <w:rFonts w:ascii="仿宋_GB2312" w:eastAsia="仿宋_GB2312" w:cs="DengXian-Regular"/>
          <w:sz w:val="32"/>
          <w:szCs w:val="32"/>
        </w:rPr>
        <w:t>完成</w:t>
      </w:r>
      <w:r>
        <w:rPr>
          <w:rFonts w:hint="eastAsia" w:ascii="仿宋_GB2312" w:eastAsia="仿宋_GB2312" w:cs="DengXian-Regular"/>
          <w:sz w:val="32"/>
          <w:szCs w:val="32"/>
        </w:rPr>
        <w:t>培训</w:t>
      </w:r>
      <w:r>
        <w:rPr>
          <w:rFonts w:ascii="仿宋_GB2312" w:eastAsia="仿宋_GB2312" w:cs="DengXian-Regular"/>
          <w:sz w:val="32"/>
          <w:szCs w:val="32"/>
        </w:rPr>
        <w:t>次数62</w:t>
      </w:r>
      <w:r>
        <w:rPr>
          <w:rFonts w:hint="eastAsia" w:ascii="仿宋_GB2312" w:eastAsia="仿宋_GB2312" w:cs="DengXian-Regular"/>
          <w:sz w:val="32"/>
          <w:szCs w:val="32"/>
        </w:rPr>
        <w:t>次，</w:t>
      </w:r>
      <w:r>
        <w:rPr>
          <w:rFonts w:ascii="仿宋_GB2312" w:eastAsia="仿宋_GB2312" w:cs="DengXian-Regular"/>
          <w:sz w:val="32"/>
          <w:szCs w:val="32"/>
        </w:rPr>
        <w:t>达到目标值。</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差旅费支出合规率（</w:t>
      </w:r>
      <w:r>
        <w:rPr>
          <w:rFonts w:hint="eastAsia" w:ascii="仿宋_GB2312" w:eastAsia="仿宋_GB2312" w:cs="DengXian-Regular"/>
          <w:sz w:val="32"/>
          <w:szCs w:val="32"/>
        </w:rPr>
        <w:t>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主要评价部门职能执行情况</w:t>
      </w:r>
      <w:r>
        <w:rPr>
          <w:rFonts w:hint="eastAsia" w:ascii="仿宋_GB2312" w:eastAsia="仿宋_GB2312" w:cs="DengXian-Regular"/>
          <w:sz w:val="32"/>
          <w:szCs w:val="32"/>
        </w:rPr>
        <w:t>，</w:t>
      </w:r>
      <w:r>
        <w:rPr>
          <w:rFonts w:ascii="仿宋_GB2312" w:eastAsia="仿宋_GB2312" w:cs="DengXian-Regular"/>
          <w:sz w:val="32"/>
          <w:szCs w:val="32"/>
        </w:rPr>
        <w:t>通过</w:t>
      </w:r>
      <w:r>
        <w:rPr>
          <w:rFonts w:hint="eastAsia" w:ascii="仿宋_GB2312" w:eastAsia="仿宋_GB2312" w:cs="DengXian-Regular"/>
          <w:sz w:val="32"/>
          <w:szCs w:val="32"/>
        </w:rPr>
        <w:t>差旅费</w:t>
      </w:r>
      <w:r>
        <w:rPr>
          <w:rFonts w:ascii="仿宋_GB2312" w:eastAsia="仿宋_GB2312" w:cs="DengXian-Regular"/>
          <w:sz w:val="32"/>
          <w:szCs w:val="32"/>
        </w:rPr>
        <w:t>支出合规率衡量</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完成率</w:t>
      </w:r>
      <w:r>
        <w:rPr>
          <w:rFonts w:ascii="仿宋_GB2312" w:eastAsia="仿宋_GB2312" w:cs="DengXian-Regular"/>
          <w:sz w:val="32"/>
          <w:szCs w:val="32"/>
        </w:rPr>
        <w:t>=</w:t>
      </w:r>
      <w:r>
        <w:rPr>
          <w:rFonts w:hint="eastAsia" w:ascii="仿宋_GB2312" w:eastAsia="仿宋_GB2312" w:cs="DengXian-Regular"/>
          <w:sz w:val="32"/>
          <w:szCs w:val="32"/>
        </w:rPr>
        <w:t>（差旅费</w:t>
      </w:r>
      <w:r>
        <w:rPr>
          <w:rFonts w:ascii="仿宋_GB2312" w:eastAsia="仿宋_GB2312" w:cs="DengXian-Regular"/>
          <w:sz w:val="32"/>
          <w:szCs w:val="32"/>
        </w:rPr>
        <w:t>报销合规金额</w:t>
      </w:r>
      <w:r>
        <w:rPr>
          <w:rFonts w:hint="eastAsia" w:ascii="仿宋_GB2312" w:eastAsia="仿宋_GB2312" w:cs="DengXian-Regular"/>
          <w:sz w:val="32"/>
          <w:szCs w:val="32"/>
        </w:rPr>
        <w:t>/差旅费</w:t>
      </w:r>
      <w:r>
        <w:rPr>
          <w:rFonts w:ascii="仿宋_GB2312" w:eastAsia="仿宋_GB2312" w:cs="DengXian-Regular"/>
          <w:sz w:val="32"/>
          <w:szCs w:val="32"/>
        </w:rPr>
        <w:t>总金额</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区纪委2022年度差旅费</w:t>
      </w:r>
      <w:r>
        <w:rPr>
          <w:rFonts w:ascii="仿宋_GB2312" w:eastAsia="仿宋_GB2312" w:cs="DengXian-Regular"/>
          <w:sz w:val="32"/>
          <w:szCs w:val="32"/>
        </w:rPr>
        <w:t>支出</w:t>
      </w:r>
      <w:r>
        <w:rPr>
          <w:rFonts w:hint="eastAsia" w:ascii="仿宋_GB2312" w:eastAsia="仿宋_GB2312" w:cs="DengXian-Regular"/>
          <w:sz w:val="32"/>
          <w:szCs w:val="32"/>
        </w:rPr>
        <w:t>78.42万元，其</w:t>
      </w:r>
      <w:r>
        <w:rPr>
          <w:rFonts w:ascii="仿宋_GB2312" w:eastAsia="仿宋_GB2312" w:cs="DengXian-Regular"/>
          <w:sz w:val="32"/>
          <w:szCs w:val="32"/>
        </w:rPr>
        <w:t>出差审批及报销全部按照规定</w:t>
      </w:r>
      <w:r>
        <w:rPr>
          <w:rFonts w:hint="eastAsia" w:ascii="仿宋_GB2312" w:eastAsia="仿宋_GB2312" w:cs="DengXian-Regular"/>
          <w:sz w:val="32"/>
          <w:szCs w:val="32"/>
        </w:rPr>
        <w:t>完成</w:t>
      </w:r>
      <w:r>
        <w:rPr>
          <w:rFonts w:ascii="仿宋_GB2312" w:eastAsia="仿宋_GB2312" w:cs="DengXian-Regular"/>
          <w:sz w:val="32"/>
          <w:szCs w:val="32"/>
        </w:rPr>
        <w:t>，达标率</w:t>
      </w:r>
      <w:r>
        <w:rPr>
          <w:rFonts w:hint="eastAsia" w:ascii="仿宋_GB2312" w:eastAsia="仿宋_GB2312" w:cs="DengXian-Regular"/>
          <w:sz w:val="32"/>
          <w:szCs w:val="32"/>
        </w:rPr>
        <w:t>100</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经查看我单位有关股室提供的相关资料，区纪委履行职责对社会发展所带来的社会效益较显著，有效的提高广大</w:t>
      </w:r>
      <w:r>
        <w:rPr>
          <w:rFonts w:ascii="仿宋_GB2312" w:eastAsia="仿宋_GB2312" w:cs="DengXian-Regular"/>
          <w:sz w:val="32"/>
          <w:szCs w:val="32"/>
        </w:rPr>
        <w:t>党员</w:t>
      </w:r>
      <w:r>
        <w:rPr>
          <w:rFonts w:hint="eastAsia" w:ascii="仿宋_GB2312" w:eastAsia="仿宋_GB2312" w:cs="DengXian-Regular"/>
          <w:sz w:val="32"/>
          <w:szCs w:val="32"/>
        </w:rPr>
        <w:t>干部</w:t>
      </w:r>
      <w:r>
        <w:rPr>
          <w:rFonts w:hint="eastAsia" w:ascii="仿宋_GB2312" w:hAnsi="仿宋" w:eastAsia="仿宋_GB2312" w:cs="仿宋"/>
          <w:sz w:val="32"/>
          <w:szCs w:val="32"/>
        </w:rPr>
        <w:t>政治素养，促进保持清正廉洁政治本色</w:t>
      </w:r>
      <w:r>
        <w:rPr>
          <w:rFonts w:hint="eastAsia" w:ascii="仿宋_GB2312" w:eastAsia="仿宋_GB2312" w:cs="DengXian-Regular"/>
          <w:sz w:val="32"/>
          <w:szCs w:val="32"/>
        </w:rPr>
        <w:t>，</w:t>
      </w:r>
      <w:r>
        <w:rPr>
          <w:rFonts w:ascii="仿宋_GB2312" w:eastAsia="仿宋_GB2312" w:cs="DengXian-Regular"/>
          <w:sz w:val="32"/>
          <w:szCs w:val="32"/>
        </w:rPr>
        <w:t>维护良好政治生态。</w:t>
      </w:r>
      <w:r>
        <w:rPr>
          <w:rFonts w:hint="eastAsia" w:ascii="仿宋_GB2312" w:eastAsia="仿宋_GB2312" w:cs="DengXian-Regular"/>
          <w:sz w:val="32"/>
          <w:szCs w:val="32"/>
        </w:rPr>
        <w:t>今后</w:t>
      </w:r>
      <w:r>
        <w:rPr>
          <w:rFonts w:ascii="仿宋_GB2312" w:eastAsia="仿宋_GB2312" w:cs="DengXian-Regular"/>
          <w:sz w:val="32"/>
          <w:szCs w:val="32"/>
        </w:rPr>
        <w:t>将</w:t>
      </w:r>
      <w:r>
        <w:rPr>
          <w:rFonts w:hint="eastAsia" w:ascii="仿宋_GB2312" w:eastAsia="仿宋_GB2312" w:cs="DengXian-Regular"/>
          <w:sz w:val="32"/>
          <w:szCs w:val="32"/>
        </w:rPr>
        <w:t>持续抓好作风建设，加大违反中央八项规定精神及其实施细则和隐形变异“四风”问题整治力度；持续加大监督检查力度，巩固反腐败斗争压倒性胜利。</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您对徐水区纪委信访举报处理工作是否满意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您对徐水区纪委党风廉政、反腐败工作是否满意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85</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86.5</w:t>
      </w:r>
      <w:r>
        <w:rPr>
          <w:rFonts w:hint="eastAsia" w:ascii="仿宋_GB2312" w:eastAsia="仿宋_GB2312" w:cs="Times New Roman" w:hAnsiTheme="minorEastAsia"/>
          <w:sz w:val="32"/>
          <w:szCs w:val="32"/>
          <w:u w:color="000000"/>
        </w:rPr>
        <w:t>分，小于90分，评价等级为“良”。</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6" w:name="_Toc20723"/>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区纪委</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1.部分绩效指标方面：部分</w:t>
      </w:r>
      <w:r>
        <w:rPr>
          <w:rFonts w:ascii="仿宋_GB2312" w:eastAsia="仿宋_GB2312" w:cs="Times New Roman" w:hAnsiTheme="minorEastAsia"/>
          <w:sz w:val="32"/>
          <w:szCs w:val="32"/>
          <w:u w:color="000000"/>
        </w:rPr>
        <w:t>绩效指标设置笼统，针对性较弱。</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2.预算决算比较：年中</w:t>
      </w:r>
      <w:r>
        <w:rPr>
          <w:rFonts w:ascii="仿宋_GB2312" w:eastAsia="仿宋_GB2312" w:cs="Times New Roman" w:hAnsiTheme="minorEastAsia"/>
          <w:sz w:val="32"/>
          <w:szCs w:val="32"/>
          <w:u w:color="000000"/>
        </w:rPr>
        <w:t>追加项目</w:t>
      </w:r>
      <w:r>
        <w:rPr>
          <w:rFonts w:hint="eastAsia" w:ascii="仿宋_GB2312" w:eastAsia="仿宋_GB2312" w:cs="Times New Roman" w:hAnsiTheme="minorEastAsia"/>
          <w:sz w:val="32"/>
          <w:szCs w:val="32"/>
          <w:u w:color="000000"/>
        </w:rPr>
        <w:t>金额</w:t>
      </w:r>
      <w:r>
        <w:rPr>
          <w:rFonts w:ascii="仿宋_GB2312" w:eastAsia="仿宋_GB2312" w:cs="Times New Roman" w:hAnsiTheme="minorEastAsia"/>
          <w:sz w:val="32"/>
          <w:szCs w:val="32"/>
          <w:u w:color="000000"/>
        </w:rPr>
        <w:t>较多，应加强年初预算的准确性。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3.满意度</w:t>
      </w:r>
      <w:r>
        <w:rPr>
          <w:rFonts w:ascii="仿宋_GB2312" w:eastAsia="仿宋_GB2312" w:cs="Times New Roman" w:hAnsiTheme="minorEastAsia"/>
          <w:sz w:val="32"/>
          <w:szCs w:val="32"/>
          <w:u w:color="000000"/>
        </w:rPr>
        <w:t>指标：</w:t>
      </w:r>
      <w:r>
        <w:rPr>
          <w:rFonts w:hint="eastAsia" w:ascii="仿宋_GB2312" w:eastAsia="仿宋_GB2312" w:cs="Times New Roman" w:hAnsiTheme="minorEastAsia"/>
          <w:sz w:val="32"/>
          <w:szCs w:val="32"/>
          <w:u w:color="000000"/>
        </w:rPr>
        <w:t>继续</w:t>
      </w:r>
      <w:r>
        <w:rPr>
          <w:rFonts w:hint="eastAsia" w:ascii="仿宋_GB2312" w:eastAsia="仿宋_GB2312"/>
          <w:sz w:val="32"/>
          <w:szCs w:val="32"/>
        </w:rPr>
        <w:t>紧紧围绕党的政治建设、全面从严治党、党风廉政建设和反腐败斗争，强化监督执纪问责，</w:t>
      </w:r>
      <w:r>
        <w:rPr>
          <w:rFonts w:hint="eastAsia" w:ascii="仿宋_GB2312" w:eastAsia="仿宋_GB2312" w:cs="Times New Roman" w:hAnsiTheme="minorEastAsia"/>
          <w:sz w:val="32"/>
          <w:szCs w:val="32"/>
          <w:u w:color="000000"/>
        </w:rPr>
        <w:t xml:space="preserve"> 不断</w:t>
      </w:r>
      <w:r>
        <w:rPr>
          <w:rFonts w:ascii="仿宋_GB2312" w:eastAsia="仿宋_GB2312" w:cs="Times New Roman" w:hAnsiTheme="minorEastAsia"/>
          <w:sz w:val="32"/>
          <w:szCs w:val="32"/>
          <w:u w:color="000000"/>
        </w:rPr>
        <w:t>提高</w:t>
      </w:r>
      <w:r>
        <w:rPr>
          <w:rFonts w:hint="eastAsia" w:ascii="仿宋_GB2312" w:eastAsia="仿宋_GB2312" w:cs="Times New Roman" w:hAnsiTheme="minorEastAsia"/>
          <w:sz w:val="32"/>
          <w:szCs w:val="32"/>
          <w:u w:color="000000"/>
        </w:rPr>
        <w:t>服务对象对我部门履职效果的满意程度。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区纪委</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纪委</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纪委</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1"/>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3</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58CC"/>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77D0F"/>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1CB0"/>
    <w:rsid w:val="0011574B"/>
    <w:rsid w:val="00116132"/>
    <w:rsid w:val="00116F7F"/>
    <w:rsid w:val="00117B9C"/>
    <w:rsid w:val="00117E7D"/>
    <w:rsid w:val="00120EA6"/>
    <w:rsid w:val="00122196"/>
    <w:rsid w:val="0012439D"/>
    <w:rsid w:val="0012587C"/>
    <w:rsid w:val="00133033"/>
    <w:rsid w:val="0013591D"/>
    <w:rsid w:val="00141DE8"/>
    <w:rsid w:val="00144105"/>
    <w:rsid w:val="00145B4E"/>
    <w:rsid w:val="001544E1"/>
    <w:rsid w:val="001551CE"/>
    <w:rsid w:val="00164456"/>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1814"/>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175"/>
    <w:rsid w:val="00227AFB"/>
    <w:rsid w:val="00235741"/>
    <w:rsid w:val="00236B18"/>
    <w:rsid w:val="002401EA"/>
    <w:rsid w:val="00241B9D"/>
    <w:rsid w:val="002439D4"/>
    <w:rsid w:val="00243A40"/>
    <w:rsid w:val="00245CB2"/>
    <w:rsid w:val="00246A44"/>
    <w:rsid w:val="00250BAC"/>
    <w:rsid w:val="00260245"/>
    <w:rsid w:val="0026252A"/>
    <w:rsid w:val="00262BB1"/>
    <w:rsid w:val="00263D3A"/>
    <w:rsid w:val="002643BE"/>
    <w:rsid w:val="00265325"/>
    <w:rsid w:val="00266E84"/>
    <w:rsid w:val="00270BCC"/>
    <w:rsid w:val="002715FC"/>
    <w:rsid w:val="002736FD"/>
    <w:rsid w:val="00274CFA"/>
    <w:rsid w:val="00275677"/>
    <w:rsid w:val="00275A3F"/>
    <w:rsid w:val="0028068C"/>
    <w:rsid w:val="00280F6C"/>
    <w:rsid w:val="00282A89"/>
    <w:rsid w:val="00283F8F"/>
    <w:rsid w:val="002869F9"/>
    <w:rsid w:val="00287DB7"/>
    <w:rsid w:val="00292F98"/>
    <w:rsid w:val="002939A0"/>
    <w:rsid w:val="002959A3"/>
    <w:rsid w:val="0029626E"/>
    <w:rsid w:val="00296E59"/>
    <w:rsid w:val="00297CEF"/>
    <w:rsid w:val="002A0364"/>
    <w:rsid w:val="002A1661"/>
    <w:rsid w:val="002A1A25"/>
    <w:rsid w:val="002A563C"/>
    <w:rsid w:val="002B05EF"/>
    <w:rsid w:val="002B2E34"/>
    <w:rsid w:val="002B4FBE"/>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3896"/>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298E"/>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656F"/>
    <w:rsid w:val="00477959"/>
    <w:rsid w:val="00482FED"/>
    <w:rsid w:val="00486217"/>
    <w:rsid w:val="00486A56"/>
    <w:rsid w:val="00491169"/>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7A50"/>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256D8"/>
    <w:rsid w:val="00526DAF"/>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96BDE"/>
    <w:rsid w:val="005A15D6"/>
    <w:rsid w:val="005A1FD8"/>
    <w:rsid w:val="005A317D"/>
    <w:rsid w:val="005A79F9"/>
    <w:rsid w:val="005C0B5D"/>
    <w:rsid w:val="005C3594"/>
    <w:rsid w:val="005C46B7"/>
    <w:rsid w:val="005C7C8B"/>
    <w:rsid w:val="005D5617"/>
    <w:rsid w:val="005D6591"/>
    <w:rsid w:val="005D6869"/>
    <w:rsid w:val="005D7446"/>
    <w:rsid w:val="005E4EFA"/>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37315"/>
    <w:rsid w:val="00642BA5"/>
    <w:rsid w:val="006434E0"/>
    <w:rsid w:val="00650C90"/>
    <w:rsid w:val="0065172D"/>
    <w:rsid w:val="0065287D"/>
    <w:rsid w:val="0065671B"/>
    <w:rsid w:val="00656A5A"/>
    <w:rsid w:val="00663A42"/>
    <w:rsid w:val="0066418E"/>
    <w:rsid w:val="0066469F"/>
    <w:rsid w:val="00676CD8"/>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62D5"/>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5E1E"/>
    <w:rsid w:val="00776E20"/>
    <w:rsid w:val="007814AF"/>
    <w:rsid w:val="007825F0"/>
    <w:rsid w:val="00787F88"/>
    <w:rsid w:val="0079721A"/>
    <w:rsid w:val="007A095C"/>
    <w:rsid w:val="007A0AF8"/>
    <w:rsid w:val="007A283A"/>
    <w:rsid w:val="007A65C8"/>
    <w:rsid w:val="007A6B16"/>
    <w:rsid w:val="007A7AC4"/>
    <w:rsid w:val="007B443E"/>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7F2"/>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3DF3"/>
    <w:rsid w:val="008F5B6F"/>
    <w:rsid w:val="009002A3"/>
    <w:rsid w:val="0090038C"/>
    <w:rsid w:val="009007EC"/>
    <w:rsid w:val="00900EF5"/>
    <w:rsid w:val="00901BC3"/>
    <w:rsid w:val="00901EE5"/>
    <w:rsid w:val="0090421D"/>
    <w:rsid w:val="00906447"/>
    <w:rsid w:val="00912788"/>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8EC"/>
    <w:rsid w:val="00952A7D"/>
    <w:rsid w:val="00952BF8"/>
    <w:rsid w:val="00953747"/>
    <w:rsid w:val="0095565A"/>
    <w:rsid w:val="0095588E"/>
    <w:rsid w:val="00955918"/>
    <w:rsid w:val="00960439"/>
    <w:rsid w:val="00961D67"/>
    <w:rsid w:val="00962D93"/>
    <w:rsid w:val="009636EF"/>
    <w:rsid w:val="0096408D"/>
    <w:rsid w:val="009651A8"/>
    <w:rsid w:val="009657E9"/>
    <w:rsid w:val="0096666B"/>
    <w:rsid w:val="0097114E"/>
    <w:rsid w:val="009719C3"/>
    <w:rsid w:val="00975786"/>
    <w:rsid w:val="0097578E"/>
    <w:rsid w:val="00976E55"/>
    <w:rsid w:val="009814B0"/>
    <w:rsid w:val="00984D41"/>
    <w:rsid w:val="009852BB"/>
    <w:rsid w:val="009853C4"/>
    <w:rsid w:val="0098547C"/>
    <w:rsid w:val="009860B4"/>
    <w:rsid w:val="00986724"/>
    <w:rsid w:val="0098718E"/>
    <w:rsid w:val="00994269"/>
    <w:rsid w:val="0099439A"/>
    <w:rsid w:val="00994737"/>
    <w:rsid w:val="009967FC"/>
    <w:rsid w:val="009A0455"/>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A64F9"/>
    <w:rsid w:val="00AB632D"/>
    <w:rsid w:val="00AB797C"/>
    <w:rsid w:val="00AC5444"/>
    <w:rsid w:val="00AC70E1"/>
    <w:rsid w:val="00AD1D29"/>
    <w:rsid w:val="00AD328E"/>
    <w:rsid w:val="00AD5147"/>
    <w:rsid w:val="00AE0837"/>
    <w:rsid w:val="00AE11C8"/>
    <w:rsid w:val="00AE217F"/>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2D5F"/>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498F"/>
    <w:rsid w:val="00B95DB0"/>
    <w:rsid w:val="00B9722F"/>
    <w:rsid w:val="00B97741"/>
    <w:rsid w:val="00BA0721"/>
    <w:rsid w:val="00BA0A5C"/>
    <w:rsid w:val="00BA1883"/>
    <w:rsid w:val="00BA227D"/>
    <w:rsid w:val="00BA3EFA"/>
    <w:rsid w:val="00BA4C84"/>
    <w:rsid w:val="00BA5A23"/>
    <w:rsid w:val="00BC09FC"/>
    <w:rsid w:val="00BC0DD5"/>
    <w:rsid w:val="00BC60E6"/>
    <w:rsid w:val="00BD6337"/>
    <w:rsid w:val="00BE66AA"/>
    <w:rsid w:val="00BE73B9"/>
    <w:rsid w:val="00BF444F"/>
    <w:rsid w:val="00BF77F5"/>
    <w:rsid w:val="00C01D8A"/>
    <w:rsid w:val="00C023EF"/>
    <w:rsid w:val="00C148B6"/>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87135"/>
    <w:rsid w:val="00C90CE5"/>
    <w:rsid w:val="00C93A3D"/>
    <w:rsid w:val="00C94F0A"/>
    <w:rsid w:val="00C9796C"/>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6D64"/>
    <w:rsid w:val="00CC70FA"/>
    <w:rsid w:val="00CD37C3"/>
    <w:rsid w:val="00CD3911"/>
    <w:rsid w:val="00CD48EF"/>
    <w:rsid w:val="00CD4BA1"/>
    <w:rsid w:val="00CD59A6"/>
    <w:rsid w:val="00CE33C1"/>
    <w:rsid w:val="00CE3834"/>
    <w:rsid w:val="00CF148C"/>
    <w:rsid w:val="00CF3D94"/>
    <w:rsid w:val="00CF48A3"/>
    <w:rsid w:val="00CF5081"/>
    <w:rsid w:val="00D00B76"/>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64A8"/>
    <w:rsid w:val="00D87135"/>
    <w:rsid w:val="00D87F81"/>
    <w:rsid w:val="00D90E39"/>
    <w:rsid w:val="00D97E89"/>
    <w:rsid w:val="00DA45EE"/>
    <w:rsid w:val="00DA58A3"/>
    <w:rsid w:val="00DB2F5B"/>
    <w:rsid w:val="00DB389E"/>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60ED"/>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218A9"/>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16BA"/>
    <w:rsid w:val="00E65332"/>
    <w:rsid w:val="00E65F77"/>
    <w:rsid w:val="00E670CD"/>
    <w:rsid w:val="00E67EA9"/>
    <w:rsid w:val="00E75F7A"/>
    <w:rsid w:val="00E7727F"/>
    <w:rsid w:val="00E81CE8"/>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D7B"/>
    <w:rsid w:val="00F34EF2"/>
    <w:rsid w:val="00F3580F"/>
    <w:rsid w:val="00F406BB"/>
    <w:rsid w:val="00F44AD0"/>
    <w:rsid w:val="00F50379"/>
    <w:rsid w:val="00F54B72"/>
    <w:rsid w:val="00F55102"/>
    <w:rsid w:val="00F57115"/>
    <w:rsid w:val="00F6298B"/>
    <w:rsid w:val="00F63B02"/>
    <w:rsid w:val="00F652F1"/>
    <w:rsid w:val="00F65350"/>
    <w:rsid w:val="00F65C21"/>
    <w:rsid w:val="00F700A6"/>
    <w:rsid w:val="00F760D1"/>
    <w:rsid w:val="00F8151A"/>
    <w:rsid w:val="00F83788"/>
    <w:rsid w:val="00F84D69"/>
    <w:rsid w:val="00F85054"/>
    <w:rsid w:val="00F87AEF"/>
    <w:rsid w:val="00F87C14"/>
    <w:rsid w:val="00F90B3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04C1"/>
    <w:rsid w:val="00FF1239"/>
    <w:rsid w:val="00FF1AC1"/>
    <w:rsid w:val="00FF5362"/>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8D73E6"/>
    <w:rsid w:val="0AF87126"/>
    <w:rsid w:val="0B4B1CD9"/>
    <w:rsid w:val="0B9B2EBC"/>
    <w:rsid w:val="0BA309DB"/>
    <w:rsid w:val="0BC90D6D"/>
    <w:rsid w:val="0BCB508B"/>
    <w:rsid w:val="0C070B14"/>
    <w:rsid w:val="0C1A22A8"/>
    <w:rsid w:val="0C26236E"/>
    <w:rsid w:val="0C9306BE"/>
    <w:rsid w:val="0CB05CD1"/>
    <w:rsid w:val="0CC45B9E"/>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3FB4830"/>
    <w:rsid w:val="1472386E"/>
    <w:rsid w:val="148F0FC6"/>
    <w:rsid w:val="14BB7689"/>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535866"/>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802C93"/>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643B08"/>
    <w:rsid w:val="43F003B4"/>
    <w:rsid w:val="446458DA"/>
    <w:rsid w:val="446645C4"/>
    <w:rsid w:val="44E00C2F"/>
    <w:rsid w:val="44F12828"/>
    <w:rsid w:val="453F4EE8"/>
    <w:rsid w:val="454A314D"/>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5F925162"/>
    <w:rsid w:val="609E7926"/>
    <w:rsid w:val="60CC769A"/>
    <w:rsid w:val="60F3280A"/>
    <w:rsid w:val="615A0826"/>
    <w:rsid w:val="616E5025"/>
    <w:rsid w:val="62117B48"/>
    <w:rsid w:val="6233066F"/>
    <w:rsid w:val="625714F8"/>
    <w:rsid w:val="62AF2B34"/>
    <w:rsid w:val="62D7081D"/>
    <w:rsid w:val="63687194"/>
    <w:rsid w:val="638E50BC"/>
    <w:rsid w:val="64142E62"/>
    <w:rsid w:val="64D27A6F"/>
    <w:rsid w:val="65765688"/>
    <w:rsid w:val="65A40D91"/>
    <w:rsid w:val="66F55A6B"/>
    <w:rsid w:val="67327F2E"/>
    <w:rsid w:val="674609A7"/>
    <w:rsid w:val="67465B30"/>
    <w:rsid w:val="68082611"/>
    <w:rsid w:val="688C533B"/>
    <w:rsid w:val="692F0DD2"/>
    <w:rsid w:val="692F6DB1"/>
    <w:rsid w:val="696B16A5"/>
    <w:rsid w:val="69772905"/>
    <w:rsid w:val="69F54C3B"/>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2022&#25972;&#20307;&#32489;&#25928;\&#25253;&#21578;&#22270;&#34920;&#27169;&#2649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022&#25972;&#20307;&#32489;&#25928;\&#25253;&#21578;&#22270;&#34920;&#27169;&#2649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2022&#25972;&#20307;&#32489;&#25928;\&#25253;&#21578;&#22270;&#34920;&#27169;&#2649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H:\2022&#25972;&#20307;&#32489;&#25928;\&#25253;&#21578;&#22270;&#34920;&#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2022</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年区纪委决算收入结构图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dLbl>
              <c:idx val="2"/>
              <c:layout>
                <c:manualLayout>
                  <c:x val="-0.0951793525809274"/>
                  <c:y val="0.007032298046077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[报告图表模板.xls]收入结构图!$F$3:$J$3</c:f>
              <c:strCache>
                <c:ptCount val="5"/>
                <c:pt idx="0">
                  <c:v>一般公共服务支出</c:v>
                </c:pt>
                <c:pt idx="1">
                  <c:v>社会保障和就业支出</c:v>
                </c:pt>
                <c:pt idx="2">
                  <c:v>卫生健康支出</c:v>
                </c:pt>
                <c:pt idx="4">
                  <c:v>住房保障支出</c:v>
                </c:pt>
              </c:strCache>
            </c:strRef>
          </c:cat>
          <c:val>
            <c:numRef>
              <c:f>[报告图表模板.xls]收入结构图!$F$4:$J$4</c:f>
              <c:numCache>
                <c:formatCode>0.00_ </c:formatCode>
                <c:ptCount val="5"/>
                <c:pt idx="0">
                  <c:v>2183.74</c:v>
                </c:pt>
                <c:pt idx="1">
                  <c:v>166.96</c:v>
                </c:pt>
                <c:pt idx="2">
                  <c:v>50.81</c:v>
                </c:pt>
                <c:pt idx="4">
                  <c:v>92.76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1" i="0" u="none" strike="noStrike" baseline="0">
                <a:solidFill>
                  <a:srgbClr val="333333"/>
                </a:solidFill>
                <a:effectLst/>
                <a:latin typeface="Calibri" panose="020F0502020204030204" pitchFamily="2" charset="0"/>
                <a:ea typeface="Calibri" panose="020F0502020204030204" pitchFamily="2" charset="0"/>
                <a:cs typeface="Calibri" panose="020F0502020204030204" pitchFamily="2" charset="0"/>
              </a:rPr>
              <a:t>2022</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年度区纪委预</a:t>
            </a:r>
            <a:r>
              <a:rPr lang="zh-CN" altLang="en-US" sz="1400" b="1" i="0" u="none" strike="noStrike" baseline="0">
                <a:solidFill>
                  <a:srgbClr val="333333"/>
                </a:solidFill>
                <a:effectLst/>
                <a:latin typeface="宋体" panose="02010600030101010101" charset="-122"/>
                <a:ea typeface="宋体" panose="02010600030101010101" charset="-122"/>
                <a:cs typeface="宋体" panose="02010600030101010101" charset="-122"/>
              </a:rPr>
              <a:t>算收入</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与决算</a:t>
            </a:r>
            <a:r>
              <a:rPr lang="zh-CN" altLang="en-US" sz="1400" b="1" i="0" u="none" strike="noStrike" baseline="0">
                <a:solidFill>
                  <a:srgbClr val="333333"/>
                </a:solidFill>
                <a:effectLst/>
                <a:latin typeface="宋体" panose="02010600030101010101" charset="-122"/>
                <a:ea typeface="宋体" panose="02010600030101010101" charset="-122"/>
                <a:cs typeface="宋体" panose="02010600030101010101" charset="-122"/>
              </a:rPr>
              <a:t>收入</a:t>
            </a:r>
            <a:r>
              <a:rPr lang="zh-CN" altLang="zh-CN" sz="1400" b="1" i="0" u="none" strike="noStrike" baseline="0">
                <a:solidFill>
                  <a:srgbClr val="333333"/>
                </a:solidFill>
                <a:effectLst/>
                <a:latin typeface="宋体" panose="02010600030101010101" charset="-122"/>
                <a:ea typeface="宋体" panose="02010600030101010101" charset="-122"/>
                <a:cs typeface="宋体" panose="02010600030101010101" charset="-122"/>
              </a:rPr>
              <a:t>对比图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manualLayout>
          <c:layoutTarget val="inner"/>
          <c:xMode val="edge"/>
          <c:yMode val="edge"/>
          <c:x val="0.0925154320987654"/>
          <c:y val="0.177083333333333"/>
          <c:w val="0.874845679012346"/>
          <c:h val="0.349398148148148"/>
        </c:manualLayout>
      </c:layout>
      <c:barChart>
        <c:barDir val="col"/>
        <c:grouping val="clustered"/>
        <c:varyColors val="0"/>
        <c:ser>
          <c:idx val="0"/>
          <c:order val="0"/>
          <c:tx>
            <c:strRef>
              <c:f>[报告图表模板.xls]预决算收入结构图!$E$6</c:f>
              <c:strCache>
                <c:ptCount val="1"/>
                <c:pt idx="0">
                  <c:v>预算</c:v>
                </c:pt>
              </c:strCache>
            </c:strRef>
          </c:tx>
          <c:spPr>
            <a:solidFill>
              <a:srgbClr val="5B9BD5">
                <a:alpha val="100000"/>
              </a:srgbClr>
            </a:solidFill>
            <a:ln w="3175">
              <a:noFill/>
            </a:ln>
          </c:spPr>
          <c:invertIfNegative val="0"/>
          <c:dLbls>
            <c:dLbl>
              <c:idx val="2"/>
              <c:layout>
                <c:manualLayout>
                  <c:x val="-0.0222222222222223"/>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[报告图表模板.xls]预决算收入结构图!$F$5:$J$5</c:f>
              <c:strCache>
                <c:ptCount val="5"/>
                <c:pt idx="0">
                  <c:v>一般公共服务支出</c:v>
                </c:pt>
                <c:pt idx="1">
                  <c:v>社会保障和就业支出</c:v>
                </c:pt>
                <c:pt idx="2">
                  <c:v>卫生健康支出</c:v>
                </c:pt>
                <c:pt idx="4">
                  <c:v>住房保障支出</c:v>
                </c:pt>
              </c:strCache>
            </c:strRef>
          </c:cat>
          <c:val>
            <c:numRef>
              <c:f>[报告图表模板.xls]预决算收入结构图!$F$6:$J$6</c:f>
              <c:numCache>
                <c:formatCode>General</c:formatCode>
                <c:ptCount val="5"/>
                <c:pt idx="0">
                  <c:v>1950.69</c:v>
                </c:pt>
                <c:pt idx="1">
                  <c:v>163.78</c:v>
                </c:pt>
                <c:pt idx="2">
                  <c:v>64.93</c:v>
                </c:pt>
                <c:pt idx="4">
                  <c:v>89.82</c:v>
                </c:pt>
              </c:numCache>
            </c:numRef>
          </c:val>
        </c:ser>
        <c:ser>
          <c:idx val="1"/>
          <c:order val="1"/>
          <c:tx>
            <c:strRef>
              <c:f>[报告图表模板.xls]预决算收入结构图!$E$7</c:f>
              <c:strCache>
                <c:ptCount val="1"/>
                <c:pt idx="0">
                  <c:v>决算</c:v>
                </c:pt>
              </c:strCache>
            </c:strRef>
          </c:tx>
          <c:spPr>
            <a:solidFill>
              <a:srgbClr val="ED7D31">
                <a:alpha val="100000"/>
              </a:srgbClr>
            </a:solidFill>
            <a:ln w="3175">
              <a:noFill/>
            </a:ln>
          </c:spPr>
          <c:invertIfNegative val="0"/>
          <c:dLbls>
            <c:dLbl>
              <c:idx val="0"/>
              <c:layout>
                <c:manualLayout>
                  <c:x val="0.0305555555555556"/>
                  <c:y val="0.004629629629629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33333333333333"/>
                  <c:y val="-0.0138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8888888888889"/>
                  <c:y val="-8.48755627201333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[报告图表模板.xls]预决算收入结构图!$F$5:$J$5</c:f>
              <c:strCache>
                <c:ptCount val="5"/>
                <c:pt idx="0">
                  <c:v>一般公共服务支出</c:v>
                </c:pt>
                <c:pt idx="1">
                  <c:v>社会保障和就业支出</c:v>
                </c:pt>
                <c:pt idx="2">
                  <c:v>卫生健康支出</c:v>
                </c:pt>
                <c:pt idx="4">
                  <c:v>住房保障支出</c:v>
                </c:pt>
              </c:strCache>
            </c:strRef>
          </c:cat>
          <c:val>
            <c:numRef>
              <c:f>[报告图表模板.xls]预决算收入结构图!$F$7:$J$7</c:f>
              <c:numCache>
                <c:formatCode>0.00_ </c:formatCode>
                <c:ptCount val="5"/>
                <c:pt idx="0">
                  <c:v>2183.74</c:v>
                </c:pt>
                <c:pt idx="1">
                  <c:v>166.96</c:v>
                </c:pt>
                <c:pt idx="2">
                  <c:v>50.81</c:v>
                </c:pt>
                <c:pt idx="4">
                  <c:v>92.76</c:v>
                </c:pt>
              </c:numCache>
            </c:numRef>
          </c:val>
        </c:ser>
        <c:dLbls>
          <c:showLegendKey val="0"/>
          <c:showVal val="0"/>
          <c:showCatName val="0"/>
          <c:showSerName val="0"/>
          <c:showPercent val="0"/>
          <c:showBubbleSize val="0"/>
        </c:dLbls>
        <c:gapWidth val="219"/>
        <c:overlap val="-27"/>
        <c:axId val="479818696"/>
        <c:axId val="479819088"/>
      </c:barChart>
      <c:catAx>
        <c:axId val="4798186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819088"/>
        <c:crosses val="autoZero"/>
        <c:auto val="1"/>
        <c:lblAlgn val="ctr"/>
        <c:lblOffset val="100"/>
        <c:noMultiLvlLbl val="0"/>
      </c:catAx>
      <c:valAx>
        <c:axId val="479819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818696"/>
        <c:crosses val="autoZero"/>
        <c:crossBetween val="between"/>
      </c:valAx>
      <c:spPr>
        <a:noFill/>
        <a:ln>
          <a:noFill/>
        </a:ln>
        <a:effectLst/>
      </c:spPr>
    </c:plotArea>
    <c:legend>
      <c:legendPos val="b"/>
      <c:layout>
        <c:manualLayout>
          <c:xMode val="edge"/>
          <c:yMode val="edge"/>
          <c:x val="0.101489282589676"/>
          <c:y val="0.889467045785943"/>
          <c:w val="0.185910104986877"/>
          <c:h val="0.0781255468066492"/>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333333"/>
                </a:solidFill>
                <a:latin typeface="Calibri" panose="020F0502020204030204"/>
                <a:cs typeface="Calibri" panose="020F0502020204030204"/>
              </a:rPr>
              <a:t>2022</a:t>
            </a:r>
            <a:r>
              <a:rPr lang="zh-CN" altLang="en-US" sz="1400" b="0" i="0" u="none" strike="noStrike" baseline="0">
                <a:solidFill>
                  <a:srgbClr val="333333"/>
                </a:solidFill>
                <a:latin typeface="宋体" panose="02010600030101010101" charset="-122"/>
                <a:ea typeface="宋体" panose="02010600030101010101" charset="-122"/>
                <a:cs typeface="Calibri" panose="020F0502020204030204"/>
              </a:rPr>
              <a:t>年区纪委决算支出结构图</a:t>
            </a:r>
            <a:endParaRPr lang="zh-CN" altLang="en-US"/>
          </a:p>
        </c:rich>
      </c:tx>
      <c:layout/>
      <c:overlay val="0"/>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951793525809274"/>
                  <c:y val="0.00703229804607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收入结构图!$F$3:$I$3</c:f>
              <c:strCache>
                <c:ptCount val="4"/>
                <c:pt idx="0">
                  <c:v>一般公共服务支出</c:v>
                </c:pt>
                <c:pt idx="1">
                  <c:v>社会保障和就业支出</c:v>
                </c:pt>
                <c:pt idx="2">
                  <c:v>卫生健康支出</c:v>
                </c:pt>
                <c:pt idx="3">
                  <c:v>住房保障支出</c:v>
                </c:pt>
              </c:strCache>
            </c:strRef>
          </c:cat>
          <c:val>
            <c:numRef>
              <c:f>收入结构图!$F$4:$I$4</c:f>
              <c:numCache>
                <c:formatCode>0.00_ </c:formatCode>
                <c:ptCount val="4"/>
                <c:pt idx="0">
                  <c:v>2183.65</c:v>
                </c:pt>
                <c:pt idx="1">
                  <c:v>166.96</c:v>
                </c:pt>
                <c:pt idx="2">
                  <c:v>50.81</c:v>
                </c:pt>
                <c:pt idx="3">
                  <c:v>92.76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400" b="1" i="0" u="none" strike="noStrike" baseline="0">
                <a:solidFill>
                  <a:srgbClr val="333333"/>
                </a:solidFill>
                <a:latin typeface="Calibri" panose="020F0502020204030204"/>
                <a:cs typeface="Calibri" panose="020F0502020204030204"/>
              </a:rPr>
              <a:t>2022</a:t>
            </a:r>
            <a:r>
              <a:rPr lang="zh-CN" altLang="en-US" sz="1400" b="1" i="0" u="none" strike="noStrike" baseline="0">
                <a:solidFill>
                  <a:srgbClr val="333333"/>
                </a:solidFill>
                <a:latin typeface="宋体" panose="02010600030101010101" charset="-122"/>
                <a:ea typeface="宋体" panose="02010600030101010101" charset="-122"/>
                <a:cs typeface="Calibri" panose="020F0502020204030204"/>
              </a:rPr>
              <a:t>年度区纪委预算支出与决算支出对比图</a:t>
            </a:r>
            <a:endParaRPr lang="zh-CN" altLang="en-US"/>
          </a:p>
        </c:rich>
      </c:tx>
      <c:layout/>
      <c:overlay val="0"/>
    </c:title>
    <c:autoTitleDeleted val="0"/>
    <c:plotArea>
      <c:layout>
        <c:manualLayout>
          <c:layoutTarget val="inner"/>
          <c:xMode val="edge"/>
          <c:yMode val="edge"/>
          <c:x val="0.0925154320987654"/>
          <c:y val="0.177083333333333"/>
          <c:w val="0.874845679012346"/>
          <c:h val="0.349398148148148"/>
        </c:manualLayout>
      </c:layout>
      <c:barChart>
        <c:barDir val="col"/>
        <c:grouping val="clustered"/>
        <c:varyColors val="0"/>
        <c:ser>
          <c:idx val="0"/>
          <c:order val="0"/>
          <c:tx>
            <c:strRef>
              <c:f>预决算收入结构图!$E$6</c:f>
              <c:strCache>
                <c:ptCount val="1"/>
                <c:pt idx="0">
                  <c:v>预算</c:v>
                </c:pt>
              </c:strCache>
            </c:strRef>
          </c:tx>
          <c:spPr>
            <a:solidFill>
              <a:srgbClr val="5B9BD5"/>
            </a:solidFill>
            <a:ln w="25400">
              <a:noFill/>
            </a:ln>
          </c:spPr>
          <c:invertIfNegative val="0"/>
          <c:dLbls>
            <c:dLbl>
              <c:idx val="2"/>
              <c:layout>
                <c:manualLayout>
                  <c:x val="-0.0222222222222223"/>
                  <c:y val="0.004629629629629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预决算收入结构图!$F$5:$I$5</c:f>
              <c:strCache>
                <c:ptCount val="4"/>
                <c:pt idx="0">
                  <c:v>一般公共服务支出</c:v>
                </c:pt>
                <c:pt idx="1">
                  <c:v>社会保障和就业支出</c:v>
                </c:pt>
                <c:pt idx="2">
                  <c:v>卫生健康支出</c:v>
                </c:pt>
                <c:pt idx="3">
                  <c:v>住房保障支出</c:v>
                </c:pt>
              </c:strCache>
            </c:strRef>
          </c:cat>
          <c:val>
            <c:numRef>
              <c:f>预决算收入结构图!$F$6:$I$6</c:f>
              <c:numCache>
                <c:formatCode>General</c:formatCode>
                <c:ptCount val="4"/>
                <c:pt idx="0">
                  <c:v>1950.69</c:v>
                </c:pt>
                <c:pt idx="1">
                  <c:v>163.78</c:v>
                </c:pt>
                <c:pt idx="2">
                  <c:v>64.93</c:v>
                </c:pt>
                <c:pt idx="3">
                  <c:v>89.82</c:v>
                </c:pt>
              </c:numCache>
            </c:numRef>
          </c:val>
        </c:ser>
        <c:ser>
          <c:idx val="1"/>
          <c:order val="1"/>
          <c:tx>
            <c:strRef>
              <c:f>预决算收入结构图!$E$7</c:f>
              <c:strCache>
                <c:ptCount val="1"/>
                <c:pt idx="0">
                  <c:v>决算</c:v>
                </c:pt>
              </c:strCache>
            </c:strRef>
          </c:tx>
          <c:spPr>
            <a:solidFill>
              <a:srgbClr val="ED7D31"/>
            </a:solidFill>
            <a:ln w="25400">
              <a:noFill/>
            </a:ln>
          </c:spPr>
          <c:invertIfNegative val="0"/>
          <c:dLbls>
            <c:dLbl>
              <c:idx val="0"/>
              <c:layout>
                <c:manualLayout>
                  <c:x val="0.0305555555555556"/>
                  <c:y val="0.0046296296296296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33333333333333"/>
                  <c:y val="-0.013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预决算收入结构图!$F$5:$I$5</c:f>
              <c:strCache>
                <c:ptCount val="4"/>
                <c:pt idx="0">
                  <c:v>一般公共服务支出</c:v>
                </c:pt>
                <c:pt idx="1">
                  <c:v>社会保障和就业支出</c:v>
                </c:pt>
                <c:pt idx="2">
                  <c:v>卫生健康支出</c:v>
                </c:pt>
                <c:pt idx="3">
                  <c:v>住房保障支出</c:v>
                </c:pt>
              </c:strCache>
            </c:strRef>
          </c:cat>
          <c:val>
            <c:numRef>
              <c:f>预决算收入结构图!$F$7:$I$7</c:f>
              <c:numCache>
                <c:formatCode>0.00_ </c:formatCode>
                <c:ptCount val="4"/>
                <c:pt idx="0">
                  <c:v>2183.65</c:v>
                </c:pt>
                <c:pt idx="1">
                  <c:v>166.96</c:v>
                </c:pt>
                <c:pt idx="2">
                  <c:v>50.81</c:v>
                </c:pt>
                <c:pt idx="3">
                  <c:v>92.76</c:v>
                </c:pt>
              </c:numCache>
            </c:numRef>
          </c:val>
        </c:ser>
        <c:dLbls>
          <c:showLegendKey val="0"/>
          <c:showVal val="0"/>
          <c:showCatName val="0"/>
          <c:showSerName val="0"/>
          <c:showPercent val="0"/>
          <c:showBubbleSize val="0"/>
        </c:dLbls>
        <c:gapWidth val="219"/>
        <c:overlap val="-27"/>
        <c:axId val="479817912"/>
        <c:axId val="478675720"/>
      </c:barChart>
      <c:catAx>
        <c:axId val="479817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8675720"/>
        <c:crosses val="autoZero"/>
        <c:auto val="1"/>
        <c:lblAlgn val="ctr"/>
        <c:lblOffset val="100"/>
        <c:noMultiLvlLbl val="0"/>
      </c:catAx>
      <c:valAx>
        <c:axId val="4786757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79817912"/>
        <c:crosses val="autoZero"/>
        <c:crossBetween val="between"/>
      </c:valAx>
      <c:spPr>
        <a:noFill/>
        <a:ln w="25400">
          <a:noFill/>
        </a:ln>
      </c:spPr>
    </c:plotArea>
    <c:legend>
      <c:legendPos val="b"/>
      <c:layout>
        <c:manualLayout>
          <c:xMode val="edge"/>
          <c:yMode val="edge"/>
          <c:x val="0.101489282589676"/>
          <c:y val="0.889467045785943"/>
          <c:w val="0.185910104986877"/>
          <c:h val="0.0781255468066492"/>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0.53125</cdr:x>
      <cdr:y>0.91319</cdr:y>
    </cdr:from>
    <cdr:to>
      <cdr:x>0.82708</cdr:x>
      <cdr:y>0.99653</cdr:y>
    </cdr:to>
    <cdr:sp>
      <cdr:nvSpPr>
        <cdr:cNvPr id="2" name="矩形 1"/>
        <cdr:cNvSpPr/>
      </cdr:nvSpPr>
      <cdr:spPr xmlns:a="http://schemas.openxmlformats.org/drawingml/2006/main">
        <a:xfrm xmlns:a="http://schemas.openxmlformats.org/drawingml/2006/main">
          <a:off x="3825" y="3945"/>
          <a:ext cx="2130" cy="3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cdr:txBody>
    </cdr:sp>
  </cdr:relSizeAnchor>
  <cdr:relSizeAnchor xmlns:cdr="http://schemas.openxmlformats.org/drawingml/2006/chartDrawing">
    <cdr:from>
      <cdr:x>0.56667</cdr:x>
      <cdr:y>0.875</cdr:y>
    </cdr:from>
    <cdr:to>
      <cdr:x>0.74583</cdr:x>
      <cdr:y>0.94444</cdr:y>
    </cdr:to>
    <cdr:sp>
      <cdr:nvSpPr>
        <cdr:cNvPr id="3" name="矩形 2"/>
        <cdr:cNvSpPr/>
      </cdr:nvSpPr>
      <cdr:spPr xmlns:a="http://schemas.openxmlformats.org/drawingml/2006/main">
        <a:xfrm xmlns:a="http://schemas.openxmlformats.org/drawingml/2006/main">
          <a:off x="4080" y="3780"/>
          <a:ext cx="1290" cy="3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0.72432</cdr:x>
      <cdr:y>0.29814</cdr:y>
    </cdr:from>
    <cdr:to>
      <cdr:x>0.95305</cdr:x>
      <cdr:y>0.4186</cdr:y>
    </cdr:to>
    <cdr:sp>
      <cdr:nvSpPr>
        <cdr:cNvPr id="2" name="矩形 1"/>
        <cdr:cNvSpPr/>
      </cdr:nvSpPr>
      <cdr:spPr xmlns:a="http://schemas.openxmlformats.org/drawingml/2006/main">
        <a:xfrm xmlns:a="http://schemas.openxmlformats.org/drawingml/2006/main">
          <a:off x="4654804" y="504714"/>
          <a:ext cx="1329944" cy="3237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0.74375</cdr:x>
      <cdr:y>0.18403</cdr:y>
    </cdr:from>
    <cdr:to>
      <cdr:x>0.95625</cdr:x>
      <cdr:y>0.30208</cdr:y>
    </cdr:to>
    <cdr:sp>
      <cdr:nvSpPr>
        <cdr:cNvPr id="2" name="矩形 1"/>
        <cdr:cNvSpPr/>
      </cdr:nvSpPr>
      <cdr:spPr xmlns:a="http://schemas.openxmlformats.org/drawingml/2006/main">
        <a:xfrm xmlns:a="http://schemas.openxmlformats.org/drawingml/2006/main">
          <a:off x="4654804" y="504714"/>
          <a:ext cx="1329944" cy="32376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0.56903</cdr:x>
      <cdr:y>0.89726</cdr:y>
    </cdr:from>
    <cdr:to>
      <cdr:x>0.83391</cdr:x>
      <cdr:y>0.97932</cdr:y>
    </cdr:to>
    <cdr:sp>
      <cdr:nvSpPr>
        <cdr:cNvPr id="2" name="矩形 1"/>
        <cdr:cNvSpPr/>
      </cdr:nvSpPr>
      <cdr:spPr xmlns:a="http://schemas.openxmlformats.org/drawingml/2006/main">
        <a:xfrm xmlns:a="http://schemas.openxmlformats.org/drawingml/2006/main">
          <a:off x="2610220" y="2473088"/>
          <a:ext cx="1213537" cy="225886"/>
        </a:xfrm>
        <a:prstGeom xmlns:a="http://schemas.openxmlformats.org/drawingml/2006/main" prst="rect">
          <a:avLst/>
        </a:prstGeom>
        <a:noFill/>
        <a:ln>
          <a:noFill/>
        </a:ln>
      </cdr:spPr>
    </cdr:sp>
  </cdr:relSizeAnchor>
  <cdr:relSizeAnchor xmlns:cdr="http://schemas.openxmlformats.org/drawingml/2006/chartDrawing">
    <cdr:from>
      <cdr:x>0.60187</cdr:x>
      <cdr:y>0.87283</cdr:y>
    </cdr:from>
    <cdr:to>
      <cdr:x>0.76612</cdr:x>
      <cdr:y>0.94372</cdr:y>
    </cdr:to>
    <cdr:sp>
      <cdr:nvSpPr>
        <cdr:cNvPr id="3" name="矩形 2"/>
        <cdr:cNvSpPr/>
      </cdr:nvSpPr>
      <cdr:spPr xmlns:a="http://schemas.openxmlformats.org/drawingml/2006/main">
        <a:xfrm xmlns:a="http://schemas.openxmlformats.org/drawingml/2006/main">
          <a:off x="4080" y="3780"/>
          <a:ext cx="1290" cy="3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D5B6C-7F45-4FFC-8F8D-8C21026980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2523</Words>
  <Characters>14386</Characters>
  <Lines>119</Lines>
  <Paragraphs>33</Paragraphs>
  <TotalTime>147</TotalTime>
  <ScaleCrop>false</ScaleCrop>
  <LinksUpToDate>false</LinksUpToDate>
  <CharactersWithSpaces>16876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2023-08-18T03:20:00Z</cp:lastPrinted>
  <dcterms:modified xsi:type="dcterms:W3CDTF">2025-11-18T07:50:41Z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