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44"/>
          <w:szCs w:val="44"/>
          <w:highlight w:val="none"/>
          <w:lang w:val="en-US" w:eastAsia="zh-CN"/>
        </w:rPr>
      </w:pPr>
    </w:p>
    <w:p>
      <w:pPr>
        <w:autoSpaceDE/>
        <w:autoSpaceDN/>
        <w:snapToGrid w:val="0"/>
        <w:spacing w:line="500" w:lineRule="exact"/>
        <w:jc w:val="center"/>
        <w:rPr>
          <w:rFonts w:cs="宋体" w:asciiTheme="majorEastAsia" w:hAnsiTheme="majorEastAsia" w:eastAsiaTheme="majorEastAsia"/>
          <w:b/>
          <w:color w:val="000000"/>
          <w:kern w:val="0"/>
          <w:sz w:val="44"/>
          <w:szCs w:val="44"/>
          <w:highlight w:val="none"/>
        </w:rPr>
      </w:pPr>
      <w:r>
        <w:rPr>
          <w:rFonts w:hint="eastAsia" w:cs="宋体" w:asciiTheme="majorEastAsia" w:hAnsiTheme="majorEastAsia" w:eastAsiaTheme="majorEastAsia"/>
          <w:b/>
          <w:color w:val="000000"/>
          <w:kern w:val="0"/>
          <w:sz w:val="44"/>
          <w:szCs w:val="44"/>
          <w:highlight w:val="none"/>
        </w:rPr>
        <w:t>保定</w:t>
      </w:r>
      <w:r>
        <w:rPr>
          <w:rFonts w:cs="宋体" w:asciiTheme="majorEastAsia" w:hAnsiTheme="majorEastAsia" w:eastAsiaTheme="majorEastAsia"/>
          <w:b/>
          <w:color w:val="000000"/>
          <w:kern w:val="0"/>
          <w:sz w:val="44"/>
          <w:szCs w:val="44"/>
          <w:highlight w:val="none"/>
        </w:rPr>
        <w:t>市徐水区</w:t>
      </w:r>
      <w:r>
        <w:rPr>
          <w:rFonts w:hint="eastAsia" w:cs="宋体" w:asciiTheme="majorEastAsia" w:hAnsiTheme="majorEastAsia" w:eastAsiaTheme="majorEastAsia"/>
          <w:b/>
          <w:color w:val="000000"/>
          <w:kern w:val="0"/>
          <w:sz w:val="44"/>
          <w:szCs w:val="44"/>
          <w:highlight w:val="none"/>
          <w:lang w:eastAsia="zh-CN"/>
        </w:rPr>
        <w:t>遂城</w:t>
      </w:r>
      <w:r>
        <w:rPr>
          <w:rFonts w:cs="宋体" w:asciiTheme="majorEastAsia" w:hAnsiTheme="majorEastAsia" w:eastAsiaTheme="majorEastAsia"/>
          <w:b/>
          <w:color w:val="000000"/>
          <w:kern w:val="0"/>
          <w:sz w:val="44"/>
          <w:szCs w:val="44"/>
          <w:highlight w:val="none"/>
        </w:rPr>
        <w:t>镇</w:t>
      </w:r>
      <w:r>
        <w:rPr>
          <w:rFonts w:hint="eastAsia" w:cs="宋体" w:asciiTheme="majorEastAsia" w:hAnsiTheme="majorEastAsia" w:eastAsiaTheme="majorEastAsia"/>
          <w:b/>
          <w:color w:val="000000"/>
          <w:kern w:val="0"/>
          <w:sz w:val="44"/>
          <w:szCs w:val="44"/>
          <w:highlight w:val="none"/>
        </w:rPr>
        <w:t>人</w:t>
      </w:r>
      <w:r>
        <w:rPr>
          <w:rFonts w:cs="宋体" w:asciiTheme="majorEastAsia" w:hAnsiTheme="majorEastAsia" w:eastAsiaTheme="majorEastAsia"/>
          <w:b/>
          <w:color w:val="000000"/>
          <w:kern w:val="0"/>
          <w:sz w:val="44"/>
          <w:szCs w:val="44"/>
          <w:highlight w:val="none"/>
        </w:rPr>
        <w:t>民政府</w:t>
      </w:r>
    </w:p>
    <w:p>
      <w:pPr>
        <w:autoSpaceDE/>
        <w:autoSpaceDN/>
        <w:snapToGrid w:val="0"/>
        <w:spacing w:line="500" w:lineRule="exact"/>
        <w:jc w:val="center"/>
        <w:rPr>
          <w:rFonts w:ascii="Times New Roman" w:hAnsi="Times New Roman" w:eastAsia="方正小标宋简体" w:cs="方正小标宋简体"/>
          <w:sz w:val="44"/>
          <w:szCs w:val="44"/>
          <w:highlight w:val="none"/>
          <w:lang w:eastAsia="zh-CN"/>
        </w:rPr>
      </w:pPr>
      <w:r>
        <w:rPr>
          <w:rFonts w:hint="eastAsia" w:cs="宋体" w:asciiTheme="majorEastAsia" w:hAnsiTheme="majorEastAsia" w:eastAsiaTheme="majorEastAsia"/>
          <w:b/>
          <w:color w:val="000000"/>
          <w:kern w:val="0"/>
          <w:sz w:val="44"/>
          <w:szCs w:val="44"/>
          <w:highlight w:val="none"/>
          <w:lang w:eastAsia="zh-CN"/>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883" w:firstLineChars="200"/>
        <w:textAlignment w:val="auto"/>
        <w:rPr>
          <w:rFonts w:ascii="Times New Roman" w:hAnsi="Times New Roman" w:eastAsia="仿宋_GB2312"/>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cs="宋体"/>
          <w:sz w:val="32"/>
          <w:szCs w:val="32"/>
          <w:highlight w:val="none"/>
          <w:lang w:eastAsia="zh-CN"/>
        </w:rPr>
      </w:pPr>
      <w:r>
        <w:rPr>
          <w:rFonts w:hint="eastAsia" w:ascii="Times New Roman" w:hAnsi="Times New Roman" w:eastAsia="仿宋_GB2312"/>
          <w:sz w:val="32"/>
          <w:szCs w:val="32"/>
          <w:highlight w:val="none"/>
          <w:lang w:eastAsia="zh-CN"/>
        </w:rPr>
        <w:t>按照《保定市徐水区财政局关于开展</w:t>
      </w:r>
      <w:r>
        <w:rPr>
          <w:rFonts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lang w:eastAsia="zh-CN"/>
        </w:rPr>
        <w:t>年度财政资金部门绩效自评</w:t>
      </w:r>
      <w:r>
        <w:rPr>
          <w:rFonts w:hint="eastAsia" w:ascii="Times New Roman" w:hAnsi="Times New Roman" w:eastAsia="仿宋_GB2312"/>
          <w:sz w:val="32"/>
          <w:szCs w:val="32"/>
          <w:highlight w:val="none"/>
          <w:lang w:eastAsia="zh-CN"/>
        </w:rPr>
        <w:t>及抽查工作</w:t>
      </w:r>
      <w:r>
        <w:rPr>
          <w:rFonts w:ascii="Times New Roman" w:hAnsi="Times New Roman" w:eastAsia="仿宋_GB2312"/>
          <w:sz w:val="32"/>
          <w:szCs w:val="32"/>
          <w:highlight w:val="none"/>
          <w:lang w:eastAsia="zh-CN"/>
        </w:rPr>
        <w:t>的通知》（徐政财字〔202</w:t>
      </w:r>
      <w:r>
        <w:rPr>
          <w:rFonts w:hint="default"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19</w:t>
      </w:r>
      <w:r>
        <w:rPr>
          <w:rFonts w:ascii="Times New Roman" w:hAnsi="Times New Roman" w:eastAsia="仿宋_GB2312"/>
          <w:sz w:val="32"/>
          <w:szCs w:val="32"/>
          <w:highlight w:val="none"/>
          <w:lang w:eastAsia="zh-CN"/>
        </w:rPr>
        <w:t>号）要求，</w:t>
      </w:r>
      <w:r>
        <w:rPr>
          <w:rFonts w:hint="eastAsia" w:ascii="Times New Roman" w:hAnsi="Times New Roman" w:eastAsia="仿宋_GB2312"/>
          <w:sz w:val="32"/>
          <w:szCs w:val="32"/>
          <w:highlight w:val="none"/>
          <w:lang w:eastAsia="zh-CN"/>
        </w:rPr>
        <w:t>遂城镇</w:t>
      </w:r>
      <w:r>
        <w:rPr>
          <w:rFonts w:ascii="Times New Roman" w:hAnsi="Times New Roman" w:eastAsia="仿宋_GB2312"/>
          <w:sz w:val="32"/>
          <w:szCs w:val="32"/>
          <w:highlight w:val="none"/>
          <w:lang w:eastAsia="zh-CN"/>
        </w:rPr>
        <w:t>党委、政府高度重视，</w:t>
      </w:r>
      <w:r>
        <w:rPr>
          <w:rFonts w:hint="eastAsia" w:ascii="Times New Roman" w:hAnsi="Times New Roman" w:eastAsia="仿宋_GB2312" w:cs="宋体"/>
          <w:sz w:val="32"/>
          <w:szCs w:val="32"/>
          <w:highlight w:val="none"/>
          <w:lang w:eastAsia="zh-CN"/>
        </w:rPr>
        <w:t>责成专人负责此项工作。针对202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年部门项目实际完成情况，在一体化系统填写202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年度预算项目绩效自评表，</w:t>
      </w:r>
      <w:r>
        <w:rPr>
          <w:rFonts w:ascii="Times New Roman" w:hAnsi="Times New Roman" w:eastAsia="仿宋_GB2312"/>
          <w:sz w:val="32"/>
          <w:szCs w:val="32"/>
          <w:highlight w:val="none"/>
          <w:lang w:eastAsia="zh-CN"/>
        </w:rPr>
        <w:t>严格按要求分项目进行绩效自评。</w:t>
      </w:r>
      <w:r>
        <w:rPr>
          <w:rFonts w:hint="eastAsia" w:ascii="Times New Roman" w:hAnsi="Times New Roman" w:eastAsia="仿宋_GB2312" w:cs="宋体"/>
          <w:sz w:val="32"/>
          <w:szCs w:val="32"/>
          <w:highlight w:val="none"/>
          <w:lang w:eastAsia="zh-CN"/>
        </w:rPr>
        <w:t>组织抽查项目佐证资料，撰写自评报告。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按要求</w:t>
      </w:r>
      <w:r>
        <w:rPr>
          <w:rFonts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lang w:eastAsia="zh-CN"/>
        </w:rPr>
        <w:t>年度我</w:t>
      </w:r>
      <w:r>
        <w:rPr>
          <w:rFonts w:hint="eastAsia" w:ascii="Times New Roman" w:hAnsi="Times New Roman" w:eastAsia="仿宋_GB2312"/>
          <w:sz w:val="32"/>
          <w:szCs w:val="32"/>
          <w:highlight w:val="none"/>
          <w:lang w:eastAsia="zh-CN"/>
        </w:rPr>
        <w:t>镇</w:t>
      </w:r>
      <w:r>
        <w:rPr>
          <w:rFonts w:ascii="Times New Roman" w:hAnsi="Times New Roman" w:eastAsia="仿宋_GB2312"/>
          <w:sz w:val="32"/>
          <w:szCs w:val="32"/>
          <w:highlight w:val="none"/>
          <w:lang w:eastAsia="zh-CN"/>
        </w:rPr>
        <w:t>共安排</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lang w:eastAsia="zh-CN"/>
        </w:rPr>
        <w:t>个一般预算项目参与自评，涉及</w:t>
      </w:r>
      <w:r>
        <w:rPr>
          <w:rFonts w:hint="eastAsia" w:ascii="Times New Roman" w:hAnsi="Times New Roman" w:eastAsia="仿宋_GB2312"/>
          <w:sz w:val="32"/>
          <w:szCs w:val="32"/>
          <w:highlight w:val="none"/>
          <w:lang w:eastAsia="zh-CN"/>
        </w:rPr>
        <w:t>财政</w:t>
      </w:r>
      <w:r>
        <w:rPr>
          <w:rFonts w:ascii="Times New Roman" w:hAnsi="Times New Roman" w:eastAsia="仿宋_GB2312"/>
          <w:sz w:val="32"/>
          <w:szCs w:val="32"/>
          <w:highlight w:val="none"/>
          <w:lang w:eastAsia="zh-CN"/>
        </w:rPr>
        <w:t>资金共计</w:t>
      </w:r>
      <w:r>
        <w:rPr>
          <w:rFonts w:hint="eastAsia" w:ascii="Times New Roman" w:hAnsi="Times New Roman" w:eastAsia="仿宋_GB2312"/>
          <w:sz w:val="32"/>
          <w:szCs w:val="32"/>
          <w:highlight w:val="none"/>
          <w:lang w:val="en-US" w:eastAsia="zh-CN"/>
        </w:rPr>
        <w:t>1778.67</w:t>
      </w:r>
      <w:r>
        <w:rPr>
          <w:rFonts w:ascii="Times New Roman" w:hAnsi="Times New Roman" w:eastAsia="仿宋_GB2312"/>
          <w:sz w:val="32"/>
          <w:szCs w:val="32"/>
          <w:highlight w:val="none"/>
          <w:lang w:eastAsia="zh-CN"/>
        </w:rPr>
        <w:t>万元。年初预算安排的项目分别通过</w:t>
      </w:r>
      <w:r>
        <w:rPr>
          <w:rFonts w:hint="eastAsia" w:ascii="Times New Roman" w:hAnsi="Times New Roman" w:eastAsia="仿宋_GB2312"/>
          <w:sz w:val="32"/>
          <w:szCs w:val="32"/>
          <w:highlight w:val="none"/>
          <w:lang w:eastAsia="zh-CN"/>
        </w:rPr>
        <w:t>镇</w:t>
      </w:r>
      <w:r>
        <w:rPr>
          <w:rFonts w:ascii="Times New Roman" w:hAnsi="Times New Roman" w:eastAsia="仿宋_GB2312"/>
          <w:sz w:val="32"/>
          <w:szCs w:val="32"/>
          <w:highlight w:val="none"/>
          <w:lang w:eastAsia="zh-CN"/>
        </w:rPr>
        <w:t>“三重一大”会议，追加的项目也严格按照规定的程序进行追加预算管理；按照谁主管谁负责的原则，每个预算项目都严格落实事前、事中、事后专项监督机制，严格按照资金管理办法使用和拨付资金，并落实到位。在项</w:t>
      </w:r>
      <w:r>
        <w:rPr>
          <w:rFonts w:hint="eastAsia" w:ascii="Times New Roman" w:hAnsi="Times New Roman" w:eastAsia="仿宋_GB2312"/>
          <w:sz w:val="32"/>
          <w:szCs w:val="32"/>
          <w:highlight w:val="none"/>
          <w:lang w:eastAsia="zh-CN"/>
        </w:rPr>
        <w:t>目实施的过程中，加强项目资金的监督和管理，按序时支出进度合理分配资金，并严格审查项目手续，手续齐全再进行项目资金的拨付。预算项目支出总计</w:t>
      </w:r>
      <w:r>
        <w:rPr>
          <w:rFonts w:hint="eastAsia" w:ascii="Times New Roman" w:hAnsi="Times New Roman" w:eastAsia="仿宋_GB2312"/>
          <w:sz w:val="32"/>
          <w:szCs w:val="32"/>
          <w:highlight w:val="none"/>
          <w:lang w:val="en-US" w:eastAsia="zh-CN"/>
        </w:rPr>
        <w:t>1778.67</w:t>
      </w:r>
      <w:r>
        <w:rPr>
          <w:rFonts w:hint="eastAsia" w:ascii="Times New Roman" w:hAnsi="Times New Roman" w:eastAsia="仿宋_GB2312"/>
          <w:sz w:val="32"/>
          <w:szCs w:val="32"/>
          <w:highlight w:val="none"/>
          <w:lang w:eastAsia="zh-CN"/>
        </w:rPr>
        <w:t>万元，自评得分 90分以上的</w:t>
      </w:r>
      <w:r>
        <w:rPr>
          <w:rFonts w:hint="eastAsia" w:ascii="Times New Roman" w:hAnsi="Times New Roman" w:eastAsia="仿宋_GB2312"/>
          <w:sz w:val="32"/>
          <w:szCs w:val="32"/>
          <w:highlight w:val="none"/>
          <w:lang w:val="en-US" w:eastAsia="zh-CN"/>
        </w:rPr>
        <w:t>43</w:t>
      </w:r>
      <w:r>
        <w:rPr>
          <w:rFonts w:hint="eastAsia" w:ascii="Times New Roman" w:hAnsi="Times New Roman" w:eastAsia="仿宋_GB2312"/>
          <w:sz w:val="32"/>
          <w:szCs w:val="32"/>
          <w:highlight w:val="none"/>
          <w:lang w:eastAsia="zh-CN"/>
        </w:rPr>
        <w:t>个，60分以下</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个。其中，抽查项目</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个，分别是党建工作经费项目（运转保障），服务群众专项经费。</w:t>
      </w:r>
    </w:p>
    <w:p>
      <w:pPr>
        <w:pStyle w:val="11"/>
        <w:spacing w:before="156" w:line="219" w:lineRule="auto"/>
        <w:ind w:left="13" w:right="30" w:firstLine="640" w:firstLineChars="200"/>
        <w:jc w:val="both"/>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项目一：</w:t>
      </w:r>
      <w:r>
        <w:rPr>
          <w:rFonts w:hint="eastAsia" w:ascii="Times New Roman" w:hAnsi="Times New Roman" w:eastAsia="仿宋_GB2312" w:cs="宋体"/>
          <w:sz w:val="32"/>
          <w:szCs w:val="32"/>
          <w:highlight w:val="none"/>
          <w:lang w:val="en-US" w:eastAsia="zh-CN" w:bidi="ar-SA"/>
        </w:rPr>
        <w:t>党建工作经费项目（运转保障），党建工作经费项目，预算3.8598万元，主要用于乡镇党建工作办公经费等。此项目2024 年开始实施，于第四季度12月底完成支出。政策依据：根据徐字[2021]29号中共保定市徐水区 委关于印发《保定市徐水区关于在全区开展“基层</w:t>
      </w:r>
      <w:bookmarkStart w:id="0" w:name="_GoBack"/>
      <w:bookmarkEnd w:id="0"/>
      <w:r>
        <w:rPr>
          <w:rFonts w:hint="eastAsia" w:ascii="Times New Roman" w:hAnsi="Times New Roman" w:eastAsia="仿宋_GB2312" w:cs="宋体"/>
          <w:sz w:val="32"/>
          <w:szCs w:val="32"/>
          <w:highlight w:val="none"/>
          <w:lang w:val="en-US" w:eastAsia="zh-CN" w:bidi="ar-SA"/>
        </w:rPr>
        <w:t>党建当先锋、乡村振兴党旗红”活动的实施意见》《保定市戏水区关于“两园四带六区百点”基层党建示范工程创建实施方案》《保定市  徐水区农村(社区)“两委”班子及成员星级评选管理办法》《保定市徐水区关于深入推进基  层治理网格化服务管理的实施方案》的通知，根据“三重一大会”议纪要，党建工作经费项目实施计划，申请立项。项目迫切的现实需求：根据文件要求加大党建工作发挥基层党组织作 用，牢牢践行基层党建当先锋、乡村振兴党红旗，而立项。全年组织开展日常党员活动6次，开展党代会精神宣讲，提升了党员综合素质，发挥党的引领示范作用。提升了党建创建水平，组织开展基层党组织活动，党组织覆盖和工作覆盖明显提升，增强了基层政治功能和组织能力。</w:t>
      </w:r>
      <w:r>
        <w:rPr>
          <w:rFonts w:hint="eastAsia" w:ascii="Times New Roman" w:hAnsi="Times New Roman" w:eastAsia="仿宋_GB2312"/>
          <w:sz w:val="32"/>
          <w:szCs w:val="32"/>
          <w:highlight w:val="none"/>
          <w:lang w:eastAsia="zh-CN"/>
        </w:rPr>
        <w:t>预算执行率100%，绩效目标完成率100%。绩效指标自评得分100分。</w:t>
      </w:r>
      <w:r>
        <w:rPr>
          <w:rFonts w:hint="eastAsia" w:ascii="Times New Roman" w:hAnsi="Times New Roman" w:eastAsia="仿宋_GB2312" w:cs="宋体"/>
          <w:sz w:val="32"/>
          <w:szCs w:val="32"/>
          <w:highlight w:val="none"/>
          <w:lang w:val="en-US" w:eastAsia="zh-CN" w:bidi="ar-SA"/>
        </w:rPr>
        <w:tab/>
      </w:r>
      <w:r>
        <w:rPr>
          <w:rFonts w:hint="eastAsia" w:ascii="Times New Roman" w:hAnsi="Times New Roman" w:eastAsia="仿宋_GB2312" w:cs="宋体"/>
          <w:sz w:val="32"/>
          <w:szCs w:val="32"/>
          <w:highlight w:val="none"/>
          <w:lang w:val="en-US" w:eastAsia="zh-CN" w:bidi="ar-SA"/>
        </w:rPr>
        <w:tab/>
      </w:r>
      <w:r>
        <w:rPr>
          <w:rFonts w:hint="eastAsia" w:ascii="Times New Roman" w:hAnsi="Times New Roman" w:eastAsia="仿宋_GB2312" w:cs="宋体"/>
          <w:sz w:val="32"/>
          <w:szCs w:val="32"/>
          <w:highlight w:val="none"/>
          <w:lang w:val="en-US" w:eastAsia="zh-CN" w:bidi="ar-SA"/>
        </w:rPr>
        <w:tab/>
      </w:r>
    </w:p>
    <w:p>
      <w:pPr>
        <w:pStyle w:val="11"/>
        <w:spacing w:before="156" w:line="219" w:lineRule="auto"/>
        <w:ind w:left="13" w:right="30" w:firstLine="640" w:firstLineChars="200"/>
        <w:jc w:val="both"/>
        <w:rPr>
          <w:rFonts w:hint="eastAsia" w:ascii="Times New Roman" w:hAnsi="Times New Roman" w:eastAsia="仿宋_GB2312" w:cs="宋体"/>
          <w:sz w:val="32"/>
          <w:szCs w:val="32"/>
          <w:highlight w:val="none"/>
          <w:lang w:val="en-US" w:eastAsia="zh-CN" w:bidi="ar-SA"/>
        </w:rPr>
      </w:pPr>
      <w:r>
        <w:rPr>
          <w:rFonts w:hint="eastAsia" w:ascii="Times New Roman" w:hAnsi="Times New Roman" w:eastAsia="仿宋_GB2312"/>
          <w:sz w:val="32"/>
          <w:szCs w:val="32"/>
          <w:highlight w:val="none"/>
          <w:lang w:eastAsia="zh-CN"/>
        </w:rPr>
        <w:t>项目二</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cs="宋体"/>
          <w:sz w:val="32"/>
          <w:szCs w:val="32"/>
          <w:highlight w:val="none"/>
          <w:lang w:val="en-US" w:eastAsia="zh-CN" w:bidi="ar-SA"/>
        </w:rPr>
        <w:t>服务群众专项经费，为进一步加强村级组织运转经费保障工作，一般按村均不低于5万元的标准确 定。政策依据：冀组发【2018】14号文件《中共河北省委组织部、河北省财政厅关于提高村级组 织运转保障水平的意见的通知》徐字〔2019〕2号《中共保定市徐水区委  保定市徐水区人民政府关于印发&lt;关于提高村级组 织运转保障水平的实施意见&gt;的通知》项目实施的迫切性：该项目属于“三保”范围内基本民生项目。项目资金155万元用于31个村服务群众必要支出,保障了村级组织的正常运转，</w:t>
      </w:r>
      <w:r>
        <w:rPr>
          <w:rFonts w:hint="eastAsia" w:ascii="Times New Roman" w:hAnsi="Times New Roman" w:eastAsia="仿宋_GB2312"/>
          <w:sz w:val="32"/>
          <w:szCs w:val="32"/>
          <w:highlight w:val="none"/>
          <w:lang w:eastAsia="zh-CN"/>
        </w:rPr>
        <w:t>预算执行率100%，绩效目标完成率100%</w:t>
      </w:r>
      <w:r>
        <w:rPr>
          <w:rFonts w:hint="eastAsia" w:ascii="Times New Roman" w:hAnsi="Times New Roman" w:eastAsia="仿宋_GB2312"/>
          <w:sz w:val="32"/>
          <w:szCs w:val="32"/>
          <w:highlight w:val="none"/>
          <w:lang w:val="en-US" w:eastAsia="zh-CN"/>
        </w:rPr>
        <w:t>村民满意度达到了</w:t>
      </w:r>
      <w:r>
        <w:rPr>
          <w:rFonts w:hint="default" w:ascii="Times New Roman" w:hAnsi="Times New Roman" w:eastAsia="仿宋_GB2312"/>
          <w:sz w:val="32"/>
          <w:szCs w:val="32"/>
          <w:highlight w:val="none"/>
          <w:lang w:val="en-US" w:eastAsia="zh-CN"/>
        </w:rPr>
        <w:t>90%</w:t>
      </w:r>
      <w:r>
        <w:rPr>
          <w:rFonts w:hint="eastAsia" w:ascii="Times New Roman" w:hAnsi="Times New Roman" w:eastAsia="仿宋_GB2312"/>
          <w:sz w:val="32"/>
          <w:szCs w:val="32"/>
          <w:highlight w:val="none"/>
          <w:lang w:val="en-US" w:eastAsia="zh-CN"/>
        </w:rPr>
        <w:t>以上，</w:t>
      </w:r>
      <w:r>
        <w:rPr>
          <w:rFonts w:hint="eastAsia" w:ascii="Times New Roman" w:hAnsi="Times New Roman" w:eastAsia="仿宋_GB2312"/>
          <w:sz w:val="32"/>
          <w:szCs w:val="32"/>
          <w:highlight w:val="none"/>
          <w:lang w:eastAsia="zh-CN"/>
        </w:rPr>
        <w:t>绩效指标自评得分100分。</w:t>
      </w:r>
      <w:r>
        <w:rPr>
          <w:rFonts w:hint="eastAsia" w:ascii="Times New Roman" w:hAnsi="Times New Roman" w:eastAsia="仿宋_GB2312" w:cs="宋体"/>
          <w:sz w:val="32"/>
          <w:szCs w:val="32"/>
          <w:highlight w:val="none"/>
          <w:lang w:val="en-US" w:eastAsia="zh-CN" w:bidi="ar-SA"/>
        </w:rPr>
        <w:tab/>
      </w:r>
      <w:r>
        <w:rPr>
          <w:rFonts w:hint="eastAsia" w:ascii="Times New Roman" w:hAnsi="Times New Roman" w:eastAsia="仿宋_GB2312" w:cs="宋体"/>
          <w:sz w:val="32"/>
          <w:szCs w:val="32"/>
          <w:highlight w:val="none"/>
          <w:lang w:val="en-US" w:eastAsia="zh-CN" w:bidi="ar-SA"/>
        </w:rPr>
        <w:tab/>
      </w:r>
      <w:r>
        <w:rPr>
          <w:rFonts w:hint="eastAsia" w:ascii="Times New Roman" w:hAnsi="Times New Roman" w:eastAsia="仿宋_GB2312" w:cs="宋体"/>
          <w:sz w:val="32"/>
          <w:szCs w:val="32"/>
          <w:highlight w:val="none"/>
          <w:lang w:val="en-US" w:eastAsia="zh-CN" w:bidi="ar-SA"/>
        </w:rPr>
        <w:tab/>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仿宋_GB2312"/>
          <w:sz w:val="32"/>
          <w:szCs w:val="32"/>
          <w:highlight w:val="none"/>
          <w:lang w:eastAsia="zh-CN"/>
        </w:rPr>
        <w:tab/>
      </w:r>
      <w:r>
        <w:rPr>
          <w:rFonts w:hint="eastAsia" w:ascii="Times New Roman" w:hAnsi="Times New Roman" w:eastAsia="黑体" w:cs="黑体"/>
          <w:sz w:val="32"/>
          <w:szCs w:val="32"/>
          <w:highlight w:val="none"/>
        </w:rPr>
        <w:t>二、绩效目标实现情况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我镇</w:t>
      </w:r>
      <w:r>
        <w:rPr>
          <w:rFonts w:hint="eastAsia" w:ascii="Times New Roman" w:hAnsi="Times New Roman" w:eastAsia="仿宋_GB2312"/>
          <w:sz w:val="32"/>
          <w:szCs w:val="32"/>
          <w:highlight w:val="none"/>
          <w:lang w:val="en-US" w:eastAsia="zh-CN"/>
        </w:rPr>
        <w:t>45</w:t>
      </w:r>
      <w:r>
        <w:rPr>
          <w:rFonts w:hint="eastAsia" w:ascii="Times New Roman" w:hAnsi="Times New Roman" w:eastAsia="仿宋_GB2312"/>
          <w:sz w:val="32"/>
          <w:szCs w:val="32"/>
          <w:highlight w:val="none"/>
          <w:lang w:eastAsia="zh-CN"/>
        </w:rPr>
        <w:t>个项目涉及基层党建、维稳、服务群众、环保、纪检监察、人大、文化服务体系建设、退役军人服务等各领域。针对一般预算项目进行绩效评价时，我们以预算项目确定的项目绩效目标为依据，通过对比分析，预算项目绩效目标完成情况分类两种情况： 其中：我镇</w:t>
      </w:r>
      <w:r>
        <w:rPr>
          <w:rFonts w:hint="eastAsia" w:ascii="Times New Roman" w:hAnsi="Times New Roman" w:eastAsia="仿宋_GB2312"/>
          <w:sz w:val="32"/>
          <w:szCs w:val="32"/>
          <w:highlight w:val="none"/>
          <w:lang w:val="en-US" w:eastAsia="zh-CN"/>
        </w:rPr>
        <w:t>43</w:t>
      </w:r>
      <w:r>
        <w:rPr>
          <w:rFonts w:hint="eastAsia" w:ascii="Times New Roman" w:hAnsi="Times New Roman" w:eastAsia="仿宋_GB2312"/>
          <w:sz w:val="32"/>
          <w:szCs w:val="32"/>
          <w:highlight w:val="none"/>
          <w:lang w:eastAsia="zh-CN"/>
        </w:rPr>
        <w:t>个项目自评得分</w:t>
      </w:r>
      <w:r>
        <w:rPr>
          <w:rFonts w:hint="default" w:ascii="Times New Roman" w:hAnsi="Times New Roman" w:eastAsia="仿宋_GB2312"/>
          <w:sz w:val="32"/>
          <w:szCs w:val="32"/>
          <w:highlight w:val="none"/>
          <w:lang w:val="en-US" w:eastAsia="zh-CN"/>
        </w:rPr>
        <w:t>90</w:t>
      </w:r>
      <w:r>
        <w:rPr>
          <w:rFonts w:hint="eastAsia" w:ascii="Times New Roman" w:hAnsi="Times New Roman" w:eastAsia="仿宋_GB2312"/>
          <w:sz w:val="32"/>
          <w:szCs w:val="32"/>
          <w:highlight w:val="none"/>
          <w:lang w:val="en-US" w:eastAsia="zh-CN"/>
        </w:rPr>
        <w:t>分以上已</w:t>
      </w:r>
      <w:r>
        <w:rPr>
          <w:rFonts w:hint="eastAsia" w:ascii="Times New Roman" w:hAnsi="Times New Roman" w:eastAsia="仿宋_GB2312"/>
          <w:sz w:val="32"/>
          <w:szCs w:val="32"/>
          <w:highlight w:val="none"/>
          <w:lang w:eastAsia="zh-CN"/>
        </w:rPr>
        <w:t>完成预期绩效目标</w:t>
      </w:r>
      <w:r>
        <w:rPr>
          <w:rFonts w:hint="eastAsia" w:ascii="Times New Roman" w:hAnsi="Times New Roman" w:eastAsia="仿宋_GB2312"/>
          <w:sz w:val="32"/>
          <w:szCs w:val="32"/>
          <w:highlight w:val="none"/>
          <w:lang w:val="en-US" w:eastAsia="zh-CN"/>
        </w:rPr>
        <w:t>、2个项目自评得分</w:t>
      </w:r>
      <w:r>
        <w:rPr>
          <w:rFonts w:hint="default"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分以下未</w:t>
      </w:r>
      <w:r>
        <w:rPr>
          <w:rFonts w:hint="eastAsia" w:ascii="Times New Roman" w:hAnsi="Times New Roman" w:eastAsia="仿宋_GB2312"/>
          <w:sz w:val="32"/>
          <w:szCs w:val="32"/>
          <w:highlight w:val="none"/>
          <w:lang w:eastAsia="zh-CN"/>
        </w:rPr>
        <w:t>完成预期绩效目标</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形成未完成的绩效目标原因是：</w:t>
      </w:r>
      <w:r>
        <w:rPr>
          <w:rFonts w:hint="eastAsia" w:ascii="Times New Roman" w:hAnsi="Times New Roman" w:eastAsia="仿宋_GB2312"/>
          <w:sz w:val="32"/>
          <w:szCs w:val="32"/>
          <w:highlight w:val="none"/>
          <w:lang w:val="en-US" w:eastAsia="zh-CN"/>
        </w:rPr>
        <w:t>项目一提前下达2024年支持市县科技创新和科学普及专项资金预算-优秀科技特派员工作站补助经费、项目二2023年度创建提升“两园四带六区百点”基层党建示范资金因年终预算调整为</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，绩效自评为</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遂城镇人民政府强化内部管理，严格执行财经制度和规定，制定财务管理办法，规范资金管理，加强内部控制制度，绩效评价及时，绩效目标和绩效评价报告内容完整。职责履行上收效较为明显，为遂城镇各项工作的顺利开展提供了有效的资金保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三、绩效目标设定质量情况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我部门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再接下来的工作中要对绩效指标设置更加明确，增强绩效指标的针对性，建议与相关部门加强沟通协调，最大限度做好预算项目的准确性与执行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四、整改措施及结果应用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通过对一般预算项目进行绩效自评，认真总结202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预算项目在实施过程中存在的问题和差距。下一步我部门将加大宣传力度，提升预算项目管理有关人员业务素质和思想认识，将绩效自评融入到绩效管理的整个过程提高绩效自评的效率和效果，同时加强对预算绩效编制的管理，严格执行预算绩效管理办法，科学合理地设置预算绩效指标，积极推动绩效自评结果应用，将其作为预算编制和改进管理的重要依据，使有限的预算资金产生更大的效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一是加强组织领导。要加强对部门整体工作的全覆盖,便于及时发现项目运行过程中出现的问题及时改进。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二是按照设定的绩效目标，整改措施为加强与主管部门协调，完善项目支出手续，加快支出进度，提高资金使用效益，进一步落实工作，提升群众满意度。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三是加强监督。对日常工作加强规范和监督，防止在预算执行过程中出现偏差。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四是</w:t>
      </w:r>
      <w:r>
        <w:rPr>
          <w:rFonts w:hint="eastAsia" w:ascii="Times New Roman" w:hAnsi="Times New Roman" w:eastAsia="仿宋_GB2312"/>
          <w:sz w:val="32"/>
          <w:szCs w:val="32"/>
          <w:highlight w:val="none"/>
          <w:lang w:eastAsia="zh-CN"/>
        </w:rPr>
        <w:t>我镇将以此次绩效自评工作为契机，增强绩效观念，强化绩效管理，进一步增强绩效目标管理和绩效自评等绩效管理工作。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保定市徐水区遂城镇人民政府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202</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年</w:t>
      </w:r>
      <w:r>
        <w:rPr>
          <w:rFonts w:hint="default"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月</w:t>
      </w:r>
      <w:r>
        <w:rPr>
          <w:rFonts w:hint="eastAsia" w:ascii="Times New Roman" w:hAnsi="Times New Roman" w:eastAsia="仿宋_GB2312"/>
          <w:sz w:val="32"/>
          <w:szCs w:val="32"/>
          <w:highlight w:val="none"/>
          <w:lang w:val="en-US" w:eastAsia="zh-CN"/>
        </w:rPr>
        <w:t>11</w:t>
      </w:r>
      <w:r>
        <w:rPr>
          <w:rFonts w:hint="eastAsia" w:ascii="Times New Roman" w:hAnsi="Times New Roman" w:eastAsia="仿宋_GB2312"/>
          <w:sz w:val="32"/>
          <w:szCs w:val="32"/>
          <w:highlight w:val="none"/>
          <w:lang w:eastAsia="zh-CN"/>
        </w:rPr>
        <w:t>日</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sz w:val="32"/>
          <w:szCs w:val="32"/>
          <w:highlight w:val="none"/>
          <w:lang w:val="en-US" w:eastAsia="zh-CN"/>
        </w:rPr>
      </w:pPr>
    </w:p>
    <w:sectPr>
      <w:footerReference r:id="rId3" w:type="default"/>
      <w:pgSz w:w="11910" w:h="16850"/>
      <w:pgMar w:top="2098" w:right="1474" w:bottom="1984"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rD8N9YAAAAK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1A71C36"/>
    <w:rsid w:val="031F33CF"/>
    <w:rsid w:val="048C79F8"/>
    <w:rsid w:val="05520225"/>
    <w:rsid w:val="05BF3D7B"/>
    <w:rsid w:val="063F30AD"/>
    <w:rsid w:val="07243EDC"/>
    <w:rsid w:val="072C71F1"/>
    <w:rsid w:val="076D4D3B"/>
    <w:rsid w:val="077356E5"/>
    <w:rsid w:val="083E33E8"/>
    <w:rsid w:val="085D7EC7"/>
    <w:rsid w:val="08D9685D"/>
    <w:rsid w:val="090515DA"/>
    <w:rsid w:val="09277590"/>
    <w:rsid w:val="0A445EB2"/>
    <w:rsid w:val="0A8500E5"/>
    <w:rsid w:val="0AD61855"/>
    <w:rsid w:val="0AEA04F5"/>
    <w:rsid w:val="0B2644EF"/>
    <w:rsid w:val="0B5B6EB2"/>
    <w:rsid w:val="0DA01CE8"/>
    <w:rsid w:val="0DD54741"/>
    <w:rsid w:val="0E2A43A1"/>
    <w:rsid w:val="0E337434"/>
    <w:rsid w:val="0E947C7A"/>
    <w:rsid w:val="0F302690"/>
    <w:rsid w:val="0FEE6FAE"/>
    <w:rsid w:val="104221C2"/>
    <w:rsid w:val="109221B4"/>
    <w:rsid w:val="10B76D7C"/>
    <w:rsid w:val="11BB4C7B"/>
    <w:rsid w:val="11F9264B"/>
    <w:rsid w:val="126E3F81"/>
    <w:rsid w:val="13D70C00"/>
    <w:rsid w:val="13E745BB"/>
    <w:rsid w:val="13E75935"/>
    <w:rsid w:val="14B10317"/>
    <w:rsid w:val="15D23276"/>
    <w:rsid w:val="15DE3803"/>
    <w:rsid w:val="16D66C4C"/>
    <w:rsid w:val="1710346E"/>
    <w:rsid w:val="1A1B0CDE"/>
    <w:rsid w:val="1AC55196"/>
    <w:rsid w:val="1BEB577D"/>
    <w:rsid w:val="1C7A5D5E"/>
    <w:rsid w:val="1DE55E1B"/>
    <w:rsid w:val="1E5F7CE3"/>
    <w:rsid w:val="1EB833A5"/>
    <w:rsid w:val="1EC758F7"/>
    <w:rsid w:val="1F795D89"/>
    <w:rsid w:val="1F7D4C37"/>
    <w:rsid w:val="21F64047"/>
    <w:rsid w:val="24032827"/>
    <w:rsid w:val="2471398F"/>
    <w:rsid w:val="24A91031"/>
    <w:rsid w:val="24DA5084"/>
    <w:rsid w:val="26407E4E"/>
    <w:rsid w:val="265D5F74"/>
    <w:rsid w:val="273532E6"/>
    <w:rsid w:val="28AB6100"/>
    <w:rsid w:val="2A324774"/>
    <w:rsid w:val="2A7E0199"/>
    <w:rsid w:val="2BBE7611"/>
    <w:rsid w:val="2BEA0719"/>
    <w:rsid w:val="2C390E21"/>
    <w:rsid w:val="2E3929BF"/>
    <w:rsid w:val="2E647DC0"/>
    <w:rsid w:val="2EB6270D"/>
    <w:rsid w:val="2ECC236E"/>
    <w:rsid w:val="308B053C"/>
    <w:rsid w:val="31AE511F"/>
    <w:rsid w:val="33D71B47"/>
    <w:rsid w:val="34E6255A"/>
    <w:rsid w:val="358F5BF0"/>
    <w:rsid w:val="368C523D"/>
    <w:rsid w:val="39AB70AC"/>
    <w:rsid w:val="39CF29C9"/>
    <w:rsid w:val="3A173403"/>
    <w:rsid w:val="3B972476"/>
    <w:rsid w:val="3E307815"/>
    <w:rsid w:val="3F986C2E"/>
    <w:rsid w:val="3FD7426E"/>
    <w:rsid w:val="405939A2"/>
    <w:rsid w:val="40E2132F"/>
    <w:rsid w:val="41545CF4"/>
    <w:rsid w:val="419639D2"/>
    <w:rsid w:val="42E735DB"/>
    <w:rsid w:val="42F76469"/>
    <w:rsid w:val="438B6C27"/>
    <w:rsid w:val="44611C30"/>
    <w:rsid w:val="446D7285"/>
    <w:rsid w:val="449A491B"/>
    <w:rsid w:val="46722DB7"/>
    <w:rsid w:val="468B3259"/>
    <w:rsid w:val="47B85813"/>
    <w:rsid w:val="48762495"/>
    <w:rsid w:val="4A8C48F3"/>
    <w:rsid w:val="4BEA6ADC"/>
    <w:rsid w:val="4DD43DBE"/>
    <w:rsid w:val="4E621A29"/>
    <w:rsid w:val="4EDA7BD9"/>
    <w:rsid w:val="4FC15D6B"/>
    <w:rsid w:val="4FF4384B"/>
    <w:rsid w:val="51812673"/>
    <w:rsid w:val="520B18BA"/>
    <w:rsid w:val="521C24C4"/>
    <w:rsid w:val="52ED39F9"/>
    <w:rsid w:val="533928B8"/>
    <w:rsid w:val="5350559D"/>
    <w:rsid w:val="54DE5EF2"/>
    <w:rsid w:val="55E14BFC"/>
    <w:rsid w:val="55F11285"/>
    <w:rsid w:val="56673EC1"/>
    <w:rsid w:val="56C24012"/>
    <w:rsid w:val="56DF33C5"/>
    <w:rsid w:val="57B327CC"/>
    <w:rsid w:val="58171515"/>
    <w:rsid w:val="58F37CEE"/>
    <w:rsid w:val="59046378"/>
    <w:rsid w:val="5AFC7FD4"/>
    <w:rsid w:val="5BB82FFE"/>
    <w:rsid w:val="5CE42072"/>
    <w:rsid w:val="5DC610F7"/>
    <w:rsid w:val="5EB950EA"/>
    <w:rsid w:val="61242B66"/>
    <w:rsid w:val="62103DC9"/>
    <w:rsid w:val="625E419A"/>
    <w:rsid w:val="62EA5256"/>
    <w:rsid w:val="63573938"/>
    <w:rsid w:val="642C670B"/>
    <w:rsid w:val="65C05D24"/>
    <w:rsid w:val="694D4F50"/>
    <w:rsid w:val="6A224128"/>
    <w:rsid w:val="6A852A96"/>
    <w:rsid w:val="6B234BA2"/>
    <w:rsid w:val="6C88441D"/>
    <w:rsid w:val="6D1E5C16"/>
    <w:rsid w:val="6D686D40"/>
    <w:rsid w:val="6DB53B8B"/>
    <w:rsid w:val="6E317106"/>
    <w:rsid w:val="6E8F3D5E"/>
    <w:rsid w:val="6FC33286"/>
    <w:rsid w:val="704F74A4"/>
    <w:rsid w:val="71383DD4"/>
    <w:rsid w:val="714D080A"/>
    <w:rsid w:val="718C2898"/>
    <w:rsid w:val="72463D18"/>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paragraph" w:customStyle="1" w:styleId="11">
    <w:name w:val="Table Text"/>
    <w:basedOn w:val="1"/>
    <w:semiHidden/>
    <w:qFormat/>
    <w:uiPriority w:val="0"/>
    <w:rPr>
      <w:rFonts w:ascii="宋体" w:hAnsi="宋体" w:eastAsia="宋体" w:cs="宋体"/>
      <w:sz w:val="39"/>
      <w:szCs w:val="3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2025-03-11T06:36:25Z</cp:lastPrinted>
  <dcterms:modified xsi:type="dcterms:W3CDTF">2025-03-11T07:19:36Z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2052-11.1.0.9999</vt:lpwstr>
  </property>
  <property fmtid="{D5CDD505-2E9C-101B-9397-08002B2CF9AE}" pid="6" name="ICV">
    <vt:lpwstr>88448AECCB9A4BEB89498DD8276B37BB</vt:lpwstr>
  </property>
</Properties>
</file>