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保定市徐水区退役军人事务局</w:t>
      </w:r>
    </w:p>
    <w:p>
      <w:pPr>
        <w:keepNext w:val="0"/>
        <w:keepLines w:val="0"/>
        <w:pageBreakBefore w:val="0"/>
        <w:widowControl w:val="0"/>
        <w:kinsoku/>
        <w:wordWrap/>
        <w:overflowPunct/>
        <w:topLinePunct w:val="0"/>
        <w:autoSpaceDE/>
        <w:autoSpaceDN/>
        <w:bidi w:val="0"/>
        <w:adjustRightInd/>
        <w:snapToGrid w:val="0"/>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sz w:val="44"/>
          <w:szCs w:val="44"/>
          <w:lang w:val="en-US" w:eastAsia="zh-CN"/>
        </w:rPr>
        <w:t>2024</w:t>
      </w:r>
      <w:r>
        <w:rPr>
          <w:rFonts w:hint="eastAsia" w:ascii="方正小标宋简体" w:hAnsi="方正小标宋简体" w:eastAsia="方正小标宋简体" w:cs="方正小标宋简体"/>
          <w:sz w:val="44"/>
          <w:szCs w:val="44"/>
          <w:lang w:eastAsia="zh-CN"/>
        </w:rPr>
        <w:t>年度预算项目绩效自评工作报告</w:t>
      </w:r>
    </w:p>
    <w:p>
      <w:pPr>
        <w:keepNext w:val="0"/>
        <w:keepLines w:val="0"/>
        <w:pageBreakBefore w:val="0"/>
        <w:widowControl w:val="0"/>
        <w:kinsoku/>
        <w:wordWrap/>
        <w:overflowPunct/>
        <w:topLinePunct w:val="0"/>
        <w:autoSpaceDE/>
        <w:autoSpaceDN/>
        <w:bidi w:val="0"/>
        <w:adjustRightInd/>
        <w:snapToGrid w:val="0"/>
        <w:spacing w:line="579" w:lineRule="exact"/>
        <w:ind w:firstLine="643" w:firstLineChars="200"/>
        <w:textAlignment w:val="auto"/>
        <w:rPr>
          <w:rFonts w:ascii="Times New Roman" w:hAnsi="Times New Roman" w:eastAsia="仿宋_GB2312"/>
          <w:b/>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一、绩效自评工作组织开展情况</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确实做好2024年度项目资金绩效自评工作，提高财政资金使用效益，根据《保定市徐水区财政局关于开展2024年度财政资金部门绩效自评及抽查工作的通知》的文件精神，结合实际，我单位组织成立了绩效评价工作小组，评价小组采取座谈等方式听取情况，检查专项资金有关账目，收集整理专项资金支出相关资料。</w:t>
      </w:r>
    </w:p>
    <w:p>
      <w:pPr>
        <w:keepNext w:val="0"/>
        <w:keepLines w:val="0"/>
        <w:pageBreakBefore w:val="0"/>
        <w:widowControl w:val="0"/>
        <w:kinsoku/>
        <w:wordWrap/>
        <w:overflowPunct/>
        <w:topLinePunct w:val="0"/>
        <w:bidi w:val="0"/>
        <w:adjustRightInd/>
        <w:spacing w:line="579" w:lineRule="exact"/>
        <w:ind w:firstLine="660"/>
        <w:textAlignment w:val="auto"/>
        <w:rPr>
          <w:rFonts w:ascii="仿宋_GB2312" w:hAnsi="黑体" w:eastAsia="仿宋_GB2312"/>
          <w:sz w:val="32"/>
          <w:szCs w:val="32"/>
          <w:lang w:eastAsia="zh-CN"/>
        </w:rPr>
      </w:pPr>
      <w:r>
        <w:rPr>
          <w:rFonts w:hint="eastAsia" w:ascii="仿宋_GB2312" w:hAnsi="黑体" w:eastAsia="仿宋_GB2312"/>
          <w:sz w:val="32"/>
          <w:szCs w:val="32"/>
          <w:lang w:eastAsia="zh-CN"/>
        </w:rPr>
        <w:t>此次绩效评价共评价2</w:t>
      </w:r>
      <w:r>
        <w:rPr>
          <w:rFonts w:ascii="仿宋_GB2312" w:hAnsi="黑体" w:eastAsia="仿宋_GB2312"/>
          <w:sz w:val="32"/>
          <w:szCs w:val="32"/>
          <w:lang w:eastAsia="zh-CN"/>
        </w:rPr>
        <w:t>02</w:t>
      </w:r>
      <w:r>
        <w:rPr>
          <w:rFonts w:hint="default" w:ascii="仿宋_GB2312" w:hAnsi="黑体" w:eastAsia="仿宋_GB2312"/>
          <w:sz w:val="32"/>
          <w:szCs w:val="32"/>
          <w:lang w:val="en-US" w:eastAsia="zh-CN"/>
        </w:rPr>
        <w:t>4</w:t>
      </w:r>
      <w:r>
        <w:rPr>
          <w:rFonts w:hint="eastAsia" w:ascii="仿宋_GB2312" w:hAnsi="黑体" w:eastAsia="仿宋_GB2312"/>
          <w:sz w:val="32"/>
          <w:szCs w:val="32"/>
          <w:lang w:eastAsia="zh-CN"/>
        </w:rPr>
        <w:t>年预算资金</w:t>
      </w:r>
      <w:r>
        <w:rPr>
          <w:rFonts w:hint="default" w:ascii="仿宋_GB2312" w:hAnsi="黑体" w:eastAsia="仿宋_GB2312"/>
          <w:sz w:val="32"/>
          <w:szCs w:val="32"/>
          <w:lang w:val="en-US" w:eastAsia="zh-CN"/>
        </w:rPr>
        <w:t>7929.19</w:t>
      </w:r>
      <w:r>
        <w:rPr>
          <w:rFonts w:hint="eastAsia" w:ascii="仿宋_GB2312" w:hAnsi="黑体" w:eastAsia="仿宋_GB2312"/>
          <w:sz w:val="32"/>
          <w:szCs w:val="32"/>
          <w:lang w:eastAsia="zh-CN"/>
        </w:rPr>
        <w:t>万元，涉及预算项目共计</w:t>
      </w:r>
      <w:r>
        <w:rPr>
          <w:rFonts w:hint="default" w:ascii="仿宋_GB2312" w:hAnsi="黑体" w:eastAsia="仿宋_GB2312"/>
          <w:sz w:val="32"/>
          <w:szCs w:val="32"/>
          <w:lang w:val="en-US" w:eastAsia="zh-CN"/>
        </w:rPr>
        <w:t>72</w:t>
      </w:r>
      <w:r>
        <w:rPr>
          <w:rFonts w:hint="eastAsia" w:ascii="仿宋_GB2312" w:hAnsi="黑体" w:eastAsia="仿宋_GB2312"/>
          <w:sz w:val="32"/>
          <w:szCs w:val="32"/>
          <w:lang w:eastAsia="zh-CN"/>
        </w:rPr>
        <w:t>个，资金主要用于优抚对象抚恤补助、退役士兵一次性经济补助金发放、优抚对象医疗补助、退役士兵再就业人员专项经费及其他专项事务工作经费等。</w:t>
      </w:r>
    </w:p>
    <w:p>
      <w:pPr>
        <w:keepNext w:val="0"/>
        <w:keepLines w:val="0"/>
        <w:pageBreakBefore w:val="0"/>
        <w:widowControl w:val="0"/>
        <w:kinsoku/>
        <w:wordWrap/>
        <w:overflowPunct/>
        <w:topLinePunct w:val="0"/>
        <w:bidi w:val="0"/>
        <w:adjustRightInd/>
        <w:spacing w:line="579" w:lineRule="exact"/>
        <w:ind w:firstLine="660"/>
        <w:textAlignment w:val="auto"/>
        <w:rPr>
          <w:rFonts w:ascii="仿宋_GB2312" w:hAnsi="黑体" w:eastAsia="仿宋_GB2312"/>
          <w:sz w:val="32"/>
          <w:szCs w:val="32"/>
          <w:lang w:eastAsia="zh-CN"/>
        </w:rPr>
      </w:pPr>
      <w:r>
        <w:rPr>
          <w:rFonts w:hint="eastAsia" w:ascii="仿宋_GB2312" w:hAnsi="黑体" w:eastAsia="仿宋_GB2312"/>
          <w:sz w:val="32"/>
          <w:szCs w:val="32"/>
          <w:lang w:eastAsia="zh-CN"/>
        </w:rPr>
        <w:t>在项目资金组织管理上，我们严格按照国家和省市规定的项目资金相关法律、法规的规定和要求，内部实现了专项资金统一归口管理，坚持专款专用，量入为出的原则，使项目资金按规定的用途使用并达到预期目的，严禁截留、挪用和不合理支出。完善财务和出差审批制度，专项资金使用制度等各项管理制度，积极配合纪检部门的监督检查。在项目实施过程中和项目完成后，本单位不定期地对项目资金的使用进行监督检查，厉行节俭，强化监管，确保项目资金管理规范，促进项目顺利实施。</w:t>
      </w:r>
    </w:p>
    <w:p>
      <w:pPr>
        <w:pStyle w:val="2"/>
        <w:keepNext w:val="0"/>
        <w:keepLines w:val="0"/>
        <w:pageBreakBefore w:val="0"/>
        <w:widowControl w:val="0"/>
        <w:kinsoku/>
        <w:wordWrap/>
        <w:overflowPunct/>
        <w:topLinePunct w:val="0"/>
        <w:bidi w:val="0"/>
        <w:adjustRightInd/>
        <w:spacing w:line="579" w:lineRule="exact"/>
        <w:ind w:firstLine="640" w:firstLineChars="200"/>
        <w:jc w:val="left"/>
        <w:textAlignment w:val="auto"/>
        <w:rPr>
          <w:lang w:eastAsia="zh-CN"/>
        </w:rPr>
      </w:pPr>
      <w:r>
        <w:rPr>
          <w:rFonts w:hint="eastAsia"/>
          <w:highlight w:val="none"/>
          <w:lang w:eastAsia="zh-CN"/>
        </w:rPr>
        <w:t>2</w:t>
      </w:r>
      <w:r>
        <w:rPr>
          <w:highlight w:val="none"/>
          <w:lang w:eastAsia="zh-CN"/>
        </w:rPr>
        <w:t>02</w:t>
      </w:r>
      <w:r>
        <w:rPr>
          <w:rFonts w:hint="default"/>
          <w:highlight w:val="none"/>
          <w:lang w:val="en-US" w:eastAsia="zh-CN"/>
        </w:rPr>
        <w:t>4</w:t>
      </w:r>
      <w:r>
        <w:rPr>
          <w:rFonts w:hint="eastAsia"/>
          <w:highlight w:val="none"/>
          <w:lang w:eastAsia="zh-CN"/>
        </w:rPr>
        <w:t>年预算项目支出总计</w:t>
      </w:r>
      <w:r>
        <w:rPr>
          <w:rFonts w:hint="default"/>
          <w:highlight w:val="none"/>
          <w:lang w:val="en-US" w:eastAsia="zh-CN"/>
        </w:rPr>
        <w:t>7929.19</w:t>
      </w:r>
      <w:r>
        <w:rPr>
          <w:rFonts w:hint="eastAsia"/>
          <w:highlight w:val="none"/>
          <w:lang w:eastAsia="zh-CN"/>
        </w:rPr>
        <w:t>万元，自评得分9</w:t>
      </w:r>
      <w:r>
        <w:rPr>
          <w:highlight w:val="none"/>
          <w:lang w:eastAsia="zh-CN"/>
        </w:rPr>
        <w:t>0</w:t>
      </w:r>
      <w:r>
        <w:rPr>
          <w:rFonts w:hint="eastAsia"/>
          <w:highlight w:val="none"/>
          <w:lang w:eastAsia="zh-CN"/>
        </w:rPr>
        <w:t>分以上的</w:t>
      </w:r>
      <w:r>
        <w:rPr>
          <w:rFonts w:hint="default"/>
          <w:highlight w:val="none"/>
          <w:lang w:val="en-US" w:eastAsia="zh-CN"/>
        </w:rPr>
        <w:t>72</w:t>
      </w:r>
      <w:r>
        <w:rPr>
          <w:rFonts w:hint="eastAsia"/>
          <w:highlight w:val="none"/>
          <w:lang w:eastAsia="zh-CN"/>
        </w:rPr>
        <w:t>个，得分6</w:t>
      </w:r>
      <w:r>
        <w:rPr>
          <w:highlight w:val="none"/>
          <w:lang w:eastAsia="zh-CN"/>
        </w:rPr>
        <w:t>0</w:t>
      </w:r>
      <w:r>
        <w:rPr>
          <w:rFonts w:hint="eastAsia"/>
          <w:highlight w:val="none"/>
          <w:lang w:eastAsia="zh-CN"/>
        </w:rPr>
        <w:t>至</w:t>
      </w:r>
      <w:r>
        <w:rPr>
          <w:rFonts w:hint="default"/>
          <w:highlight w:val="none"/>
          <w:lang w:val="en-US" w:eastAsia="zh-CN"/>
        </w:rPr>
        <w:t>90</w:t>
      </w:r>
      <w:r>
        <w:rPr>
          <w:rFonts w:hint="eastAsia"/>
          <w:highlight w:val="none"/>
          <w:lang w:val="en-US" w:eastAsia="zh-CN"/>
        </w:rPr>
        <w:t>分</w:t>
      </w:r>
      <w:r>
        <w:rPr>
          <w:rFonts w:hint="eastAsia"/>
          <w:highlight w:val="none"/>
          <w:lang w:eastAsia="zh-CN"/>
        </w:rPr>
        <w:t>项目</w:t>
      </w:r>
      <w:r>
        <w:rPr>
          <w:rFonts w:hint="default"/>
          <w:highlight w:val="none"/>
          <w:lang w:val="en-US" w:eastAsia="zh-CN"/>
        </w:rPr>
        <w:t>0</w:t>
      </w:r>
      <w:r>
        <w:rPr>
          <w:rFonts w:hint="eastAsia"/>
          <w:highlight w:val="none"/>
          <w:lang w:eastAsia="zh-CN"/>
        </w:rPr>
        <w:t>个，</w:t>
      </w:r>
      <w:r>
        <w:rPr>
          <w:rFonts w:hint="default"/>
          <w:highlight w:val="none"/>
          <w:lang w:val="en-US" w:eastAsia="zh-CN"/>
        </w:rPr>
        <w:t>60</w:t>
      </w:r>
      <w:r>
        <w:rPr>
          <w:rFonts w:hint="eastAsia"/>
          <w:highlight w:val="none"/>
          <w:lang w:val="en-US" w:eastAsia="zh-CN"/>
        </w:rPr>
        <w:t>分以下项目</w:t>
      </w:r>
      <w:r>
        <w:rPr>
          <w:rFonts w:hint="default"/>
          <w:highlight w:val="none"/>
          <w:lang w:val="en-US" w:eastAsia="zh-CN"/>
        </w:rPr>
        <w:t>0</w:t>
      </w:r>
      <w:r>
        <w:rPr>
          <w:rFonts w:hint="eastAsia"/>
          <w:highlight w:val="none"/>
          <w:lang w:val="en-US" w:eastAsia="zh-CN"/>
        </w:rPr>
        <w:t>个</w:t>
      </w:r>
      <w:r>
        <w:rPr>
          <w:rFonts w:hint="eastAsia"/>
          <w:highlight w:val="none"/>
          <w:lang w:eastAsia="zh-CN"/>
        </w:rPr>
        <w:t>。其</w:t>
      </w:r>
      <w:r>
        <w:rPr>
          <w:rFonts w:hint="eastAsia"/>
          <w:lang w:eastAsia="zh-CN"/>
        </w:rPr>
        <w:t>中，抽查项目</w:t>
      </w:r>
      <w:r>
        <w:rPr>
          <w:rFonts w:hint="default"/>
          <w:lang w:val="en-US" w:eastAsia="zh-CN"/>
        </w:rPr>
        <w:t>5</w:t>
      </w:r>
      <w:r>
        <w:rPr>
          <w:rFonts w:hint="eastAsia"/>
          <w:lang w:eastAsia="zh-CN"/>
        </w:rPr>
        <w:t>个，分别是优抚对象补助经费、退役安置补助经费、退役军人综合事务工作经费、优抚对象医疗保障经费、人武部营院改造工程项目</w:t>
      </w:r>
      <w:r>
        <w:rPr>
          <w:rFonts w:hint="eastAsia"/>
          <w:lang w:val="en-US" w:eastAsia="zh-CN"/>
        </w:rPr>
        <w:t>资金</w:t>
      </w:r>
      <w:r>
        <w:rPr>
          <w:rFonts w:hint="eastAsia"/>
          <w:lang w:eastAsia="zh-CN"/>
        </w:rPr>
        <w:t>。</w:t>
      </w:r>
    </w:p>
    <w:p>
      <w:pPr>
        <w:keepNext w:val="0"/>
        <w:keepLines w:val="0"/>
        <w:pageBreakBefore w:val="0"/>
        <w:widowControl w:val="0"/>
        <w:kinsoku/>
        <w:wordWrap/>
        <w:overflowPunct/>
        <w:topLinePunct w:val="0"/>
        <w:bidi w:val="0"/>
        <w:adjustRightInd/>
        <w:spacing w:line="579" w:lineRule="exact"/>
        <w:ind w:firstLine="645"/>
        <w:textAlignment w:val="auto"/>
        <w:rPr>
          <w:rFonts w:ascii="仿宋_GB2312" w:hAnsi="黑体" w:eastAsia="仿宋_GB2312"/>
          <w:sz w:val="32"/>
          <w:szCs w:val="32"/>
          <w:lang w:eastAsia="zh-CN"/>
        </w:rPr>
      </w:pPr>
      <w:r>
        <w:rPr>
          <w:rFonts w:hint="eastAsia" w:ascii="仿宋_GB2312" w:hAnsi="黑体" w:eastAsia="仿宋_GB2312"/>
          <w:sz w:val="32"/>
          <w:szCs w:val="32"/>
          <w:lang w:eastAsia="zh-CN"/>
        </w:rPr>
        <w:t>项目一优抚对象补助资金为徐水区优抚对象发放抚恤补助保障了全区优抚对象</w:t>
      </w:r>
      <w:r>
        <w:rPr>
          <w:rFonts w:hint="eastAsia" w:ascii="仿宋_GB2312" w:hAnsi="黑体" w:eastAsia="仿宋_GB2312"/>
          <w:sz w:val="32"/>
          <w:szCs w:val="32"/>
          <w:lang w:val="en-US" w:eastAsia="zh-CN"/>
        </w:rPr>
        <w:t>的</w:t>
      </w:r>
      <w:r>
        <w:rPr>
          <w:rFonts w:hint="eastAsia" w:ascii="仿宋_GB2312" w:hAnsi="黑体" w:eastAsia="仿宋_GB2312"/>
          <w:sz w:val="32"/>
          <w:szCs w:val="32"/>
          <w:lang w:eastAsia="zh-CN"/>
        </w:rPr>
        <w:t>基本生活。</w:t>
      </w:r>
    </w:p>
    <w:p>
      <w:pPr>
        <w:pStyle w:val="2"/>
        <w:keepNext w:val="0"/>
        <w:keepLines w:val="0"/>
        <w:pageBreakBefore w:val="0"/>
        <w:widowControl w:val="0"/>
        <w:kinsoku/>
        <w:wordWrap/>
        <w:overflowPunct/>
        <w:topLinePunct w:val="0"/>
        <w:bidi w:val="0"/>
        <w:adjustRightInd/>
        <w:spacing w:line="579" w:lineRule="exact"/>
        <w:ind w:firstLine="645"/>
        <w:jc w:val="left"/>
        <w:textAlignment w:val="auto"/>
        <w:rPr>
          <w:rFonts w:hint="default"/>
          <w:highlight w:val="none"/>
          <w:lang w:val="en-US" w:eastAsia="zh-CN"/>
        </w:rPr>
      </w:pPr>
      <w:r>
        <w:rPr>
          <w:rFonts w:hint="eastAsia"/>
          <w:lang w:eastAsia="zh-CN"/>
        </w:rPr>
        <w:t>项目二退役安置补助经费，项目实施发放军队离退休人员离退休费、</w:t>
      </w:r>
      <w:r>
        <w:rPr>
          <w:rFonts w:hint="eastAsia"/>
          <w:lang w:val="en-US" w:eastAsia="zh-CN"/>
        </w:rPr>
        <w:t>发放退役士兵一次性经济补助金、</w:t>
      </w:r>
      <w:r>
        <w:rPr>
          <w:rFonts w:hint="eastAsia"/>
          <w:highlight w:val="none"/>
          <w:lang w:val="en-US" w:eastAsia="zh-CN"/>
        </w:rPr>
        <w:t>为接收符合政府安排工作条件的退役士兵接续保险资金及企业军转干解困资金的发放，以上人员均按标准发放，保障率</w:t>
      </w:r>
      <w:r>
        <w:rPr>
          <w:rFonts w:hint="default"/>
          <w:highlight w:val="none"/>
          <w:lang w:val="en-US" w:eastAsia="zh-CN"/>
        </w:rPr>
        <w:t>100%</w:t>
      </w:r>
      <w:r>
        <w:rPr>
          <w:rFonts w:hint="eastAsia"/>
          <w:highlight w:val="none"/>
          <w:lang w:val="en-US" w:eastAsia="zh-CN"/>
        </w:rPr>
        <w:t>。</w:t>
      </w:r>
    </w:p>
    <w:p>
      <w:pPr>
        <w:keepNext w:val="0"/>
        <w:keepLines w:val="0"/>
        <w:pageBreakBefore w:val="0"/>
        <w:widowControl w:val="0"/>
        <w:kinsoku/>
        <w:wordWrap/>
        <w:overflowPunct/>
        <w:topLinePunct w:val="0"/>
        <w:bidi w:val="0"/>
        <w:adjustRightInd/>
        <w:spacing w:line="579" w:lineRule="exact"/>
        <w:ind w:firstLine="640"/>
        <w:textAlignment w:val="auto"/>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eastAsia="zh-CN"/>
        </w:rPr>
        <w:t>项目三退役军人综合事务工作经费，用于保障劳务派遣人员基本工资，维持机构正常运转，项目实施顺利，服务对象满意率1</w:t>
      </w:r>
      <w:r>
        <w:rPr>
          <w:rFonts w:ascii="仿宋_GB2312" w:hAnsi="黑体" w:eastAsia="仿宋_GB2312"/>
          <w:sz w:val="32"/>
          <w:szCs w:val="32"/>
          <w:highlight w:val="none"/>
          <w:lang w:eastAsia="zh-CN"/>
        </w:rPr>
        <w:t>00</w:t>
      </w:r>
      <w:r>
        <w:rPr>
          <w:rFonts w:hint="eastAsia" w:ascii="仿宋_GB2312" w:hAnsi="黑体"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仿宋_GB2312" w:hAnsi="黑体" w:eastAsia="仿宋_GB2312" w:cs="宋体"/>
          <w:sz w:val="32"/>
          <w:szCs w:val="32"/>
          <w:highlight w:val="none"/>
          <w:lang w:val="en-US" w:eastAsia="zh-CN" w:bidi="ar-SA"/>
        </w:rPr>
      </w:pPr>
      <w:r>
        <w:rPr>
          <w:rFonts w:hint="eastAsia" w:ascii="仿宋_GB2312" w:hAnsi="黑体" w:eastAsia="仿宋_GB2312" w:cs="宋体"/>
          <w:sz w:val="32"/>
          <w:szCs w:val="32"/>
          <w:highlight w:val="none"/>
          <w:lang w:val="en-US" w:eastAsia="zh-CN" w:bidi="ar-SA"/>
        </w:rPr>
        <w:t>项目四优抚对象医疗保障经费，基本情况为</w:t>
      </w:r>
      <w:r>
        <w:rPr>
          <w:rFonts w:hint="default" w:ascii="仿宋_GB2312" w:hAnsi="黑体" w:eastAsia="仿宋_GB2312" w:cs="宋体"/>
          <w:sz w:val="32"/>
          <w:szCs w:val="32"/>
          <w:highlight w:val="none"/>
          <w:lang w:val="en-US" w:eastAsia="zh-CN" w:bidi="ar-SA"/>
        </w:rPr>
        <w:t>1-6</w:t>
      </w:r>
      <w:r>
        <w:rPr>
          <w:rFonts w:hint="eastAsia" w:ascii="仿宋_GB2312" w:hAnsi="黑体" w:eastAsia="仿宋_GB2312" w:cs="宋体"/>
          <w:sz w:val="32"/>
          <w:szCs w:val="32"/>
          <w:highlight w:val="none"/>
          <w:lang w:val="en-US" w:eastAsia="zh-CN" w:bidi="ar-SA"/>
        </w:rPr>
        <w:t>级伤残军人缴纳城镇职工医疗保险、发放重点优抚对象医疗补助资金优抚对象基本医疗得到有效保障。</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default" w:ascii="仿宋_GB2312" w:hAnsi="黑体" w:eastAsia="仿宋_GB2312" w:cs="宋体"/>
          <w:sz w:val="32"/>
          <w:szCs w:val="32"/>
          <w:highlight w:val="none"/>
          <w:lang w:val="en-US" w:eastAsia="zh-CN" w:bidi="ar-SA"/>
        </w:rPr>
      </w:pPr>
      <w:r>
        <w:rPr>
          <w:rFonts w:hint="eastAsia" w:ascii="仿宋_GB2312" w:hAnsi="黑体" w:eastAsia="仿宋_GB2312" w:cs="宋体"/>
          <w:sz w:val="32"/>
          <w:szCs w:val="32"/>
          <w:highlight w:val="none"/>
          <w:lang w:val="en-US" w:eastAsia="zh-CN" w:bidi="ar-SA"/>
        </w:rPr>
        <w:t>项目五人武部营院改造工程项目，主要是对人武部办公楼外墙进行整修、门窗改造等房间改造，确保更好的为现役及退役人员服务，办公条件达到规定要求。</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二、绩效目标实现情况</w:t>
      </w:r>
    </w:p>
    <w:p>
      <w:pPr>
        <w:pStyle w:val="2"/>
        <w:keepNext w:val="0"/>
        <w:keepLines w:val="0"/>
        <w:pageBreakBefore w:val="0"/>
        <w:widowControl w:val="0"/>
        <w:kinsoku/>
        <w:wordWrap/>
        <w:overflowPunct/>
        <w:topLinePunct w:val="0"/>
        <w:bidi w:val="0"/>
        <w:adjustRightInd/>
        <w:spacing w:line="579" w:lineRule="exact"/>
        <w:ind w:firstLine="640" w:firstLineChars="200"/>
        <w:jc w:val="left"/>
        <w:textAlignment w:val="auto"/>
        <w:rPr>
          <w:lang w:eastAsia="zh-CN"/>
        </w:rPr>
      </w:pPr>
      <w:r>
        <w:rPr>
          <w:rFonts w:hint="eastAsia"/>
          <w:lang w:eastAsia="zh-CN"/>
        </w:rPr>
        <w:t>2</w:t>
      </w:r>
      <w:r>
        <w:rPr>
          <w:lang w:eastAsia="zh-CN"/>
        </w:rPr>
        <w:t>02</w:t>
      </w:r>
      <w:r>
        <w:rPr>
          <w:rFonts w:hint="default"/>
          <w:lang w:val="en-US" w:eastAsia="zh-CN"/>
        </w:rPr>
        <w:t>4</w:t>
      </w:r>
      <w:r>
        <w:rPr>
          <w:rFonts w:hint="eastAsia"/>
          <w:lang w:eastAsia="zh-CN"/>
        </w:rPr>
        <w:t>年</w:t>
      </w:r>
      <w:bookmarkStart w:id="0" w:name="_GoBack"/>
      <w:bookmarkEnd w:id="0"/>
      <w:r>
        <w:rPr>
          <w:rFonts w:hint="eastAsia"/>
          <w:lang w:eastAsia="zh-CN"/>
        </w:rPr>
        <w:t>预算项目全部按既定绩效目标实施，自评得分均在9</w:t>
      </w:r>
      <w:r>
        <w:rPr>
          <w:lang w:eastAsia="zh-CN"/>
        </w:rPr>
        <w:t>0</w:t>
      </w:r>
      <w:r>
        <w:rPr>
          <w:rFonts w:hint="eastAsia"/>
          <w:lang w:eastAsia="zh-CN"/>
        </w:rPr>
        <w:t>分以上，全部预算项目绩效指标完成率</w:t>
      </w:r>
      <w:r>
        <w:rPr>
          <w:rFonts w:hint="default"/>
          <w:lang w:val="en-US" w:eastAsia="zh-CN"/>
        </w:rPr>
        <w:t>100</w:t>
      </w:r>
      <w:r>
        <w:rPr>
          <w:rFonts w:hint="eastAsia"/>
          <w:lang w:eastAsia="zh-CN"/>
        </w:rPr>
        <w:t>%，绩效目标全部完成，获得了较好的社会效益。</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ascii="Times New Roman" w:hAnsi="Times New Roman" w:eastAsia="黑体" w:cs="黑体"/>
          <w:sz w:val="32"/>
          <w:szCs w:val="32"/>
          <w:highlight w:val="none"/>
          <w:lang w:eastAsia="zh-CN"/>
        </w:rPr>
      </w:pPr>
      <w:r>
        <w:rPr>
          <w:rFonts w:hint="eastAsia" w:ascii="Times New Roman" w:hAnsi="Times New Roman" w:eastAsia="黑体" w:cs="黑体"/>
          <w:sz w:val="32"/>
          <w:szCs w:val="32"/>
          <w:highlight w:val="none"/>
          <w:lang w:eastAsia="zh-CN"/>
        </w:rPr>
        <w:t>三、绩效目标设定质量情况</w:t>
      </w:r>
    </w:p>
    <w:p>
      <w:pPr>
        <w:pStyle w:val="2"/>
        <w:keepNext w:val="0"/>
        <w:keepLines w:val="0"/>
        <w:pageBreakBefore w:val="0"/>
        <w:widowControl w:val="0"/>
        <w:kinsoku/>
        <w:wordWrap/>
        <w:overflowPunct/>
        <w:topLinePunct w:val="0"/>
        <w:bidi w:val="0"/>
        <w:adjustRightInd/>
        <w:spacing w:line="579" w:lineRule="exact"/>
        <w:jc w:val="left"/>
        <w:textAlignment w:val="auto"/>
        <w:rPr>
          <w:rFonts w:hint="eastAsia"/>
          <w:lang w:eastAsia="zh-CN"/>
        </w:rPr>
      </w:pPr>
      <w:r>
        <w:rPr>
          <w:rFonts w:hint="eastAsia"/>
          <w:lang w:eastAsia="zh-CN"/>
        </w:rPr>
        <w:t xml:space="preserve"> </w:t>
      </w:r>
      <w:r>
        <w:rPr>
          <w:lang w:eastAsia="zh-CN"/>
        </w:rPr>
        <w:t xml:space="preserve">   </w:t>
      </w:r>
      <w:r>
        <w:rPr>
          <w:rFonts w:hint="eastAsia"/>
          <w:lang w:eastAsia="zh-CN"/>
        </w:rPr>
        <w:t>充分应用财政共性绩效目标框架和部门绩效目标体系建设成果，分析部门预算绩效管理需求和短板，明确绩效目标体系建设及范围。建立分工明确、协同高效的工作机制，搭建行业特点明显、履职目标清晰、重点工作突出的本行业、本领域预算绩效目标体系。结合部门核心职能、重点工作内容及资金支出方向等设置绩效目标。其中，部门整体支出绩效目标分为中长期目标和预算年度目标，根据部门事业发展中长期规划设定部门中长期整体支出绩效目标，突出分年度工作重点和任务，根据部门年度计划设定年度绩效目标。绩效目标能清晰反映预算资金的预计产出、效果和满意度，并与部门行业规划、职能职责、项目工作重点、支出内容等相匹配。项目按既定目标实施，绩效指标全部实现。</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ascii="Times New Roman" w:hAnsi="Times New Roman" w:eastAsia="黑体" w:cs="黑体"/>
          <w:sz w:val="32"/>
          <w:szCs w:val="32"/>
          <w:lang w:eastAsia="zh-CN"/>
        </w:rPr>
      </w:pPr>
      <w:r>
        <w:rPr>
          <w:rFonts w:hint="eastAsia" w:ascii="Times New Roman" w:hAnsi="Times New Roman" w:eastAsia="黑体" w:cs="黑体"/>
          <w:sz w:val="32"/>
          <w:szCs w:val="32"/>
          <w:lang w:eastAsia="zh-CN"/>
        </w:rPr>
        <w:t>四、整改措施及结果应用</w:t>
      </w:r>
    </w:p>
    <w:p>
      <w:pPr>
        <w:keepNext w:val="0"/>
        <w:keepLines w:val="0"/>
        <w:pageBreakBefore w:val="0"/>
        <w:widowControl w:val="0"/>
        <w:kinsoku/>
        <w:wordWrap/>
        <w:overflowPunct/>
        <w:topLinePunct w:val="0"/>
        <w:bidi w:val="0"/>
        <w:adjustRightInd/>
        <w:spacing w:line="579" w:lineRule="exact"/>
        <w:ind w:firstLine="640" w:firstLineChars="200"/>
        <w:textAlignment w:val="auto"/>
        <w:rPr>
          <w:rFonts w:ascii="仿宋_GB2312" w:hAnsi="黑体" w:eastAsia="仿宋_GB2312"/>
          <w:sz w:val="32"/>
          <w:szCs w:val="32"/>
          <w:lang w:eastAsia="zh-CN"/>
        </w:rPr>
      </w:pPr>
      <w:r>
        <w:rPr>
          <w:rFonts w:hint="eastAsia" w:ascii="仿宋_GB2312" w:hAnsi="黑体" w:eastAsia="仿宋_GB2312"/>
          <w:sz w:val="32"/>
          <w:szCs w:val="32"/>
          <w:lang w:eastAsia="zh-CN"/>
        </w:rPr>
        <w:t>为落实好项目进度和资金使用，我单位不定期地对项目实施情况和经费使用情况进行跟踪检查，对能实现预期绩效目标的项目予以充分肯定，对进展缓慢，预期绩效目标较差的项目，及时进行协调，提出整改措施，确保项目正常运行，达到预期绩效目标。</w:t>
      </w:r>
    </w:p>
    <w:p>
      <w:pPr>
        <w:keepNext w:val="0"/>
        <w:keepLines w:val="0"/>
        <w:pageBreakBefore w:val="0"/>
        <w:widowControl w:val="0"/>
        <w:kinsoku/>
        <w:wordWrap/>
        <w:overflowPunct/>
        <w:topLinePunct w:val="0"/>
        <w:bidi w:val="0"/>
        <w:adjustRightInd/>
        <w:spacing w:line="579" w:lineRule="exact"/>
        <w:ind w:firstLine="640" w:firstLineChars="200"/>
        <w:textAlignment w:val="auto"/>
        <w:rPr>
          <w:rFonts w:ascii="仿宋_GB2312" w:hAnsi="黑体" w:eastAsia="仿宋_GB2312"/>
          <w:sz w:val="32"/>
          <w:szCs w:val="32"/>
          <w:lang w:eastAsia="zh-CN"/>
        </w:rPr>
      </w:pPr>
      <w:r>
        <w:rPr>
          <w:rFonts w:hint="eastAsia" w:ascii="仿宋_GB2312" w:hAnsi="黑体" w:eastAsia="仿宋_GB2312"/>
          <w:sz w:val="32"/>
          <w:szCs w:val="32"/>
          <w:lang w:eastAsia="zh-CN"/>
        </w:rPr>
        <w:t>（一）</w:t>
      </w:r>
      <w:r>
        <w:rPr>
          <w:rFonts w:ascii="仿宋_GB2312" w:hAnsi="黑体" w:eastAsia="仿宋_GB2312"/>
          <w:sz w:val="32"/>
          <w:szCs w:val="32"/>
          <w:lang w:eastAsia="zh-CN"/>
        </w:rPr>
        <w:t xml:space="preserve"> 进一步健全和完善财务管理制度及内部控制制度，创新管理手段，用新思路、新方法，改进完善财务管理方法。</w:t>
      </w:r>
    </w:p>
    <w:p>
      <w:pPr>
        <w:keepNext w:val="0"/>
        <w:keepLines w:val="0"/>
        <w:pageBreakBefore w:val="0"/>
        <w:widowControl w:val="0"/>
        <w:kinsoku/>
        <w:wordWrap/>
        <w:overflowPunct/>
        <w:topLinePunct w:val="0"/>
        <w:bidi w:val="0"/>
        <w:adjustRightInd/>
        <w:spacing w:line="579" w:lineRule="exact"/>
        <w:ind w:firstLine="640" w:firstLineChars="200"/>
        <w:textAlignment w:val="auto"/>
        <w:rPr>
          <w:rFonts w:ascii="仿宋_GB2312" w:hAnsi="黑体" w:eastAsia="仿宋_GB2312"/>
          <w:sz w:val="32"/>
          <w:szCs w:val="32"/>
          <w:lang w:eastAsia="zh-CN"/>
        </w:rPr>
      </w:pPr>
      <w:r>
        <w:rPr>
          <w:rFonts w:hint="eastAsia" w:ascii="仿宋_GB2312" w:hAnsi="黑体" w:eastAsia="仿宋_GB2312"/>
          <w:sz w:val="32"/>
          <w:szCs w:val="32"/>
          <w:lang w:eastAsia="zh-CN"/>
        </w:rPr>
        <w:t>（二）</w:t>
      </w:r>
      <w:r>
        <w:rPr>
          <w:rFonts w:ascii="仿宋_GB2312" w:hAnsi="黑体" w:eastAsia="仿宋_GB2312"/>
          <w:sz w:val="32"/>
          <w:szCs w:val="32"/>
          <w:lang w:eastAsia="zh-CN"/>
        </w:rPr>
        <w:t xml:space="preserve"> 按照财政支出绩效管理的要求，建立科学的财政资金绩效考评体系，提高财政资金使用管理的水平和效率。</w:t>
      </w:r>
    </w:p>
    <w:p>
      <w:pPr>
        <w:pStyle w:val="2"/>
        <w:keepNext w:val="0"/>
        <w:keepLines w:val="0"/>
        <w:pageBreakBefore w:val="0"/>
        <w:widowControl w:val="0"/>
        <w:kinsoku/>
        <w:wordWrap/>
        <w:overflowPunct/>
        <w:topLinePunct w:val="0"/>
        <w:bidi w:val="0"/>
        <w:adjustRightInd/>
        <w:spacing w:line="579" w:lineRule="exact"/>
        <w:textAlignment w:val="auto"/>
        <w:rPr>
          <w:lang w:eastAsia="zh-CN"/>
        </w:rPr>
      </w:pPr>
    </w:p>
    <w:p>
      <w:pPr>
        <w:keepNext w:val="0"/>
        <w:keepLines w:val="0"/>
        <w:pageBreakBefore w:val="0"/>
        <w:widowControl w:val="0"/>
        <w:kinsoku/>
        <w:wordWrap/>
        <w:overflowPunct/>
        <w:topLinePunct w:val="0"/>
        <w:bidi w:val="0"/>
        <w:adjustRightInd/>
        <w:spacing w:line="579" w:lineRule="exact"/>
        <w:textAlignment w:val="auto"/>
        <w:rPr>
          <w:rFonts w:hint="eastAsia"/>
          <w:lang w:eastAsia="zh-CN"/>
        </w:rPr>
      </w:pPr>
    </w:p>
    <w:p>
      <w:pPr>
        <w:keepNext w:val="0"/>
        <w:keepLines w:val="0"/>
        <w:pageBreakBefore w:val="0"/>
        <w:widowControl w:val="0"/>
        <w:kinsoku/>
        <w:wordWrap/>
        <w:overflowPunct/>
        <w:topLinePunct w:val="0"/>
        <w:bidi w:val="0"/>
        <w:adjustRightInd/>
        <w:spacing w:line="579" w:lineRule="exact"/>
        <w:ind w:firstLine="4160" w:firstLineChars="1300"/>
        <w:textAlignment w:val="auto"/>
        <w:rPr>
          <w:rFonts w:ascii="仿宋_GB2312" w:hAnsi="黑体" w:eastAsia="仿宋_GB2312"/>
          <w:sz w:val="32"/>
          <w:szCs w:val="32"/>
          <w:lang w:eastAsia="zh-CN"/>
        </w:rPr>
      </w:pPr>
      <w:r>
        <w:rPr>
          <w:rFonts w:hint="eastAsia" w:ascii="仿宋_GB2312" w:hAnsi="黑体" w:eastAsia="仿宋_GB2312"/>
          <w:sz w:val="32"/>
          <w:szCs w:val="32"/>
          <w:lang w:eastAsia="zh-CN"/>
        </w:rPr>
        <w:t>保定市徐水区退役军人事务局</w:t>
      </w:r>
    </w:p>
    <w:p>
      <w:pPr>
        <w:pStyle w:val="2"/>
        <w:keepNext w:val="0"/>
        <w:keepLines w:val="0"/>
        <w:pageBreakBefore w:val="0"/>
        <w:widowControl w:val="0"/>
        <w:kinsoku/>
        <w:wordWrap/>
        <w:overflowPunct/>
        <w:topLinePunct w:val="0"/>
        <w:bidi w:val="0"/>
        <w:adjustRightInd/>
        <w:spacing w:line="579" w:lineRule="exact"/>
        <w:textAlignment w:val="auto"/>
        <w:rPr>
          <w:rFonts w:hint="eastAsia"/>
          <w:lang w:eastAsia="zh-CN"/>
        </w:rPr>
      </w:pPr>
      <w:r>
        <w:rPr>
          <w:lang w:eastAsia="zh-CN"/>
        </w:rPr>
        <w:t xml:space="preserve">                      </w:t>
      </w:r>
      <w:r>
        <w:rPr>
          <w:rFonts w:hint="eastAsia"/>
          <w:lang w:eastAsia="zh-CN"/>
        </w:rPr>
        <w:t>2</w:t>
      </w:r>
      <w:r>
        <w:rPr>
          <w:lang w:eastAsia="zh-CN"/>
        </w:rPr>
        <w:t>02</w:t>
      </w:r>
      <w:r>
        <w:rPr>
          <w:rFonts w:hint="default"/>
          <w:lang w:val="en-US" w:eastAsia="zh-CN"/>
        </w:rPr>
        <w:t>5</w:t>
      </w:r>
      <w:r>
        <w:rPr>
          <w:rFonts w:hint="eastAsia"/>
          <w:lang w:eastAsia="zh-CN"/>
        </w:rPr>
        <w:t>年3月</w:t>
      </w:r>
      <w:r>
        <w:rPr>
          <w:rFonts w:hint="default"/>
          <w:lang w:val="en-US" w:eastAsia="zh-CN"/>
        </w:rPr>
        <w:t>18</w:t>
      </w:r>
      <w:r>
        <w:rPr>
          <w:rFonts w:hint="eastAsia"/>
          <w:lang w:eastAsia="zh-CN"/>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4F4B"/>
    <w:rsid w:val="00002B38"/>
    <w:rsid w:val="000468D2"/>
    <w:rsid w:val="000830CC"/>
    <w:rsid w:val="002D741B"/>
    <w:rsid w:val="005052C6"/>
    <w:rsid w:val="006A55C1"/>
    <w:rsid w:val="006A7F21"/>
    <w:rsid w:val="006B1CE0"/>
    <w:rsid w:val="006F5B76"/>
    <w:rsid w:val="00727B7F"/>
    <w:rsid w:val="008215BE"/>
    <w:rsid w:val="009F4431"/>
    <w:rsid w:val="00CB3B98"/>
    <w:rsid w:val="00E82C8D"/>
    <w:rsid w:val="00EE00A4"/>
    <w:rsid w:val="00FD5420"/>
    <w:rsid w:val="00FE1644"/>
    <w:rsid w:val="02517638"/>
    <w:rsid w:val="04FA3988"/>
    <w:rsid w:val="06B84AB4"/>
    <w:rsid w:val="07296C77"/>
    <w:rsid w:val="07566903"/>
    <w:rsid w:val="082F670C"/>
    <w:rsid w:val="09827227"/>
    <w:rsid w:val="09F87D18"/>
    <w:rsid w:val="0AB3498E"/>
    <w:rsid w:val="0C781C35"/>
    <w:rsid w:val="0DBB1FEE"/>
    <w:rsid w:val="0E71252B"/>
    <w:rsid w:val="0EB6094D"/>
    <w:rsid w:val="0FFF454F"/>
    <w:rsid w:val="1368259F"/>
    <w:rsid w:val="14900ABE"/>
    <w:rsid w:val="15077DD6"/>
    <w:rsid w:val="16576DF9"/>
    <w:rsid w:val="170F6DEB"/>
    <w:rsid w:val="179170CB"/>
    <w:rsid w:val="19B73F1F"/>
    <w:rsid w:val="1C0B0C95"/>
    <w:rsid w:val="1C7B3312"/>
    <w:rsid w:val="1E3B5846"/>
    <w:rsid w:val="1E756CE4"/>
    <w:rsid w:val="20173620"/>
    <w:rsid w:val="20E40B36"/>
    <w:rsid w:val="23D41CBA"/>
    <w:rsid w:val="2481222B"/>
    <w:rsid w:val="251A47DA"/>
    <w:rsid w:val="25835379"/>
    <w:rsid w:val="26AC61A4"/>
    <w:rsid w:val="277E2B04"/>
    <w:rsid w:val="28D33B6B"/>
    <w:rsid w:val="2AB5756D"/>
    <w:rsid w:val="2B123D2D"/>
    <w:rsid w:val="2F5C18F3"/>
    <w:rsid w:val="2F870BAA"/>
    <w:rsid w:val="30843147"/>
    <w:rsid w:val="31C677C2"/>
    <w:rsid w:val="31E52D92"/>
    <w:rsid w:val="32483747"/>
    <w:rsid w:val="344632A0"/>
    <w:rsid w:val="34C22020"/>
    <w:rsid w:val="393128D0"/>
    <w:rsid w:val="39BB3B32"/>
    <w:rsid w:val="3B6E21DB"/>
    <w:rsid w:val="3B9572C1"/>
    <w:rsid w:val="3B9C2C96"/>
    <w:rsid w:val="410C2FF9"/>
    <w:rsid w:val="41DD03C3"/>
    <w:rsid w:val="434B3C33"/>
    <w:rsid w:val="43C75C12"/>
    <w:rsid w:val="441A7FCE"/>
    <w:rsid w:val="449A4B0C"/>
    <w:rsid w:val="47AC692F"/>
    <w:rsid w:val="4985267B"/>
    <w:rsid w:val="49FA7AB4"/>
    <w:rsid w:val="4A670598"/>
    <w:rsid w:val="4C83745C"/>
    <w:rsid w:val="4D8A4F4B"/>
    <w:rsid w:val="5210364D"/>
    <w:rsid w:val="53A2639F"/>
    <w:rsid w:val="56D80A30"/>
    <w:rsid w:val="5726016F"/>
    <w:rsid w:val="595400C3"/>
    <w:rsid w:val="5A4D0032"/>
    <w:rsid w:val="5BDC4D24"/>
    <w:rsid w:val="5D4D7F86"/>
    <w:rsid w:val="5DAD2FF0"/>
    <w:rsid w:val="5E5C79E5"/>
    <w:rsid w:val="5F3D0AA1"/>
    <w:rsid w:val="6051281A"/>
    <w:rsid w:val="60532223"/>
    <w:rsid w:val="61827D45"/>
    <w:rsid w:val="624E3003"/>
    <w:rsid w:val="631C4EAB"/>
    <w:rsid w:val="63387D49"/>
    <w:rsid w:val="63AE47EE"/>
    <w:rsid w:val="6AF4692A"/>
    <w:rsid w:val="6C53269C"/>
    <w:rsid w:val="6DA63669"/>
    <w:rsid w:val="70DB2959"/>
    <w:rsid w:val="7181100F"/>
    <w:rsid w:val="7184234C"/>
    <w:rsid w:val="71BA2DFA"/>
    <w:rsid w:val="72C10986"/>
    <w:rsid w:val="74E55170"/>
    <w:rsid w:val="75873D9A"/>
    <w:rsid w:val="793555D2"/>
    <w:rsid w:val="79D55713"/>
    <w:rsid w:val="7B7539F3"/>
    <w:rsid w:val="7DA40354"/>
    <w:rsid w:val="7F6C5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qFormat/>
    <w:uiPriority w:val="0"/>
    <w:pPr>
      <w:spacing w:line="560" w:lineRule="exact"/>
      <w:jc w:val="center"/>
    </w:pPr>
    <w:rPr>
      <w:rFonts w:ascii="仿宋_GB2312" w:hAnsi="黑体" w:eastAsia="仿宋_GB2312"/>
      <w:sz w:val="32"/>
      <w:szCs w:val="32"/>
    </w:rPr>
  </w:style>
  <w:style w:type="paragraph" w:styleId="3">
    <w:name w:val="Body Text"/>
    <w:basedOn w:val="1"/>
    <w:qFormat/>
    <w:uiPriority w:val="1"/>
    <w:rPr>
      <w:sz w:val="90"/>
      <w:szCs w:val="90"/>
    </w:rPr>
  </w:style>
  <w:style w:type="paragraph" w:styleId="4">
    <w:name w:val="footer"/>
    <w:basedOn w:val="1"/>
    <w:link w:val="9"/>
    <w:qFormat/>
    <w:uiPriority w:val="0"/>
    <w:pPr>
      <w:tabs>
        <w:tab w:val="center" w:pos="4153"/>
        <w:tab w:val="right" w:pos="8306"/>
      </w:tabs>
      <w:snapToGrid w:val="0"/>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宋体" w:hAnsi="宋体" w:eastAsia="宋体" w:cs="宋体"/>
      <w:sz w:val="18"/>
      <w:szCs w:val="18"/>
      <w:lang w:eastAsia="en-US"/>
    </w:rPr>
  </w:style>
  <w:style w:type="character" w:customStyle="1" w:styleId="9">
    <w:name w:val="页脚 字符"/>
    <w:basedOn w:val="7"/>
    <w:link w:val="4"/>
    <w:qFormat/>
    <w:uiPriority w:val="0"/>
    <w:rPr>
      <w:rFonts w:ascii="宋体" w:hAnsi="宋体" w:eastAsia="宋体" w:cs="宋体"/>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215</Words>
  <Characters>1231</Characters>
  <Lines>10</Lines>
  <Paragraphs>2</Paragraphs>
  <TotalTime>8</TotalTime>
  <ScaleCrop>false</ScaleCrop>
  <LinksUpToDate>false</LinksUpToDate>
  <CharactersWithSpaces>1444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user</dc:creator>
  <cp:lastModifiedBy>user</cp:lastModifiedBy>
  <cp:lastPrinted>2024-03-29T09:45:00Z</cp:lastPrinted>
  <dcterms:modified xsi:type="dcterms:W3CDTF">2025-11-18T05:20:06Z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93AA79E3E4564C9F9217D44C24FD8CE8</vt:lpwstr>
  </property>
</Properties>
</file>