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b/>
          <w:sz w:val="44"/>
          <w:szCs w:val="44"/>
        </w:rPr>
      </w:pPr>
      <w:r>
        <w:rPr>
          <w:rFonts w:hint="eastAsia" w:ascii="宋体" w:hAnsi="宋体" w:eastAsia="宋体"/>
          <w:b/>
          <w:sz w:val="44"/>
          <w:szCs w:val="44"/>
        </w:rPr>
        <w:t>保定市徐水区水利局</w:t>
      </w:r>
    </w:p>
    <w:p>
      <w:pPr>
        <w:spacing w:line="360" w:lineRule="auto"/>
        <w:jc w:val="center"/>
        <w:rPr>
          <w:rFonts w:ascii="宋体" w:hAnsi="宋体" w:eastAsia="宋体"/>
          <w:b/>
          <w:sz w:val="44"/>
          <w:szCs w:val="44"/>
        </w:rPr>
      </w:pPr>
      <w:r>
        <w:rPr>
          <w:rFonts w:ascii="宋体" w:hAnsi="宋体" w:eastAsia="宋体"/>
          <w:b/>
          <w:sz w:val="44"/>
          <w:szCs w:val="44"/>
        </w:rPr>
        <w:t>2021年部门预算公开说明</w:t>
      </w:r>
    </w:p>
    <w:p>
      <w:pPr>
        <w:tabs>
          <w:tab w:val="left" w:pos="5274"/>
        </w:tabs>
        <w:spacing w:line="360" w:lineRule="auto"/>
        <w:ind w:firstLine="640" w:firstLineChars="200"/>
        <w:rPr>
          <w:rFonts w:ascii="仿宋" w:hAnsi="仿宋" w:eastAsia="仿宋"/>
          <w:sz w:val="32"/>
          <w:szCs w:val="32"/>
        </w:rPr>
      </w:pPr>
      <w:r>
        <w:rPr>
          <w:rFonts w:ascii="仿宋" w:hAnsi="仿宋" w:eastAsia="仿宋"/>
          <w:sz w:val="32"/>
          <w:szCs w:val="32"/>
        </w:rPr>
        <w:tab/>
      </w:r>
    </w:p>
    <w:p>
      <w:pPr>
        <w:spacing w:line="360" w:lineRule="auto"/>
        <w:ind w:firstLine="640" w:firstLineChars="200"/>
        <w:rPr>
          <w:rFonts w:ascii="仿宋" w:hAnsi="仿宋" w:eastAsia="仿宋"/>
          <w:sz w:val="32"/>
          <w:szCs w:val="32"/>
        </w:rPr>
      </w:pPr>
      <w:r>
        <w:rPr>
          <w:rFonts w:hint="eastAsia" w:ascii="仿宋" w:hAnsi="仿宋" w:eastAsia="仿宋"/>
          <w:sz w:val="32"/>
          <w:szCs w:val="32"/>
        </w:rPr>
        <w:t>按照《中华人民共和国预算法》、《地方预决算公开操作规程》等文件规定，现将我部门预算信息公开如下：</w:t>
      </w:r>
    </w:p>
    <w:p>
      <w:pPr>
        <w:jc w:val="center"/>
        <w:outlineLvl w:val="0"/>
        <w:rPr>
          <w:rFonts w:ascii="方正小标宋_GBK" w:eastAsia="方正小标宋_GBK"/>
          <w:sz w:val="44"/>
        </w:rPr>
      </w:pPr>
      <w:r>
        <w:rPr>
          <w:rFonts w:hint="eastAsia" w:ascii="方正小标宋_GBK" w:eastAsia="方正小标宋_GBK"/>
          <w:sz w:val="44"/>
        </w:rPr>
        <w:t>第一部分</w:t>
      </w:r>
      <w:r>
        <w:rPr>
          <w:rFonts w:ascii="方正小标宋_GBK" w:eastAsia="方正小标宋_GBK"/>
          <w:sz w:val="44"/>
        </w:rPr>
        <w:t>:部门职责及机构设置情况</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一、部门职责</w:t>
      </w:r>
    </w:p>
    <w:p>
      <w:pPr>
        <w:spacing w:line="360" w:lineRule="auto"/>
        <w:ind w:firstLine="480" w:firstLineChars="150"/>
        <w:rPr>
          <w:rFonts w:ascii="仿宋" w:hAnsi="仿宋" w:eastAsia="仿宋" w:cs="Times New Roman"/>
          <w:sz w:val="32"/>
        </w:rPr>
      </w:pPr>
      <w:r>
        <w:rPr>
          <w:rFonts w:ascii="仿宋" w:hAnsi="仿宋" w:eastAsia="仿宋" w:cs="Times New Roman"/>
          <w:sz w:val="32"/>
        </w:rPr>
        <w:t>（1）负责拟订水利战略规划和政策，起草有关地方性法规、政府规章草案，组织编制全区水资源战略规划、重要江河湖泊流域综合规划、防洪规划等重大水利规划。</w:t>
      </w:r>
    </w:p>
    <w:p>
      <w:pPr>
        <w:spacing w:line="360" w:lineRule="auto"/>
        <w:ind w:firstLine="480" w:firstLineChars="150"/>
        <w:rPr>
          <w:rFonts w:ascii="仿宋" w:hAnsi="仿宋" w:eastAsia="仿宋" w:cs="Times New Roman"/>
          <w:sz w:val="32"/>
        </w:rPr>
      </w:pPr>
      <w:r>
        <w:rPr>
          <w:rFonts w:ascii="仿宋" w:hAnsi="仿宋" w:eastAsia="仿宋" w:cs="Times New Roman"/>
          <w:sz w:val="32"/>
        </w:rPr>
        <w:t>（2）负责生活、生产经营和生态环境用水的统筹和保障。组织实施最严格水资源管理制度，实施水资源的统一监督管理，拟订全区水中长期供求规划、水量分配方案并监督实施;负责重要流域、区域以及重大调水工程的水资源调度;组织实施取水许可、水资源论证和防洪论证制度，指导开展水资源有偿使用工作;指导水利行业供水和乡镇供水工作。</w:t>
      </w:r>
    </w:p>
    <w:p>
      <w:pPr>
        <w:spacing w:line="360" w:lineRule="auto"/>
        <w:ind w:firstLine="480" w:firstLineChars="150"/>
        <w:rPr>
          <w:rFonts w:ascii="仿宋" w:hAnsi="仿宋" w:eastAsia="仿宋" w:cs="Times New Roman"/>
          <w:sz w:val="32"/>
        </w:rPr>
      </w:pPr>
      <w:r>
        <w:rPr>
          <w:rFonts w:ascii="仿宋" w:hAnsi="仿宋" w:eastAsia="仿宋" w:cs="Times New Roman"/>
          <w:sz w:val="32"/>
        </w:rPr>
        <w:t>（3）按规定制定水利工程建设有关制度并组织实施，负责提出区级水利固定资产投资规模、方向、具体安排建议并组织指导实施，按权限审批、核准区规划内和年度计划规模内固定资产投资项目，提出区级水利资金安排建议并负责项目实施的监督管。</w:t>
      </w:r>
    </w:p>
    <w:p>
      <w:pPr>
        <w:spacing w:line="360" w:lineRule="auto"/>
        <w:ind w:firstLine="640" w:firstLineChars="200"/>
        <w:rPr>
          <w:rFonts w:ascii="仿宋" w:hAnsi="仿宋" w:eastAsia="仿宋" w:cs="Times New Roman"/>
          <w:sz w:val="32"/>
        </w:rPr>
      </w:pPr>
      <w:r>
        <w:rPr>
          <w:rFonts w:ascii="仿宋" w:hAnsi="仿宋" w:eastAsia="仿宋" w:cs="Times New Roman"/>
          <w:sz w:val="32"/>
        </w:rPr>
        <w:t>(4) 指导水资源保护工作;指导饮用水水源保护有关工作，指导地下水开发利用和地下水资源管理保护:组织指导地下水超采区综合治理。</w:t>
      </w:r>
    </w:p>
    <w:p>
      <w:pPr>
        <w:spacing w:line="360" w:lineRule="auto"/>
        <w:ind w:firstLine="640" w:firstLineChars="200"/>
        <w:rPr>
          <w:rFonts w:ascii="仿宋" w:hAnsi="仿宋" w:eastAsia="仿宋" w:cs="Times New Roman"/>
          <w:sz w:val="32"/>
        </w:rPr>
      </w:pPr>
      <w:r>
        <w:rPr>
          <w:rFonts w:ascii="仿宋" w:hAnsi="仿宋" w:eastAsia="仿宋" w:cs="Times New Roman"/>
          <w:sz w:val="32"/>
        </w:rPr>
        <w:t>(5)负责节约用水工作、拟订节约用水政策， 组织编制节约用水规划并监督实施，组织制定有关标准:组织实施用水总量控制等管理制度，指导和推动节水型社会建设工作。</w:t>
      </w:r>
    </w:p>
    <w:p>
      <w:pPr>
        <w:spacing w:line="360" w:lineRule="auto"/>
        <w:ind w:firstLine="480" w:firstLineChars="150"/>
        <w:rPr>
          <w:rFonts w:ascii="仿宋" w:hAnsi="仿宋" w:eastAsia="仿宋" w:cs="Times New Roman"/>
          <w:sz w:val="32"/>
        </w:rPr>
      </w:pPr>
      <w:r>
        <w:rPr>
          <w:rFonts w:ascii="仿宋" w:hAnsi="仿宋" w:eastAsia="仿宋" w:cs="Times New Roman"/>
          <w:sz w:val="32"/>
        </w:rPr>
        <w:t>（6）负责水利设施，水域及其岸线的管理，保护与综合利用。组织指导水利基础设施网络建设:指导重要江河湖泊及河口的治理、开发和保护;指导河湖水生态保护与修复、河湖生态流量水量管理以及河湖水系连通工作。</w:t>
      </w:r>
    </w:p>
    <w:p>
      <w:pPr>
        <w:spacing w:line="360" w:lineRule="auto"/>
        <w:ind w:firstLine="480" w:firstLineChars="150"/>
        <w:rPr>
          <w:rFonts w:ascii="仿宋" w:hAnsi="仿宋" w:eastAsia="仿宋" w:cs="Times New Roman"/>
          <w:sz w:val="32"/>
        </w:rPr>
      </w:pPr>
      <w:r>
        <w:rPr>
          <w:rFonts w:ascii="仿宋" w:hAnsi="仿宋" w:eastAsia="仿宋" w:cs="Times New Roman"/>
          <w:sz w:val="32"/>
        </w:rPr>
        <w:t>（7）组织实施监督水利工程建设与运行管理、组织实施具有控制性的和跨区域跨流域的重要水利工程建设与运行管理。</w:t>
      </w:r>
    </w:p>
    <w:p>
      <w:pPr>
        <w:spacing w:line="360" w:lineRule="auto"/>
        <w:ind w:firstLine="640" w:firstLineChars="200"/>
        <w:rPr>
          <w:rFonts w:ascii="仿宋" w:hAnsi="仿宋" w:eastAsia="仿宋" w:cs="Times New Roman"/>
          <w:sz w:val="32"/>
        </w:rPr>
      </w:pPr>
      <w:r>
        <w:rPr>
          <w:rFonts w:ascii="仿宋" w:hAnsi="仿宋" w:eastAsia="仿宋" w:cs="Times New Roman"/>
          <w:sz w:val="32"/>
        </w:rPr>
        <w:t>(8)负责水土保持工作。拟订水土保持规划并监督实施，组织实施水土流失的综合防治、监测预报并定期公告:负责建设项目水土保持监督管理工作，指导重点水土保持建设项目的实施;负责职业卫生的监督管理工作。</w:t>
      </w:r>
    </w:p>
    <w:p>
      <w:pPr>
        <w:spacing w:line="360" w:lineRule="auto"/>
        <w:ind w:firstLine="640" w:firstLineChars="200"/>
        <w:rPr>
          <w:rFonts w:ascii="仿宋" w:hAnsi="仿宋" w:eastAsia="仿宋" w:cs="Times New Roman"/>
          <w:sz w:val="32"/>
        </w:rPr>
      </w:pPr>
      <w:r>
        <w:rPr>
          <w:rFonts w:ascii="仿宋" w:hAnsi="仿宋" w:eastAsia="仿宋" w:cs="Times New Roman"/>
          <w:sz w:val="32"/>
        </w:rPr>
        <w:t>(9)指导农村水利工作。组织开展大中型灌排工程建设与改造;指导农村饮水安全工程建设管理工作:指导农村水能资源开发工作。</w:t>
      </w:r>
      <w:r>
        <w:rPr>
          <w:rFonts w:hint="eastAsia" w:ascii="仿宋" w:hAnsi="仿宋" w:eastAsia="仿宋" w:cs="Times New Roman"/>
          <w:sz w:val="32"/>
        </w:rPr>
        <w:t xml:space="preserve">   </w:t>
      </w:r>
    </w:p>
    <w:p>
      <w:pPr>
        <w:spacing w:line="360" w:lineRule="auto"/>
        <w:ind w:firstLine="480" w:firstLineChars="150"/>
        <w:rPr>
          <w:rFonts w:ascii="仿宋" w:hAnsi="仿宋" w:eastAsia="仿宋" w:cs="Times New Roman"/>
          <w:sz w:val="32"/>
        </w:rPr>
      </w:pPr>
      <w:r>
        <w:rPr>
          <w:rFonts w:ascii="仿宋" w:hAnsi="仿宋" w:eastAsia="仿宋" w:cs="Times New Roman"/>
          <w:sz w:val="32"/>
        </w:rPr>
        <w:t>（10）负责水库工程移民管理工作。拟订水库工程移民有关政策并监督实施，组织实施移民安置验收、监督评估等制度;指导监督水库穆民后规扶持政策的实施。</w:t>
      </w:r>
    </w:p>
    <w:p>
      <w:pPr>
        <w:spacing w:line="360" w:lineRule="auto"/>
        <w:ind w:firstLine="480" w:firstLineChars="150"/>
        <w:rPr>
          <w:rFonts w:ascii="仿宋" w:hAnsi="仿宋" w:eastAsia="仿宋" w:cs="Times New Roman"/>
          <w:sz w:val="32"/>
        </w:rPr>
      </w:pPr>
      <w:r>
        <w:rPr>
          <w:rFonts w:ascii="仿宋" w:hAnsi="仿宋" w:eastAsia="仿宋" w:cs="Times New Roman"/>
          <w:sz w:val="32"/>
        </w:rPr>
        <w:t>（11）负责涉水违法事件的查处，指导水政监察和水行政执法:依法负责水利行业安全生产工作，组织指导水库的安全生产工作，组织指导水利建设市场的监督管理，组织实施水利工程建设的监督。</w:t>
      </w:r>
      <w:r>
        <w:rPr>
          <w:rFonts w:hint="eastAsia" w:ascii="仿宋" w:hAnsi="仿宋" w:eastAsia="仿宋" w:cs="Times New Roman"/>
          <w:sz w:val="32"/>
        </w:rPr>
        <w:t xml:space="preserve">  </w:t>
      </w:r>
    </w:p>
    <w:p>
      <w:pPr>
        <w:spacing w:line="360" w:lineRule="auto"/>
        <w:ind w:firstLine="320" w:firstLineChars="100"/>
        <w:rPr>
          <w:rFonts w:ascii="仿宋" w:hAnsi="仿宋" w:eastAsia="仿宋" w:cs="Times New Roman"/>
          <w:sz w:val="32"/>
        </w:rPr>
      </w:pPr>
      <w:r>
        <w:rPr>
          <w:rFonts w:ascii="仿宋" w:hAnsi="仿宋" w:eastAsia="仿宋" w:cs="Times New Roman"/>
          <w:sz w:val="32"/>
        </w:rPr>
        <w:t xml:space="preserve"> </w:t>
      </w:r>
      <w:r>
        <w:rPr>
          <w:rFonts w:hint="eastAsia" w:ascii="仿宋" w:hAnsi="仿宋" w:eastAsia="仿宋" w:cs="Times New Roman"/>
          <w:sz w:val="32"/>
        </w:rPr>
        <w:t xml:space="preserve"> </w:t>
      </w:r>
      <w:r>
        <w:rPr>
          <w:rFonts w:ascii="仿宋" w:hAnsi="仿宋" w:eastAsia="仿宋" w:cs="Times New Roman"/>
          <w:sz w:val="32"/>
        </w:rPr>
        <w:t>(12) 组织开展水利行业质量监督工作，拟订水利行业的地方技术标准，规程规范并监督实施。</w:t>
      </w:r>
    </w:p>
    <w:p>
      <w:pPr>
        <w:spacing w:line="360" w:lineRule="auto"/>
        <w:ind w:firstLine="640" w:firstLineChars="200"/>
        <w:rPr>
          <w:rFonts w:ascii="仿宋" w:hAnsi="仿宋" w:eastAsia="仿宋" w:cs="Times New Roman"/>
          <w:sz w:val="32"/>
        </w:rPr>
      </w:pPr>
      <w:r>
        <w:rPr>
          <w:rFonts w:ascii="仿宋" w:hAnsi="仿宋" w:eastAsia="仿宋" w:cs="Times New Roman"/>
          <w:sz w:val="32"/>
        </w:rPr>
        <w:t>(13) 负责落实综合防灾减灾规划相关要求，组织编制洪水干旱灾害防治规划和防护标准并指导实施;承担水情旱情监测预警工作;组织编制重要河流和重要水工程的防御洪水、抗御</w:t>
      </w:r>
      <w:r>
        <w:rPr>
          <w:rFonts w:hint="eastAsia" w:ascii="仿宋" w:hAnsi="仿宋" w:eastAsia="仿宋" w:cs="Times New Roman"/>
          <w:sz w:val="32"/>
          <w:lang w:val="en-US" w:eastAsia="zh-CN"/>
        </w:rPr>
        <w:t>旱</w:t>
      </w:r>
      <w:bookmarkStart w:id="19" w:name="_GoBack"/>
      <w:bookmarkEnd w:id="19"/>
      <w:r>
        <w:rPr>
          <w:rFonts w:ascii="仿宋" w:hAnsi="仿宋" w:eastAsia="仿宋" w:cs="Times New Roman"/>
          <w:sz w:val="32"/>
        </w:rPr>
        <w:t>灾调度及应急水量调度方案，按程序报批并组织实施;承担防御洪水应急抢险的技术支撑工作。</w:t>
      </w:r>
    </w:p>
    <w:p>
      <w:pPr>
        <w:spacing w:line="360" w:lineRule="auto"/>
        <w:ind w:firstLine="480" w:firstLineChars="150"/>
        <w:rPr>
          <w:rFonts w:ascii="仿宋" w:hAnsi="仿宋" w:eastAsia="仿宋" w:cs="Times New Roman"/>
          <w:sz w:val="32"/>
        </w:rPr>
      </w:pPr>
      <w:r>
        <w:rPr>
          <w:rFonts w:ascii="仿宋" w:hAnsi="仿宋" w:eastAsia="仿宋" w:cs="Times New Roman"/>
          <w:sz w:val="32"/>
        </w:rPr>
        <w:t>（14）负责贯彻落实党中央、国务院和省、市关于河长制、湖长制的决策部署，办理区级总河长、区级河长交办的事项，协助区级总河长、区级河长对各乡(镇)、各部门履行河长制、湖长制相关职责进行指导、协调、监督和考核。</w:t>
      </w:r>
    </w:p>
    <w:p>
      <w:pPr>
        <w:spacing w:line="360" w:lineRule="auto"/>
        <w:ind w:firstLine="640" w:firstLineChars="200"/>
        <w:rPr>
          <w:rFonts w:ascii="仿宋" w:hAnsi="仿宋" w:eastAsia="仿宋"/>
          <w:sz w:val="32"/>
          <w:szCs w:val="32"/>
        </w:rPr>
      </w:pPr>
      <w:r>
        <w:rPr>
          <w:rFonts w:ascii="仿宋" w:hAnsi="仿宋" w:eastAsia="仿宋" w:cs="Times New Roman"/>
          <w:sz w:val="32"/>
        </w:rPr>
        <w:t>(15)完成区委、区政府交办的其他任务。</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二、机构设置</w:t>
      </w:r>
    </w:p>
    <w:p>
      <w:pPr>
        <w:spacing w:line="360" w:lineRule="auto"/>
        <w:ind w:firstLine="560" w:firstLineChars="200"/>
        <w:jc w:val="center"/>
        <w:rPr>
          <w:rFonts w:ascii="仿宋" w:hAnsi="仿宋" w:eastAsia="仿宋"/>
          <w:sz w:val="28"/>
          <w:szCs w:val="28"/>
        </w:rPr>
      </w:pPr>
      <w:r>
        <w:rPr>
          <w:rFonts w:hint="eastAsia" w:ascii="仿宋" w:hAnsi="仿宋" w:eastAsia="仿宋"/>
          <w:sz w:val="28"/>
          <w:szCs w:val="28"/>
        </w:rPr>
        <w:t>部门机构设置情况</w:t>
      </w:r>
    </w:p>
    <w:tbl>
      <w:tblPr>
        <w:tblStyle w:val="5"/>
        <w:tblW w:w="8887" w:type="dxa"/>
        <w:tblInd w:w="97" w:type="dxa"/>
        <w:tblLayout w:type="autofit"/>
        <w:tblCellMar>
          <w:top w:w="0" w:type="dxa"/>
          <w:left w:w="108" w:type="dxa"/>
          <w:bottom w:w="0" w:type="dxa"/>
          <w:right w:w="108" w:type="dxa"/>
        </w:tblCellMar>
      </w:tblPr>
      <w:tblGrid>
        <w:gridCol w:w="668"/>
        <w:gridCol w:w="2500"/>
        <w:gridCol w:w="1722"/>
        <w:gridCol w:w="1434"/>
        <w:gridCol w:w="2563"/>
      </w:tblGrid>
      <w:tr>
        <w:tblPrEx>
          <w:tblCellMar>
            <w:top w:w="0" w:type="dxa"/>
            <w:left w:w="108" w:type="dxa"/>
            <w:bottom w:w="0" w:type="dxa"/>
            <w:right w:w="108" w:type="dxa"/>
          </w:tblCellMar>
        </w:tblPrEx>
        <w:trPr>
          <w:trHeight w:val="339" w:hRule="atLeast"/>
        </w:trPr>
        <w:tc>
          <w:tcPr>
            <w:tcW w:w="6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序号</w:t>
            </w:r>
          </w:p>
        </w:tc>
        <w:tc>
          <w:tcPr>
            <w:tcW w:w="25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单位名称</w:t>
            </w:r>
          </w:p>
        </w:tc>
        <w:tc>
          <w:tcPr>
            <w:tcW w:w="172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单位性质</w:t>
            </w:r>
          </w:p>
        </w:tc>
        <w:tc>
          <w:tcPr>
            <w:tcW w:w="14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单位规格</w:t>
            </w:r>
          </w:p>
        </w:tc>
        <w:tc>
          <w:tcPr>
            <w:tcW w:w="256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经费保障形式</w:t>
            </w:r>
          </w:p>
        </w:tc>
      </w:tr>
      <w:tr>
        <w:tblPrEx>
          <w:tblCellMar>
            <w:top w:w="0" w:type="dxa"/>
            <w:left w:w="108" w:type="dxa"/>
            <w:bottom w:w="0" w:type="dxa"/>
            <w:right w:w="108" w:type="dxa"/>
          </w:tblCellMar>
        </w:tblPrEx>
        <w:trPr>
          <w:trHeight w:val="339" w:hRule="atLeast"/>
        </w:trPr>
        <w:tc>
          <w:tcPr>
            <w:tcW w:w="6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25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17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14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25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326" w:hRule="atLeast"/>
        </w:trPr>
        <w:tc>
          <w:tcPr>
            <w:tcW w:w="6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w:t>
            </w:r>
          </w:p>
        </w:tc>
        <w:tc>
          <w:tcPr>
            <w:tcW w:w="25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保定市徐水区水利局</w:t>
            </w:r>
          </w:p>
        </w:tc>
        <w:tc>
          <w:tcPr>
            <w:tcW w:w="172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行政</w:t>
            </w:r>
          </w:p>
        </w:tc>
        <w:tc>
          <w:tcPr>
            <w:tcW w:w="143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正科级</w:t>
            </w:r>
          </w:p>
        </w:tc>
        <w:tc>
          <w:tcPr>
            <w:tcW w:w="256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财政拨款</w:t>
            </w:r>
          </w:p>
        </w:tc>
      </w:tr>
      <w:tr>
        <w:tblPrEx>
          <w:tblCellMar>
            <w:top w:w="0" w:type="dxa"/>
            <w:left w:w="108" w:type="dxa"/>
            <w:bottom w:w="0" w:type="dxa"/>
            <w:right w:w="108" w:type="dxa"/>
          </w:tblCellMar>
        </w:tblPrEx>
        <w:trPr>
          <w:trHeight w:val="326" w:hRule="atLeast"/>
        </w:trPr>
        <w:tc>
          <w:tcPr>
            <w:tcW w:w="6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w:t>
            </w:r>
          </w:p>
        </w:tc>
        <w:tc>
          <w:tcPr>
            <w:tcW w:w="25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河道工程修建维护   管理费征费站</w:t>
            </w:r>
          </w:p>
        </w:tc>
        <w:tc>
          <w:tcPr>
            <w:tcW w:w="172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事业</w:t>
            </w:r>
          </w:p>
        </w:tc>
        <w:tc>
          <w:tcPr>
            <w:tcW w:w="143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股级</w:t>
            </w:r>
          </w:p>
        </w:tc>
        <w:tc>
          <w:tcPr>
            <w:tcW w:w="256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财政性资金基本保障</w:t>
            </w:r>
          </w:p>
        </w:tc>
      </w:tr>
      <w:tr>
        <w:tblPrEx>
          <w:tblCellMar>
            <w:top w:w="0" w:type="dxa"/>
            <w:left w:w="108" w:type="dxa"/>
            <w:bottom w:w="0" w:type="dxa"/>
            <w:right w:w="108" w:type="dxa"/>
          </w:tblCellMar>
        </w:tblPrEx>
        <w:trPr>
          <w:trHeight w:val="326" w:hRule="atLeast"/>
        </w:trPr>
        <w:tc>
          <w:tcPr>
            <w:tcW w:w="6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3</w:t>
            </w:r>
          </w:p>
        </w:tc>
        <w:tc>
          <w:tcPr>
            <w:tcW w:w="25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水土保持监督检查站</w:t>
            </w:r>
          </w:p>
        </w:tc>
        <w:tc>
          <w:tcPr>
            <w:tcW w:w="172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事业</w:t>
            </w:r>
          </w:p>
        </w:tc>
        <w:tc>
          <w:tcPr>
            <w:tcW w:w="143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股级</w:t>
            </w:r>
          </w:p>
        </w:tc>
        <w:tc>
          <w:tcPr>
            <w:tcW w:w="256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财政性资金基本保障</w:t>
            </w:r>
          </w:p>
        </w:tc>
      </w:tr>
      <w:tr>
        <w:tblPrEx>
          <w:tblCellMar>
            <w:top w:w="0" w:type="dxa"/>
            <w:left w:w="108" w:type="dxa"/>
            <w:bottom w:w="0" w:type="dxa"/>
            <w:right w:w="108" w:type="dxa"/>
          </w:tblCellMar>
        </w:tblPrEx>
        <w:trPr>
          <w:trHeight w:val="326" w:hRule="atLeast"/>
        </w:trPr>
        <w:tc>
          <w:tcPr>
            <w:tcW w:w="6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4</w:t>
            </w:r>
          </w:p>
        </w:tc>
        <w:tc>
          <w:tcPr>
            <w:tcW w:w="25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于庄渠道管理所</w:t>
            </w:r>
          </w:p>
        </w:tc>
        <w:tc>
          <w:tcPr>
            <w:tcW w:w="172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事业</w:t>
            </w:r>
          </w:p>
        </w:tc>
        <w:tc>
          <w:tcPr>
            <w:tcW w:w="143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股级</w:t>
            </w:r>
          </w:p>
        </w:tc>
        <w:tc>
          <w:tcPr>
            <w:tcW w:w="256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财政性资金基本保障</w:t>
            </w:r>
          </w:p>
        </w:tc>
      </w:tr>
      <w:tr>
        <w:tblPrEx>
          <w:tblCellMar>
            <w:top w:w="0" w:type="dxa"/>
            <w:left w:w="108" w:type="dxa"/>
            <w:bottom w:w="0" w:type="dxa"/>
            <w:right w:w="108" w:type="dxa"/>
          </w:tblCellMar>
        </w:tblPrEx>
        <w:trPr>
          <w:trHeight w:val="326" w:hRule="atLeast"/>
        </w:trPr>
        <w:tc>
          <w:tcPr>
            <w:tcW w:w="6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5</w:t>
            </w:r>
          </w:p>
        </w:tc>
        <w:tc>
          <w:tcPr>
            <w:tcW w:w="25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迪城扬水机站</w:t>
            </w:r>
          </w:p>
        </w:tc>
        <w:tc>
          <w:tcPr>
            <w:tcW w:w="172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事业</w:t>
            </w:r>
          </w:p>
        </w:tc>
        <w:tc>
          <w:tcPr>
            <w:tcW w:w="143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股级</w:t>
            </w:r>
          </w:p>
        </w:tc>
        <w:tc>
          <w:tcPr>
            <w:tcW w:w="256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财政性资金基本保障</w:t>
            </w:r>
          </w:p>
        </w:tc>
      </w:tr>
      <w:tr>
        <w:tblPrEx>
          <w:tblCellMar>
            <w:top w:w="0" w:type="dxa"/>
            <w:left w:w="108" w:type="dxa"/>
            <w:bottom w:w="0" w:type="dxa"/>
            <w:right w:w="108" w:type="dxa"/>
          </w:tblCellMar>
        </w:tblPrEx>
        <w:trPr>
          <w:trHeight w:val="326" w:hRule="atLeast"/>
        </w:trPr>
        <w:tc>
          <w:tcPr>
            <w:tcW w:w="6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6</w:t>
            </w:r>
          </w:p>
        </w:tc>
        <w:tc>
          <w:tcPr>
            <w:tcW w:w="25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陈梁庄扬水机站</w:t>
            </w:r>
          </w:p>
        </w:tc>
        <w:tc>
          <w:tcPr>
            <w:tcW w:w="172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事业</w:t>
            </w:r>
          </w:p>
        </w:tc>
        <w:tc>
          <w:tcPr>
            <w:tcW w:w="143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股级</w:t>
            </w:r>
          </w:p>
        </w:tc>
        <w:tc>
          <w:tcPr>
            <w:tcW w:w="256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财政性资金基本保障</w:t>
            </w:r>
          </w:p>
        </w:tc>
      </w:tr>
      <w:tr>
        <w:tblPrEx>
          <w:tblCellMar>
            <w:top w:w="0" w:type="dxa"/>
            <w:left w:w="108" w:type="dxa"/>
            <w:bottom w:w="0" w:type="dxa"/>
            <w:right w:w="108" w:type="dxa"/>
          </w:tblCellMar>
        </w:tblPrEx>
        <w:trPr>
          <w:trHeight w:val="326" w:hRule="atLeast"/>
        </w:trPr>
        <w:tc>
          <w:tcPr>
            <w:tcW w:w="6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7</w:t>
            </w:r>
          </w:p>
        </w:tc>
        <w:tc>
          <w:tcPr>
            <w:tcW w:w="25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中心水利站</w:t>
            </w:r>
          </w:p>
        </w:tc>
        <w:tc>
          <w:tcPr>
            <w:tcW w:w="172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事业</w:t>
            </w:r>
          </w:p>
        </w:tc>
        <w:tc>
          <w:tcPr>
            <w:tcW w:w="143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股级</w:t>
            </w:r>
          </w:p>
        </w:tc>
        <w:tc>
          <w:tcPr>
            <w:tcW w:w="256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财政性资金基本保障</w:t>
            </w:r>
          </w:p>
        </w:tc>
      </w:tr>
      <w:tr>
        <w:tblPrEx>
          <w:tblCellMar>
            <w:top w:w="0" w:type="dxa"/>
            <w:left w:w="108" w:type="dxa"/>
            <w:bottom w:w="0" w:type="dxa"/>
            <w:right w:w="108" w:type="dxa"/>
          </w:tblCellMar>
        </w:tblPrEx>
        <w:trPr>
          <w:trHeight w:val="326" w:hRule="atLeast"/>
        </w:trPr>
        <w:tc>
          <w:tcPr>
            <w:tcW w:w="6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8</w:t>
            </w:r>
          </w:p>
        </w:tc>
        <w:tc>
          <w:tcPr>
            <w:tcW w:w="25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县城河道管理所</w:t>
            </w:r>
          </w:p>
        </w:tc>
        <w:tc>
          <w:tcPr>
            <w:tcW w:w="172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事业</w:t>
            </w:r>
          </w:p>
        </w:tc>
        <w:tc>
          <w:tcPr>
            <w:tcW w:w="143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股级</w:t>
            </w:r>
          </w:p>
        </w:tc>
        <w:tc>
          <w:tcPr>
            <w:tcW w:w="256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财政性资金基本保障</w:t>
            </w:r>
          </w:p>
        </w:tc>
      </w:tr>
      <w:tr>
        <w:tblPrEx>
          <w:tblCellMar>
            <w:top w:w="0" w:type="dxa"/>
            <w:left w:w="108" w:type="dxa"/>
            <w:bottom w:w="0" w:type="dxa"/>
            <w:right w:w="108" w:type="dxa"/>
          </w:tblCellMar>
        </w:tblPrEx>
        <w:trPr>
          <w:trHeight w:val="326" w:hRule="atLeast"/>
        </w:trPr>
        <w:tc>
          <w:tcPr>
            <w:tcW w:w="6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9</w:t>
            </w:r>
          </w:p>
        </w:tc>
        <w:tc>
          <w:tcPr>
            <w:tcW w:w="25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利民渠道管理所</w:t>
            </w:r>
          </w:p>
        </w:tc>
        <w:tc>
          <w:tcPr>
            <w:tcW w:w="172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事业</w:t>
            </w:r>
          </w:p>
        </w:tc>
        <w:tc>
          <w:tcPr>
            <w:tcW w:w="143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股级</w:t>
            </w:r>
          </w:p>
        </w:tc>
        <w:tc>
          <w:tcPr>
            <w:tcW w:w="256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财政性资金基本保障</w:t>
            </w:r>
          </w:p>
        </w:tc>
      </w:tr>
      <w:tr>
        <w:tblPrEx>
          <w:tblCellMar>
            <w:top w:w="0" w:type="dxa"/>
            <w:left w:w="108" w:type="dxa"/>
            <w:bottom w:w="0" w:type="dxa"/>
            <w:right w:w="108" w:type="dxa"/>
          </w:tblCellMar>
        </w:tblPrEx>
        <w:trPr>
          <w:trHeight w:val="326" w:hRule="atLeast"/>
        </w:trPr>
        <w:tc>
          <w:tcPr>
            <w:tcW w:w="6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10</w:t>
            </w:r>
          </w:p>
        </w:tc>
        <w:tc>
          <w:tcPr>
            <w:tcW w:w="25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南留橡胶坝管理所</w:t>
            </w:r>
          </w:p>
        </w:tc>
        <w:tc>
          <w:tcPr>
            <w:tcW w:w="172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事业</w:t>
            </w:r>
          </w:p>
        </w:tc>
        <w:tc>
          <w:tcPr>
            <w:tcW w:w="143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股级</w:t>
            </w:r>
          </w:p>
        </w:tc>
        <w:tc>
          <w:tcPr>
            <w:tcW w:w="256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财政性资金基本保障</w:t>
            </w:r>
          </w:p>
        </w:tc>
      </w:tr>
      <w:tr>
        <w:tblPrEx>
          <w:tblCellMar>
            <w:top w:w="0" w:type="dxa"/>
            <w:left w:w="108" w:type="dxa"/>
            <w:bottom w:w="0" w:type="dxa"/>
            <w:right w:w="108" w:type="dxa"/>
          </w:tblCellMar>
        </w:tblPrEx>
        <w:trPr>
          <w:trHeight w:val="326" w:hRule="atLeast"/>
        </w:trPr>
        <w:tc>
          <w:tcPr>
            <w:tcW w:w="6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11</w:t>
            </w:r>
          </w:p>
        </w:tc>
        <w:tc>
          <w:tcPr>
            <w:tcW w:w="25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瀑河水库管理处</w:t>
            </w:r>
          </w:p>
        </w:tc>
        <w:tc>
          <w:tcPr>
            <w:tcW w:w="172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事业</w:t>
            </w:r>
          </w:p>
        </w:tc>
        <w:tc>
          <w:tcPr>
            <w:tcW w:w="143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股级</w:t>
            </w:r>
          </w:p>
        </w:tc>
        <w:tc>
          <w:tcPr>
            <w:tcW w:w="256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财政性资金基本保障</w:t>
            </w:r>
          </w:p>
        </w:tc>
      </w:tr>
      <w:tr>
        <w:tblPrEx>
          <w:tblCellMar>
            <w:top w:w="0" w:type="dxa"/>
            <w:left w:w="108" w:type="dxa"/>
            <w:bottom w:w="0" w:type="dxa"/>
            <w:right w:w="108" w:type="dxa"/>
          </w:tblCellMar>
        </w:tblPrEx>
        <w:trPr>
          <w:trHeight w:val="326" w:hRule="atLeast"/>
        </w:trPr>
        <w:tc>
          <w:tcPr>
            <w:tcW w:w="6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12</w:t>
            </w:r>
          </w:p>
        </w:tc>
        <w:tc>
          <w:tcPr>
            <w:tcW w:w="25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大因扬水机站</w:t>
            </w:r>
          </w:p>
        </w:tc>
        <w:tc>
          <w:tcPr>
            <w:tcW w:w="172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事业</w:t>
            </w:r>
          </w:p>
        </w:tc>
        <w:tc>
          <w:tcPr>
            <w:tcW w:w="143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股级</w:t>
            </w:r>
          </w:p>
        </w:tc>
        <w:tc>
          <w:tcPr>
            <w:tcW w:w="256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财政性资金基本保障</w:t>
            </w:r>
          </w:p>
        </w:tc>
      </w:tr>
      <w:tr>
        <w:tblPrEx>
          <w:tblCellMar>
            <w:top w:w="0" w:type="dxa"/>
            <w:left w:w="108" w:type="dxa"/>
            <w:bottom w:w="0" w:type="dxa"/>
            <w:right w:w="108" w:type="dxa"/>
          </w:tblCellMar>
        </w:tblPrEx>
        <w:trPr>
          <w:trHeight w:val="326" w:hRule="atLeast"/>
        </w:trPr>
        <w:tc>
          <w:tcPr>
            <w:tcW w:w="6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13</w:t>
            </w:r>
          </w:p>
        </w:tc>
        <w:tc>
          <w:tcPr>
            <w:tcW w:w="25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水政水资源综合    管理办公室</w:t>
            </w:r>
          </w:p>
        </w:tc>
        <w:tc>
          <w:tcPr>
            <w:tcW w:w="172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事业</w:t>
            </w:r>
          </w:p>
        </w:tc>
        <w:tc>
          <w:tcPr>
            <w:tcW w:w="143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股级</w:t>
            </w:r>
          </w:p>
        </w:tc>
        <w:tc>
          <w:tcPr>
            <w:tcW w:w="256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财政性资金基本保障</w:t>
            </w:r>
          </w:p>
        </w:tc>
      </w:tr>
      <w:tr>
        <w:tblPrEx>
          <w:tblCellMar>
            <w:top w:w="0" w:type="dxa"/>
            <w:left w:w="108" w:type="dxa"/>
            <w:bottom w:w="0" w:type="dxa"/>
            <w:right w:w="108" w:type="dxa"/>
          </w:tblCellMar>
        </w:tblPrEx>
        <w:trPr>
          <w:trHeight w:val="326" w:hRule="atLeast"/>
        </w:trPr>
        <w:tc>
          <w:tcPr>
            <w:tcW w:w="6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14</w:t>
            </w:r>
          </w:p>
        </w:tc>
        <w:tc>
          <w:tcPr>
            <w:tcW w:w="25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盘山渠道管理所</w:t>
            </w:r>
          </w:p>
        </w:tc>
        <w:tc>
          <w:tcPr>
            <w:tcW w:w="172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事业</w:t>
            </w:r>
          </w:p>
        </w:tc>
        <w:tc>
          <w:tcPr>
            <w:tcW w:w="143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股级</w:t>
            </w:r>
          </w:p>
        </w:tc>
        <w:tc>
          <w:tcPr>
            <w:tcW w:w="256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财政性资金基本保障</w:t>
            </w:r>
          </w:p>
        </w:tc>
      </w:tr>
      <w:tr>
        <w:tblPrEx>
          <w:tblCellMar>
            <w:top w:w="0" w:type="dxa"/>
            <w:left w:w="108" w:type="dxa"/>
            <w:bottom w:w="0" w:type="dxa"/>
            <w:right w:w="108" w:type="dxa"/>
          </w:tblCellMar>
        </w:tblPrEx>
        <w:trPr>
          <w:trHeight w:val="326" w:hRule="atLeast"/>
        </w:trPr>
        <w:tc>
          <w:tcPr>
            <w:tcW w:w="6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15</w:t>
            </w:r>
          </w:p>
        </w:tc>
        <w:tc>
          <w:tcPr>
            <w:tcW w:w="25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曲水水库管理所</w:t>
            </w:r>
          </w:p>
        </w:tc>
        <w:tc>
          <w:tcPr>
            <w:tcW w:w="172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事业</w:t>
            </w:r>
          </w:p>
        </w:tc>
        <w:tc>
          <w:tcPr>
            <w:tcW w:w="143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股级</w:t>
            </w:r>
          </w:p>
        </w:tc>
        <w:tc>
          <w:tcPr>
            <w:tcW w:w="256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财政性资金基本保障</w:t>
            </w:r>
          </w:p>
        </w:tc>
      </w:tr>
    </w:tbl>
    <w:p>
      <w:pPr>
        <w:jc w:val="center"/>
        <w:outlineLvl w:val="0"/>
        <w:rPr>
          <w:rFonts w:ascii="方正小标宋_GBK" w:eastAsia="方正小标宋_GBK"/>
          <w:sz w:val="44"/>
        </w:rPr>
      </w:pPr>
    </w:p>
    <w:p>
      <w:pPr>
        <w:jc w:val="center"/>
        <w:outlineLvl w:val="0"/>
        <w:rPr>
          <w:rFonts w:ascii="方正小标宋_GBK" w:eastAsia="方正小标宋_GBK"/>
          <w:sz w:val="44"/>
        </w:rPr>
      </w:pPr>
      <w:r>
        <w:rPr>
          <w:rFonts w:hint="eastAsia" w:ascii="方正小标宋_GBK" w:eastAsia="方正小标宋_GBK"/>
          <w:sz w:val="44"/>
        </w:rPr>
        <w:t>第二部分：部门预算安排的总体情况</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按照预算管理有关规定，目前我区部门预算的编制实行综合预算制度，即全部收入和支出都反映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预算中。我部门及所属事业单位的收支包含在部门预算中。</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一、收入说明</w:t>
      </w:r>
    </w:p>
    <w:p>
      <w:pPr>
        <w:spacing w:line="360" w:lineRule="auto"/>
        <w:ind w:firstLine="640" w:firstLineChars="200"/>
        <w:rPr>
          <w:rFonts w:ascii="仿宋" w:hAnsi="仿宋" w:eastAsia="仿宋"/>
          <w:sz w:val="32"/>
          <w:szCs w:val="32"/>
        </w:rPr>
      </w:pPr>
      <w:r>
        <w:rPr>
          <w:rFonts w:ascii="仿宋" w:hAnsi="仿宋" w:eastAsia="仿宋"/>
          <w:sz w:val="32"/>
          <w:szCs w:val="32"/>
        </w:rPr>
        <w:t>2021年预算收入为</w:t>
      </w:r>
      <w:r>
        <w:rPr>
          <w:rFonts w:hint="eastAsia" w:ascii="仿宋" w:hAnsi="仿宋" w:eastAsia="仿宋"/>
          <w:sz w:val="32"/>
          <w:szCs w:val="32"/>
        </w:rPr>
        <w:t>8733.11</w:t>
      </w:r>
      <w:r>
        <w:rPr>
          <w:rFonts w:ascii="仿宋" w:hAnsi="仿宋" w:eastAsia="仿宋"/>
          <w:sz w:val="32"/>
          <w:szCs w:val="32"/>
        </w:rPr>
        <w:t>万元,其中：一般公共预算收入</w:t>
      </w:r>
      <w:r>
        <w:rPr>
          <w:rFonts w:hint="eastAsia" w:ascii="仿宋" w:hAnsi="仿宋" w:eastAsia="仿宋"/>
          <w:sz w:val="32"/>
          <w:szCs w:val="32"/>
        </w:rPr>
        <w:t>7952.44</w:t>
      </w:r>
      <w:r>
        <w:rPr>
          <w:rFonts w:ascii="仿宋" w:hAnsi="仿宋" w:eastAsia="仿宋"/>
          <w:sz w:val="32"/>
          <w:szCs w:val="32"/>
        </w:rPr>
        <w:t>万元，基金预算收入</w:t>
      </w:r>
      <w:r>
        <w:rPr>
          <w:rFonts w:hint="eastAsia" w:ascii="仿宋" w:hAnsi="仿宋" w:eastAsia="仿宋"/>
          <w:sz w:val="32"/>
          <w:szCs w:val="32"/>
        </w:rPr>
        <w:t>780.67</w:t>
      </w:r>
      <w:r>
        <w:rPr>
          <w:rFonts w:ascii="仿宋" w:hAnsi="仿宋" w:eastAsia="仿宋"/>
          <w:sz w:val="32"/>
          <w:szCs w:val="32"/>
        </w:rPr>
        <w:t>万元，财政专户收入</w:t>
      </w:r>
      <w:r>
        <w:rPr>
          <w:rFonts w:hint="eastAsia" w:ascii="仿宋" w:hAnsi="仿宋" w:eastAsia="仿宋"/>
          <w:sz w:val="32"/>
          <w:szCs w:val="32"/>
        </w:rPr>
        <w:t>0</w:t>
      </w:r>
      <w:r>
        <w:rPr>
          <w:rFonts w:ascii="仿宋" w:hAnsi="仿宋" w:eastAsia="仿宋"/>
          <w:sz w:val="32"/>
          <w:szCs w:val="32"/>
        </w:rPr>
        <w:t>万元，其他来源收入</w:t>
      </w:r>
      <w:r>
        <w:rPr>
          <w:rFonts w:hint="eastAsia" w:ascii="仿宋" w:hAnsi="仿宋" w:eastAsia="仿宋"/>
          <w:sz w:val="32"/>
          <w:szCs w:val="32"/>
        </w:rPr>
        <w:t>0</w:t>
      </w:r>
      <w:r>
        <w:rPr>
          <w:rFonts w:ascii="仿宋" w:hAnsi="仿宋" w:eastAsia="仿宋"/>
          <w:sz w:val="32"/>
          <w:szCs w:val="32"/>
        </w:rPr>
        <w:t>万元。</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二、支出说明</w:t>
      </w:r>
    </w:p>
    <w:p>
      <w:pPr>
        <w:spacing w:line="360" w:lineRule="auto"/>
        <w:ind w:firstLine="640" w:firstLineChars="200"/>
        <w:rPr>
          <w:rFonts w:ascii="仿宋" w:hAnsi="仿宋" w:eastAsia="仿宋"/>
          <w:sz w:val="32"/>
          <w:szCs w:val="32"/>
        </w:rPr>
      </w:pPr>
      <w:r>
        <w:rPr>
          <w:rFonts w:ascii="仿宋" w:hAnsi="仿宋" w:eastAsia="仿宋"/>
          <w:sz w:val="32"/>
          <w:szCs w:val="32"/>
        </w:rPr>
        <w:t>2021年部门支出预算：</w:t>
      </w:r>
      <w:r>
        <w:rPr>
          <w:rFonts w:hint="eastAsia" w:ascii="仿宋" w:hAnsi="仿宋" w:eastAsia="仿宋"/>
          <w:sz w:val="32"/>
          <w:szCs w:val="32"/>
        </w:rPr>
        <w:t>8733.11</w:t>
      </w:r>
      <w:r>
        <w:rPr>
          <w:rFonts w:ascii="仿宋" w:hAnsi="仿宋" w:eastAsia="仿宋"/>
          <w:sz w:val="32"/>
          <w:szCs w:val="32"/>
        </w:rPr>
        <w:t>万元</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基本支出3536.03万元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其中：人员经费</w:t>
      </w:r>
      <w:r>
        <w:rPr>
          <w:rFonts w:hint="eastAsia" w:ascii="仿宋" w:hAnsi="仿宋" w:eastAsia="仿宋"/>
          <w:sz w:val="32"/>
          <w:szCs w:val="32"/>
        </w:rPr>
        <w:t>3351.94</w:t>
      </w:r>
      <w:r>
        <w:rPr>
          <w:rFonts w:ascii="仿宋" w:hAnsi="仿宋" w:eastAsia="仿宋"/>
          <w:sz w:val="32"/>
          <w:szCs w:val="32"/>
        </w:rPr>
        <w:t>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日常公用经费</w:t>
      </w:r>
      <w:r>
        <w:rPr>
          <w:rFonts w:hint="eastAsia" w:ascii="仿宋" w:hAnsi="仿宋" w:eastAsia="仿宋"/>
          <w:sz w:val="32"/>
          <w:szCs w:val="32"/>
        </w:rPr>
        <w:t>184.09</w:t>
      </w:r>
      <w:r>
        <w:rPr>
          <w:rFonts w:ascii="仿宋" w:hAnsi="仿宋" w:eastAsia="仿宋"/>
          <w:sz w:val="32"/>
          <w:szCs w:val="32"/>
        </w:rPr>
        <w:t>万元</w:t>
      </w:r>
    </w:p>
    <w:p>
      <w:pPr>
        <w:spacing w:line="360" w:lineRule="auto"/>
        <w:ind w:firstLine="640" w:firstLineChars="200"/>
        <w:rPr>
          <w:rFonts w:ascii="仿宋" w:hAnsi="仿宋" w:eastAsia="仿宋"/>
          <w:sz w:val="32"/>
          <w:szCs w:val="32"/>
        </w:rPr>
      </w:pPr>
      <w:r>
        <w:rPr>
          <w:rFonts w:hint="eastAsia" w:ascii="仿宋" w:hAnsi="仿宋" w:eastAsia="仿宋"/>
          <w:sz w:val="32"/>
          <w:szCs w:val="32"/>
        </w:rPr>
        <w:t>项目支出</w:t>
      </w:r>
      <w:r>
        <w:rPr>
          <w:rFonts w:ascii="仿宋" w:hAnsi="仿宋" w:eastAsia="仿宋"/>
          <w:sz w:val="32"/>
          <w:szCs w:val="32"/>
        </w:rPr>
        <w:t xml:space="preserve"> </w:t>
      </w:r>
      <w:r>
        <w:rPr>
          <w:rFonts w:hint="eastAsia" w:ascii="仿宋" w:hAnsi="仿宋" w:eastAsia="仿宋"/>
          <w:sz w:val="32"/>
          <w:szCs w:val="32"/>
        </w:rPr>
        <w:t>5197.08</w:t>
      </w:r>
      <w:r>
        <w:rPr>
          <w:rFonts w:ascii="仿宋" w:hAnsi="仿宋" w:eastAsia="仿宋"/>
          <w:sz w:val="32"/>
          <w:szCs w:val="32"/>
        </w:rPr>
        <w:t>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其中：本级支出</w:t>
      </w:r>
      <w:r>
        <w:rPr>
          <w:rFonts w:hint="eastAsia" w:ascii="仿宋" w:hAnsi="仿宋" w:eastAsia="仿宋"/>
          <w:sz w:val="32"/>
          <w:szCs w:val="32"/>
        </w:rPr>
        <w:t>260.66</w:t>
      </w:r>
      <w:r>
        <w:rPr>
          <w:rFonts w:ascii="仿宋" w:hAnsi="仿宋" w:eastAsia="仿宋"/>
          <w:sz w:val="32"/>
          <w:szCs w:val="32"/>
        </w:rPr>
        <w:t>万元</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三、比上年增减情况</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本年度预算收支安排8733.11万元，较上年增加4771.65</w:t>
      </w:r>
      <w:r>
        <w:rPr>
          <w:rFonts w:ascii="仿宋" w:hAnsi="仿宋" w:eastAsia="仿宋"/>
          <w:sz w:val="32"/>
          <w:szCs w:val="32"/>
        </w:rPr>
        <w:t>万元。其中:基本支出增加</w:t>
      </w:r>
      <w:r>
        <w:rPr>
          <w:rFonts w:hint="eastAsia" w:ascii="仿宋" w:hAnsi="仿宋" w:eastAsia="仿宋"/>
          <w:sz w:val="32"/>
          <w:szCs w:val="32"/>
        </w:rPr>
        <w:t>14.05</w:t>
      </w:r>
      <w:r>
        <w:rPr>
          <w:rFonts w:ascii="仿宋" w:hAnsi="仿宋" w:eastAsia="仿宋"/>
          <w:sz w:val="32"/>
          <w:szCs w:val="32"/>
        </w:rPr>
        <w:t>万元，主要原因是</w:t>
      </w:r>
      <w:r>
        <w:rPr>
          <w:rFonts w:hint="eastAsia" w:ascii="仿宋" w:hAnsi="仿宋" w:eastAsia="仿宋"/>
          <w:sz w:val="32"/>
          <w:szCs w:val="32"/>
        </w:rPr>
        <w:t>人员经费中基本工资及其他工资福利支出较上年增加</w:t>
      </w:r>
      <w:r>
        <w:rPr>
          <w:rFonts w:ascii="仿宋" w:hAnsi="仿宋" w:eastAsia="仿宋"/>
          <w:sz w:val="32"/>
          <w:szCs w:val="32"/>
        </w:rPr>
        <w:t>；项目支出增加</w:t>
      </w:r>
      <w:r>
        <w:rPr>
          <w:rFonts w:hint="eastAsia" w:ascii="仿宋" w:hAnsi="仿宋" w:eastAsia="仿宋"/>
          <w:sz w:val="32"/>
          <w:szCs w:val="32"/>
        </w:rPr>
        <w:t>4757.60</w:t>
      </w:r>
      <w:r>
        <w:rPr>
          <w:rFonts w:ascii="仿宋" w:hAnsi="仿宋" w:eastAsia="仿宋"/>
          <w:sz w:val="32"/>
          <w:szCs w:val="32"/>
        </w:rPr>
        <w:t>万元，主要原因是</w:t>
      </w:r>
      <w:r>
        <w:rPr>
          <w:rFonts w:hint="eastAsia" w:ascii="仿宋" w:hAnsi="仿宋" w:eastAsia="仿宋"/>
          <w:sz w:val="32"/>
          <w:szCs w:val="32"/>
        </w:rPr>
        <w:t>2021年上级提前通知转移支付4936.42万元，较上年大幅增加</w:t>
      </w:r>
      <w:r>
        <w:rPr>
          <w:rFonts w:ascii="仿宋" w:hAnsi="仿宋" w:eastAsia="仿宋"/>
          <w:sz w:val="32"/>
          <w:szCs w:val="32"/>
        </w:rPr>
        <w:t>。</w:t>
      </w:r>
    </w:p>
    <w:p>
      <w:pPr>
        <w:spacing w:line="360" w:lineRule="auto"/>
        <w:ind w:firstLine="640" w:firstLineChars="200"/>
        <w:rPr>
          <w:rFonts w:ascii="仿宋" w:hAnsi="仿宋" w:eastAsia="仿宋"/>
          <w:sz w:val="32"/>
          <w:szCs w:val="32"/>
        </w:rPr>
      </w:pPr>
    </w:p>
    <w:p>
      <w:pPr>
        <w:jc w:val="center"/>
        <w:outlineLvl w:val="0"/>
        <w:rPr>
          <w:rFonts w:ascii="方正小标宋_GBK" w:eastAsia="方正小标宋_GBK"/>
          <w:sz w:val="44"/>
        </w:rPr>
      </w:pPr>
      <w:r>
        <w:rPr>
          <w:rFonts w:hint="eastAsia" w:ascii="方正小标宋_GBK" w:eastAsia="方正小标宋_GBK"/>
          <w:sz w:val="44"/>
        </w:rPr>
        <w:t>第三部分：机关运行经费安排情况</w:t>
      </w:r>
    </w:p>
    <w:p>
      <w:pPr>
        <w:spacing w:line="360" w:lineRule="auto"/>
        <w:ind w:firstLine="640" w:firstLineChars="200"/>
        <w:rPr>
          <w:rFonts w:ascii="仿宋" w:hAnsi="仿宋" w:eastAsia="仿宋"/>
          <w:b/>
          <w:sz w:val="32"/>
          <w:szCs w:val="32"/>
        </w:rPr>
      </w:pPr>
      <w:r>
        <w:rPr>
          <w:rFonts w:ascii="仿宋" w:hAnsi="仿宋" w:eastAsia="仿宋"/>
          <w:sz w:val="32"/>
          <w:szCs w:val="32"/>
        </w:rPr>
        <w:t>2021年我部门机关运行经费安排</w:t>
      </w:r>
      <w:r>
        <w:rPr>
          <w:rFonts w:hint="eastAsia" w:ascii="仿宋" w:hAnsi="仿宋" w:eastAsia="仿宋"/>
          <w:sz w:val="32"/>
          <w:szCs w:val="32"/>
        </w:rPr>
        <w:t>184.09</w:t>
      </w:r>
      <w:r>
        <w:rPr>
          <w:rFonts w:ascii="仿宋" w:hAnsi="仿宋" w:eastAsia="仿宋"/>
          <w:sz w:val="32"/>
          <w:szCs w:val="32"/>
        </w:rPr>
        <w:t>万元，其中办公费</w:t>
      </w:r>
      <w:r>
        <w:rPr>
          <w:rFonts w:hint="eastAsia" w:ascii="仿宋" w:hAnsi="仿宋" w:eastAsia="仿宋"/>
          <w:sz w:val="32"/>
          <w:szCs w:val="32"/>
        </w:rPr>
        <w:t>78</w:t>
      </w:r>
      <w:r>
        <w:rPr>
          <w:rFonts w:ascii="仿宋" w:hAnsi="仿宋" w:eastAsia="仿宋"/>
          <w:sz w:val="32"/>
          <w:szCs w:val="32"/>
        </w:rPr>
        <w:t>万元，邮电费</w:t>
      </w:r>
      <w:r>
        <w:rPr>
          <w:rFonts w:hint="eastAsia" w:ascii="仿宋" w:hAnsi="仿宋" w:eastAsia="仿宋"/>
          <w:sz w:val="32"/>
          <w:szCs w:val="32"/>
        </w:rPr>
        <w:t>8.36</w:t>
      </w:r>
      <w:r>
        <w:rPr>
          <w:rFonts w:ascii="仿宋" w:hAnsi="仿宋" w:eastAsia="仿宋"/>
          <w:sz w:val="32"/>
          <w:szCs w:val="32"/>
        </w:rPr>
        <w:t>万元，工会经费、福利费</w:t>
      </w:r>
      <w:r>
        <w:rPr>
          <w:rFonts w:hint="eastAsia" w:ascii="仿宋" w:hAnsi="仿宋" w:eastAsia="仿宋"/>
          <w:sz w:val="32"/>
          <w:szCs w:val="32"/>
        </w:rPr>
        <w:t>51.52</w:t>
      </w:r>
      <w:r>
        <w:rPr>
          <w:rFonts w:ascii="仿宋" w:hAnsi="仿宋" w:eastAsia="仿宋"/>
          <w:sz w:val="32"/>
          <w:szCs w:val="32"/>
        </w:rPr>
        <w:t>万元，公务用车运行维护费</w:t>
      </w:r>
      <w:r>
        <w:rPr>
          <w:rFonts w:hint="eastAsia" w:ascii="仿宋" w:hAnsi="仿宋" w:eastAsia="仿宋"/>
          <w:sz w:val="32"/>
          <w:szCs w:val="32"/>
        </w:rPr>
        <w:t>13.5</w:t>
      </w:r>
      <w:r>
        <w:rPr>
          <w:rFonts w:ascii="仿宋" w:hAnsi="仿宋" w:eastAsia="仿宋"/>
          <w:sz w:val="32"/>
          <w:szCs w:val="32"/>
        </w:rPr>
        <w:t>万元</w:t>
      </w:r>
      <w:r>
        <w:rPr>
          <w:rFonts w:hint="eastAsia" w:ascii="仿宋" w:hAnsi="仿宋" w:eastAsia="仿宋"/>
          <w:sz w:val="32"/>
          <w:szCs w:val="32"/>
        </w:rPr>
        <w:t>，</w:t>
      </w:r>
      <w:r>
        <w:rPr>
          <w:rFonts w:ascii="仿宋" w:hAnsi="仿宋" w:eastAsia="仿宋"/>
          <w:sz w:val="32"/>
          <w:szCs w:val="32"/>
        </w:rPr>
        <w:t>其他支出</w:t>
      </w:r>
      <w:r>
        <w:rPr>
          <w:rFonts w:hint="eastAsia" w:ascii="仿宋" w:hAnsi="仿宋" w:eastAsia="仿宋"/>
          <w:sz w:val="32"/>
          <w:szCs w:val="32"/>
        </w:rPr>
        <w:t>32.71</w:t>
      </w:r>
      <w:r>
        <w:rPr>
          <w:rFonts w:ascii="仿宋" w:hAnsi="仿宋" w:eastAsia="仿宋"/>
          <w:sz w:val="32"/>
          <w:szCs w:val="32"/>
        </w:rPr>
        <w:t>万元。</w:t>
      </w:r>
    </w:p>
    <w:p>
      <w:pPr>
        <w:jc w:val="center"/>
        <w:outlineLvl w:val="0"/>
        <w:rPr>
          <w:rFonts w:ascii="方正小标宋_GBK" w:eastAsia="方正小标宋_GBK"/>
          <w:sz w:val="44"/>
        </w:rPr>
      </w:pPr>
    </w:p>
    <w:p>
      <w:pPr>
        <w:jc w:val="center"/>
        <w:outlineLvl w:val="0"/>
        <w:rPr>
          <w:rFonts w:ascii="方正小标宋_GBK" w:eastAsia="方正小标宋_GBK"/>
          <w:sz w:val="44"/>
        </w:rPr>
      </w:pPr>
      <w:r>
        <w:rPr>
          <w:rFonts w:hint="eastAsia" w:ascii="方正小标宋_GBK" w:eastAsia="方正小标宋_GBK"/>
          <w:sz w:val="44"/>
        </w:rPr>
        <w:t>第四部分：财政拨款“三公”经费预算情况及增减变化原因</w:t>
      </w:r>
    </w:p>
    <w:tbl>
      <w:tblPr>
        <w:tblStyle w:val="5"/>
        <w:tblW w:w="5000" w:type="pct"/>
        <w:tblInd w:w="0" w:type="dxa"/>
        <w:tblLayout w:type="autofit"/>
        <w:tblCellMar>
          <w:top w:w="0" w:type="dxa"/>
          <w:left w:w="108" w:type="dxa"/>
          <w:bottom w:w="0" w:type="dxa"/>
          <w:right w:w="108" w:type="dxa"/>
        </w:tblCellMar>
      </w:tblPr>
      <w:tblGrid>
        <w:gridCol w:w="9515"/>
      </w:tblGrid>
      <w:tr>
        <w:tblPrEx>
          <w:tblCellMar>
            <w:top w:w="0" w:type="dxa"/>
            <w:left w:w="108" w:type="dxa"/>
            <w:bottom w:w="0" w:type="dxa"/>
            <w:right w:w="108" w:type="dxa"/>
          </w:tblCellMar>
        </w:tblPrEx>
        <w:trPr>
          <w:trHeight w:val="405" w:hRule="atLeast"/>
        </w:trPr>
        <w:tc>
          <w:tcPr>
            <w:tcW w:w="5000" w:type="pct"/>
            <w:tcBorders>
              <w:top w:val="nil"/>
              <w:left w:val="nil"/>
              <w:bottom w:val="nil"/>
              <w:right w:val="nil"/>
            </w:tcBorders>
            <w:shd w:val="clear" w:color="auto" w:fill="auto"/>
            <w:noWrap/>
            <w:vAlign w:val="center"/>
          </w:tcPr>
          <w:tbl>
            <w:tblPr>
              <w:tblStyle w:val="5"/>
              <w:tblW w:w="0" w:type="auto"/>
              <w:jc w:val="center"/>
              <w:tblLayout w:type="autofit"/>
              <w:tblCellMar>
                <w:top w:w="0" w:type="dxa"/>
                <w:left w:w="108" w:type="dxa"/>
                <w:bottom w:w="0" w:type="dxa"/>
                <w:right w:w="108" w:type="dxa"/>
              </w:tblCellMar>
            </w:tblPr>
            <w:tblGrid>
              <w:gridCol w:w="2163"/>
              <w:gridCol w:w="1276"/>
              <w:gridCol w:w="1418"/>
              <w:gridCol w:w="836"/>
              <w:gridCol w:w="2397"/>
            </w:tblGrid>
            <w:tr>
              <w:tblPrEx>
                <w:tblCellMar>
                  <w:top w:w="0" w:type="dxa"/>
                  <w:left w:w="108" w:type="dxa"/>
                  <w:bottom w:w="0" w:type="dxa"/>
                  <w:right w:w="108" w:type="dxa"/>
                </w:tblCellMar>
              </w:tblPrEx>
              <w:trPr>
                <w:trHeight w:val="405" w:hRule="atLeast"/>
                <w:jc w:val="center"/>
              </w:trPr>
              <w:tc>
                <w:tcPr>
                  <w:tcW w:w="8090" w:type="dxa"/>
                  <w:gridSpan w:val="5"/>
                  <w:tcBorders>
                    <w:top w:val="nil"/>
                    <w:left w:val="nil"/>
                    <w:bottom w:val="nil"/>
                    <w:right w:val="nil"/>
                  </w:tcBorders>
                  <w:vAlign w:val="center"/>
                </w:tcPr>
                <w:p>
                  <w:pPr>
                    <w:spacing w:line="360" w:lineRule="auto"/>
                    <w:rPr>
                      <w:rFonts w:ascii="黑体" w:hAnsi="黑体" w:eastAsia="黑体" w:cs="宋体"/>
                      <w:kern w:val="0"/>
                      <w:sz w:val="32"/>
                      <w:szCs w:val="32"/>
                    </w:rPr>
                  </w:pPr>
                </w:p>
              </w:tc>
            </w:tr>
            <w:tr>
              <w:tblPrEx>
                <w:tblCellMar>
                  <w:top w:w="0" w:type="dxa"/>
                  <w:left w:w="108" w:type="dxa"/>
                  <w:bottom w:w="0" w:type="dxa"/>
                  <w:right w:w="108" w:type="dxa"/>
                </w:tblCellMar>
              </w:tblPrEx>
              <w:trPr>
                <w:trHeight w:val="221" w:hRule="atLeast"/>
                <w:jc w:val="center"/>
              </w:trPr>
              <w:tc>
                <w:tcPr>
                  <w:tcW w:w="2163" w:type="dxa"/>
                  <w:tcBorders>
                    <w:top w:val="nil"/>
                    <w:left w:val="nil"/>
                    <w:bottom w:val="nil"/>
                    <w:right w:val="nil"/>
                  </w:tcBorders>
                  <w:vAlign w:val="center"/>
                </w:tcPr>
                <w:p>
                  <w:pPr>
                    <w:widowControl/>
                    <w:jc w:val="left"/>
                    <w:rPr>
                      <w:rFonts w:ascii="宋体" w:hAnsi="宋体" w:cs="宋体"/>
                      <w:kern w:val="0"/>
                      <w:sz w:val="24"/>
                      <w:szCs w:val="24"/>
                    </w:rPr>
                  </w:pPr>
                </w:p>
              </w:tc>
              <w:tc>
                <w:tcPr>
                  <w:tcW w:w="1276" w:type="dxa"/>
                  <w:tcBorders>
                    <w:top w:val="nil"/>
                    <w:left w:val="nil"/>
                    <w:bottom w:val="nil"/>
                    <w:right w:val="nil"/>
                  </w:tcBorders>
                  <w:vAlign w:val="center"/>
                </w:tcPr>
                <w:p>
                  <w:pPr>
                    <w:widowControl/>
                    <w:jc w:val="left"/>
                    <w:rPr>
                      <w:rFonts w:ascii="宋体" w:hAnsi="宋体" w:cs="宋体"/>
                      <w:kern w:val="0"/>
                      <w:sz w:val="24"/>
                      <w:szCs w:val="24"/>
                    </w:rPr>
                  </w:pPr>
                </w:p>
              </w:tc>
              <w:tc>
                <w:tcPr>
                  <w:tcW w:w="1418" w:type="dxa"/>
                  <w:tcBorders>
                    <w:top w:val="nil"/>
                    <w:left w:val="nil"/>
                    <w:bottom w:val="nil"/>
                    <w:right w:val="nil"/>
                  </w:tcBorders>
                  <w:vAlign w:val="center"/>
                </w:tcPr>
                <w:p>
                  <w:pPr>
                    <w:widowControl/>
                    <w:jc w:val="left"/>
                    <w:rPr>
                      <w:rFonts w:ascii="宋体" w:hAnsi="宋体" w:cs="宋体"/>
                      <w:kern w:val="0"/>
                      <w:sz w:val="24"/>
                      <w:szCs w:val="24"/>
                    </w:rPr>
                  </w:pPr>
                </w:p>
              </w:tc>
              <w:tc>
                <w:tcPr>
                  <w:tcW w:w="836" w:type="dxa"/>
                  <w:tcBorders>
                    <w:top w:val="nil"/>
                    <w:left w:val="nil"/>
                    <w:bottom w:val="nil"/>
                    <w:right w:val="nil"/>
                  </w:tcBorders>
                  <w:vAlign w:val="center"/>
                </w:tcPr>
                <w:p>
                  <w:pPr>
                    <w:widowControl/>
                    <w:jc w:val="left"/>
                    <w:rPr>
                      <w:rFonts w:ascii="宋体" w:hAnsi="宋体" w:cs="宋体"/>
                      <w:kern w:val="0"/>
                      <w:sz w:val="24"/>
                      <w:szCs w:val="24"/>
                    </w:rPr>
                  </w:pPr>
                </w:p>
              </w:tc>
              <w:tc>
                <w:tcPr>
                  <w:tcW w:w="2397"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单位：万元</w:t>
                  </w:r>
                </w:p>
              </w:tc>
            </w:tr>
            <w:tr>
              <w:tblPrEx>
                <w:tblCellMar>
                  <w:top w:w="0" w:type="dxa"/>
                  <w:left w:w="108" w:type="dxa"/>
                  <w:bottom w:w="0" w:type="dxa"/>
                  <w:right w:w="108" w:type="dxa"/>
                </w:tblCellMar>
              </w:tblPrEx>
              <w:trPr>
                <w:trHeight w:val="285"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2020</w:t>
                  </w:r>
                  <w:r>
                    <w:rPr>
                      <w:rFonts w:hint="eastAsia" w:ascii="仿宋_GB2312" w:hAnsi="宋体" w:eastAsia="仿宋_GB2312" w:cs="宋体"/>
                      <w:b/>
                      <w:kern w:val="0"/>
                      <w:sz w:val="24"/>
                      <w:szCs w:val="24"/>
                    </w:rPr>
                    <w:t>年度预算</w:t>
                  </w:r>
                </w:p>
              </w:tc>
              <w:tc>
                <w:tcPr>
                  <w:tcW w:w="1418"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2021</w:t>
                  </w:r>
                  <w:r>
                    <w:rPr>
                      <w:rFonts w:hint="eastAsia" w:ascii="仿宋_GB2312" w:hAnsi="宋体" w:eastAsia="仿宋_GB2312" w:cs="宋体"/>
                      <w:b/>
                      <w:kern w:val="0"/>
                      <w:sz w:val="24"/>
                      <w:szCs w:val="24"/>
                    </w:rPr>
                    <w:t>年度预算</w:t>
                  </w:r>
                </w:p>
              </w:tc>
              <w:tc>
                <w:tcPr>
                  <w:tcW w:w="83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397"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变化原因</w:t>
                  </w:r>
                </w:p>
              </w:tc>
            </w:tr>
            <w:tr>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因公出国经费</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tblPrEx>
                <w:tblCellMar>
                  <w:top w:w="0" w:type="dxa"/>
                  <w:left w:w="108" w:type="dxa"/>
                  <w:bottom w:w="0" w:type="dxa"/>
                  <w:right w:w="108" w:type="dxa"/>
                </w:tblCellMar>
              </w:tblPrEx>
              <w:trPr>
                <w:trHeight w:val="570"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18.03</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18.03</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tblPrEx>
                <w:tblCellMar>
                  <w:top w:w="0" w:type="dxa"/>
                  <w:left w:w="108" w:type="dxa"/>
                  <w:bottom w:w="0" w:type="dxa"/>
                  <w:right w:w="108" w:type="dxa"/>
                </w:tblCellMar>
              </w:tblPrEx>
              <w:trPr>
                <w:trHeight w:val="85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0.8</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0.8</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tblPrEx>
                <w:tblCellMar>
                  <w:top w:w="0" w:type="dxa"/>
                  <w:left w:w="108" w:type="dxa"/>
                  <w:bottom w:w="0" w:type="dxa"/>
                  <w:right w:w="108" w:type="dxa"/>
                </w:tblCellMar>
              </w:tblPrEx>
              <w:trPr>
                <w:trHeight w:val="547"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18.83</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18.83</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tblPrEx>
                <w:tblCellMar>
                  <w:top w:w="0" w:type="dxa"/>
                  <w:left w:w="108" w:type="dxa"/>
                  <w:bottom w:w="0" w:type="dxa"/>
                  <w:right w:w="108" w:type="dxa"/>
                </w:tblCellMar>
              </w:tblPrEx>
              <w:trPr>
                <w:trHeight w:val="285" w:hRule="atLeast"/>
                <w:jc w:val="center"/>
              </w:trPr>
              <w:tc>
                <w:tcPr>
                  <w:tcW w:w="2163" w:type="dxa"/>
                  <w:tcBorders>
                    <w:top w:val="nil"/>
                    <w:left w:val="nil"/>
                    <w:bottom w:val="nil"/>
                    <w:right w:val="nil"/>
                  </w:tcBorders>
                  <w:vAlign w:val="center"/>
                </w:tcPr>
                <w:p>
                  <w:pPr>
                    <w:widowControl/>
                    <w:jc w:val="left"/>
                    <w:rPr>
                      <w:rFonts w:ascii="宋体" w:hAnsi="宋体" w:cs="宋体"/>
                      <w:kern w:val="0"/>
                      <w:sz w:val="24"/>
                      <w:szCs w:val="24"/>
                    </w:rPr>
                  </w:pPr>
                </w:p>
              </w:tc>
              <w:tc>
                <w:tcPr>
                  <w:tcW w:w="1276" w:type="dxa"/>
                  <w:tcBorders>
                    <w:top w:val="nil"/>
                    <w:left w:val="nil"/>
                    <w:bottom w:val="nil"/>
                    <w:right w:val="nil"/>
                  </w:tcBorders>
                  <w:vAlign w:val="center"/>
                </w:tcPr>
                <w:p>
                  <w:pPr>
                    <w:widowControl/>
                    <w:jc w:val="left"/>
                    <w:rPr>
                      <w:rFonts w:ascii="宋体" w:hAnsi="宋体" w:cs="宋体"/>
                      <w:kern w:val="0"/>
                      <w:sz w:val="24"/>
                      <w:szCs w:val="24"/>
                    </w:rPr>
                  </w:pPr>
                </w:p>
              </w:tc>
              <w:tc>
                <w:tcPr>
                  <w:tcW w:w="1418" w:type="dxa"/>
                  <w:tcBorders>
                    <w:top w:val="nil"/>
                    <w:left w:val="nil"/>
                    <w:bottom w:val="nil"/>
                    <w:right w:val="nil"/>
                  </w:tcBorders>
                  <w:vAlign w:val="center"/>
                </w:tcPr>
                <w:p>
                  <w:pPr>
                    <w:widowControl/>
                    <w:jc w:val="left"/>
                    <w:rPr>
                      <w:rFonts w:ascii="宋体" w:hAnsi="宋体" w:cs="宋体"/>
                      <w:kern w:val="0"/>
                      <w:sz w:val="24"/>
                      <w:szCs w:val="24"/>
                    </w:rPr>
                  </w:pPr>
                </w:p>
              </w:tc>
              <w:tc>
                <w:tcPr>
                  <w:tcW w:w="836" w:type="dxa"/>
                  <w:tcBorders>
                    <w:top w:val="nil"/>
                    <w:left w:val="nil"/>
                    <w:bottom w:val="nil"/>
                    <w:right w:val="nil"/>
                  </w:tcBorders>
                  <w:vAlign w:val="center"/>
                </w:tcPr>
                <w:p>
                  <w:pPr>
                    <w:widowControl/>
                    <w:jc w:val="left"/>
                    <w:rPr>
                      <w:rFonts w:ascii="宋体" w:hAnsi="宋体" w:cs="宋体"/>
                      <w:kern w:val="0"/>
                      <w:sz w:val="24"/>
                      <w:szCs w:val="24"/>
                    </w:rPr>
                  </w:pPr>
                </w:p>
              </w:tc>
              <w:tc>
                <w:tcPr>
                  <w:tcW w:w="2397" w:type="dxa"/>
                  <w:tcBorders>
                    <w:top w:val="nil"/>
                    <w:left w:val="nil"/>
                    <w:bottom w:val="nil"/>
                    <w:right w:val="nil"/>
                  </w:tcBorders>
                  <w:vAlign w:val="center"/>
                </w:tcPr>
                <w:p>
                  <w:pPr>
                    <w:widowControl/>
                    <w:jc w:val="left"/>
                    <w:rPr>
                      <w:rFonts w:ascii="宋体" w:hAnsi="宋体" w:cs="宋体"/>
                      <w:kern w:val="0"/>
                      <w:sz w:val="24"/>
                      <w:szCs w:val="24"/>
                    </w:rPr>
                  </w:pPr>
                </w:p>
              </w:tc>
            </w:tr>
          </w:tbl>
          <w:p>
            <w:pPr>
              <w:widowControl/>
              <w:spacing w:line="520" w:lineRule="exact"/>
              <w:ind w:right="480"/>
              <w:rPr>
                <w:rFonts w:ascii="仿宋" w:hAnsi="仿宋" w:eastAsia="仿宋" w:cs="宋体"/>
                <w:kern w:val="0"/>
                <w:sz w:val="24"/>
                <w:szCs w:val="24"/>
              </w:rPr>
            </w:pPr>
          </w:p>
        </w:tc>
      </w:tr>
    </w:tbl>
    <w:p>
      <w:pPr>
        <w:spacing w:line="360" w:lineRule="auto"/>
        <w:rPr>
          <w:rFonts w:ascii="黑体" w:hAnsi="黑体" w:eastAsia="黑体" w:cs="Times New Roman"/>
          <w:sz w:val="32"/>
          <w:szCs w:val="32"/>
        </w:rPr>
      </w:pPr>
    </w:p>
    <w:p>
      <w:pPr>
        <w:spacing w:line="360" w:lineRule="auto"/>
        <w:rPr>
          <w:rFonts w:ascii="黑体" w:hAnsi="黑体" w:eastAsia="黑体" w:cs="Times New Roman"/>
          <w:sz w:val="32"/>
          <w:szCs w:val="32"/>
        </w:rPr>
      </w:pPr>
    </w:p>
    <w:p>
      <w:pPr>
        <w:jc w:val="center"/>
        <w:outlineLvl w:val="0"/>
        <w:rPr>
          <w:rFonts w:ascii="方正小标宋_GBK" w:eastAsia="方正小标宋_GBK"/>
          <w:sz w:val="44"/>
        </w:rPr>
      </w:pPr>
      <w:r>
        <w:rPr>
          <w:rFonts w:hint="eastAsia" w:ascii="方正小标宋_GBK" w:eastAsia="方正小标宋_GBK"/>
          <w:sz w:val="44"/>
        </w:rPr>
        <w:t>第五部分：预算绩效信息</w:t>
      </w:r>
    </w:p>
    <w:p>
      <w:pPr>
        <w:spacing w:line="360" w:lineRule="auto"/>
        <w:jc w:val="center"/>
        <w:rPr>
          <w:rFonts w:ascii="黑体" w:hAnsi="黑体" w:eastAsia="黑体" w:cs="Times New Roman"/>
          <w:sz w:val="32"/>
          <w:szCs w:val="32"/>
        </w:rPr>
      </w:pPr>
    </w:p>
    <w:p>
      <w:pPr>
        <w:jc w:val="center"/>
        <w:outlineLvl w:val="0"/>
        <w:rPr>
          <w:rFonts w:ascii="方正小标宋_GBK" w:eastAsia="方正小标宋_GBK"/>
          <w:sz w:val="44"/>
        </w:rPr>
      </w:pPr>
      <w:r>
        <w:rPr>
          <w:rFonts w:hint="eastAsia" w:ascii="方正小标宋_GBK" w:eastAsia="方正小标宋_GBK"/>
          <w:sz w:val="44"/>
        </w:rPr>
        <w:t>部门整体</w:t>
      </w:r>
      <w:r>
        <w:rPr>
          <w:rFonts w:ascii="方正小标宋_GBK" w:eastAsia="方正小标宋_GBK"/>
          <w:sz w:val="44"/>
        </w:rPr>
        <w:t>绩效目标</w:t>
      </w:r>
    </w:p>
    <w:p>
      <w:pPr>
        <w:spacing w:before="156" w:beforeLines="50" w:after="156" w:afterLines="50"/>
        <w:ind w:firstLine="560" w:firstLineChars="200"/>
        <w:jc w:val="left"/>
        <w:outlineLvl w:val="1"/>
        <w:rPr>
          <w:rFonts w:ascii="Times New Roman" w:hAnsi="宋体" w:eastAsia="宋体"/>
          <w:sz w:val="28"/>
        </w:rPr>
      </w:pPr>
      <w:bookmarkStart w:id="0" w:name="_Toc66956204"/>
      <w:r>
        <w:rPr>
          <w:rFonts w:hint="eastAsia" w:ascii="方正黑体_GBK" w:eastAsia="方正黑体_GBK"/>
          <w:sz w:val="28"/>
        </w:rPr>
        <w:t>一、总体绩效目标</w:t>
      </w:r>
      <w:bookmarkEnd w:id="0"/>
      <w:r>
        <w:rPr>
          <w:rFonts w:ascii="方正黑体_GBK" w:eastAsia="方正黑体_GBK"/>
          <w:sz w:val="28"/>
        </w:rPr>
        <w:fldChar w:fldCharType="begin"/>
      </w:r>
      <w:r>
        <w:rPr>
          <w:rFonts w:ascii="方正黑体_GBK" w:eastAsia="方正黑体_GBK"/>
          <w:sz w:val="28"/>
        </w:rPr>
        <w:instrText xml:space="preserve"> </w:instrText>
      </w:r>
      <w:r>
        <w:rPr>
          <w:rFonts w:hint="eastAsia" w:ascii="方正黑体_GBK" w:eastAsia="方正黑体_GBK"/>
          <w:sz w:val="28"/>
        </w:rPr>
        <w:instrText xml:space="preserve">TC 总体绩效目标 \f A \l 1</w:instrText>
      </w:r>
      <w:r>
        <w:rPr>
          <w:rFonts w:ascii="方正黑体_GBK" w:eastAsia="方正黑体_GBK"/>
          <w:sz w:val="28"/>
        </w:rPr>
        <w:instrText xml:space="preserve"> </w:instrText>
      </w:r>
      <w:r>
        <w:rPr>
          <w:rFonts w:ascii="方正黑体_GBK" w:eastAsia="方正黑体_GBK"/>
          <w:sz w:val="28"/>
        </w:rPr>
        <w:fldChar w:fldCharType="end"/>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以习近平总书记</w:t>
      </w:r>
      <w:r>
        <w:rPr>
          <w:rFonts w:ascii="Times New Roman" w:eastAsia="方正仿宋_GBK"/>
          <w:sz w:val="28"/>
        </w:rPr>
        <w:t>“</w:t>
      </w:r>
      <w:r>
        <w:rPr>
          <w:rFonts w:hint="eastAsia" w:ascii="Times New Roman" w:hAnsi="微软雅黑" w:eastAsia="方正仿宋_GBK" w:cs="微软雅黑"/>
          <w:sz w:val="28"/>
        </w:rPr>
        <w:t>节水优先、空间均衡、系统治理、两手发力</w:t>
      </w:r>
      <w:r>
        <w:rPr>
          <w:rFonts w:ascii="Times New Roman" w:eastAsia="方正仿宋_GBK"/>
          <w:sz w:val="28"/>
        </w:rPr>
        <w:t>”</w:t>
      </w:r>
      <w:r>
        <w:rPr>
          <w:rFonts w:hint="eastAsia" w:ascii="Times New Roman" w:hAnsi="微软雅黑" w:eastAsia="方正仿宋_GBK" w:cs="微软雅黑"/>
          <w:sz w:val="28"/>
        </w:rPr>
        <w:t>的治水思路，紧紧围绕全面深化改革的总体要求，牢牢把握京雄保一体化发展、服务雄安新区规划建设和白洋淀上游生态文明建设的战略部署，以</w:t>
      </w:r>
      <w:r>
        <w:rPr>
          <w:rFonts w:ascii="Times New Roman" w:eastAsia="方正仿宋_GBK"/>
          <w:sz w:val="28"/>
        </w:rPr>
        <w:t>“</w:t>
      </w:r>
      <w:r>
        <w:rPr>
          <w:rFonts w:hint="eastAsia" w:ascii="Times New Roman" w:hAnsi="微软雅黑" w:eastAsia="方正仿宋_GBK" w:cs="微软雅黑"/>
          <w:sz w:val="28"/>
        </w:rPr>
        <w:t>水利工程补短板、水利行业强监管</w:t>
      </w:r>
      <w:r>
        <w:rPr>
          <w:rFonts w:ascii="Times New Roman" w:eastAsia="方正仿宋_GBK"/>
          <w:sz w:val="28"/>
        </w:rPr>
        <w:t>”</w:t>
      </w:r>
      <w:r>
        <w:rPr>
          <w:rFonts w:hint="eastAsia" w:ascii="Times New Roman" w:hAnsi="微软雅黑" w:eastAsia="方正仿宋_GBK" w:cs="微软雅黑"/>
          <w:sz w:val="28"/>
        </w:rPr>
        <w:t>为工作目标，认真贯彻坚持与时俱进、因水制宜，以推进水利现代化进程为主线，以提升水安全保障能力为目的，通过建设调水蓄水、防洪保安、生态修复、民生水利等一批水利工程，加强水资源、河湖水域、水利工程、洪水风险等重点方面管理，不断完善水法规体系，深化水利</w:t>
      </w:r>
      <w:r>
        <w:rPr>
          <w:rFonts w:ascii="Times New Roman" w:eastAsia="方正仿宋_GBK"/>
          <w:sz w:val="28"/>
        </w:rPr>
        <w:t>“</w:t>
      </w:r>
      <w:r>
        <w:rPr>
          <w:rFonts w:hint="eastAsia" w:ascii="Times New Roman" w:hAnsi="微软雅黑" w:eastAsia="方正仿宋_GBK" w:cs="微软雅黑"/>
          <w:sz w:val="28"/>
        </w:rPr>
        <w:t>放管服</w:t>
      </w:r>
      <w:r>
        <w:rPr>
          <w:rFonts w:ascii="Times New Roman" w:eastAsia="方正仿宋_GBK"/>
          <w:sz w:val="28"/>
        </w:rPr>
        <w:t>”</w:t>
      </w:r>
      <w:r>
        <w:rPr>
          <w:rFonts w:hint="eastAsia" w:ascii="Times New Roman" w:hAnsi="微软雅黑" w:eastAsia="方正仿宋_GBK" w:cs="微软雅黑"/>
          <w:sz w:val="28"/>
        </w:rPr>
        <w:t>、生态补偿、治水体制机制等一系列重大改革，统筹水资源、水生态、水环境安全问题，整体推进节约保护、开发利用、资源配置，加快推进从供水管理向需水管理转变，从粗放用水向集约用水方式转变，从过度开发水资源向主动保护水资源转变，从单一治理向系统治理转变，科学治水，依法治水，严格控制用水总量和提高用水效率</w:t>
      </w:r>
      <w:r>
        <w:rPr>
          <w:rFonts w:ascii="Times New Roman" w:eastAsia="方正仿宋_GBK"/>
          <w:sz w:val="28"/>
        </w:rPr>
        <w:t>,</w:t>
      </w:r>
      <w:r>
        <w:rPr>
          <w:rFonts w:hint="eastAsia" w:ascii="Times New Roman" w:hAnsi="微软雅黑" w:eastAsia="方正仿宋_GBK" w:cs="微软雅黑"/>
          <w:sz w:val="28"/>
        </w:rPr>
        <w:t>坚持统筹兼顾，保障合理用水需求和水资源的可持续利用，为经济社会发展提供水安全保障。</w:t>
      </w:r>
    </w:p>
    <w:p>
      <w:pPr>
        <w:spacing w:before="156" w:beforeLines="50" w:after="156" w:afterLines="50" w:line="500" w:lineRule="exact"/>
        <w:ind w:firstLine="560" w:firstLineChars="200"/>
        <w:jc w:val="left"/>
        <w:outlineLvl w:val="1"/>
        <w:rPr>
          <w:rFonts w:ascii="Times New Roman" w:hAnsi="宋体" w:eastAsia="宋体"/>
          <w:sz w:val="28"/>
        </w:rPr>
      </w:pPr>
      <w:bookmarkStart w:id="1" w:name="_Toc66956205"/>
      <w:r>
        <w:rPr>
          <w:rFonts w:ascii="方正黑体_GBK" w:eastAsia="方正黑体_GBK"/>
          <w:sz w:val="28"/>
        </w:rPr>
        <w:t>二、分项绩效目标</w:t>
      </w:r>
      <w:bookmarkEnd w:id="1"/>
      <w:r>
        <w:rPr>
          <w:rFonts w:ascii="方正黑体_GBK" w:eastAsia="方正黑体_GBK"/>
          <w:sz w:val="28"/>
        </w:rPr>
        <w:fldChar w:fldCharType="begin"/>
      </w:r>
      <w:r>
        <w:rPr>
          <w:rFonts w:ascii="方正黑体_GBK" w:eastAsia="方正黑体_GBK"/>
          <w:sz w:val="28"/>
        </w:rPr>
        <w:instrText xml:space="preserve"> TC 分项绩效目标 \f A \l 1 </w:instrText>
      </w:r>
      <w:r>
        <w:rPr>
          <w:rFonts w:ascii="方正黑体_GBK" w:eastAsia="方正黑体_GBK"/>
          <w:sz w:val="28"/>
        </w:rPr>
        <w:fldChar w:fldCharType="end"/>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（一）进一步保障水资源的合理开发利用</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绩效目标：保障水资源合理开发利用，编制全区水资源规划及实施方案。</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绩效指标：编制完成《徐水区</w:t>
      </w:r>
      <w:r>
        <w:rPr>
          <w:rFonts w:ascii="Times New Roman" w:eastAsia="方正仿宋_GBK"/>
          <w:sz w:val="28"/>
        </w:rPr>
        <w:t>“</w:t>
      </w:r>
      <w:r>
        <w:rPr>
          <w:rFonts w:hint="eastAsia" w:ascii="Times New Roman" w:hAnsi="微软雅黑" w:eastAsia="方正仿宋_GBK" w:cs="微软雅黑"/>
          <w:sz w:val="28"/>
        </w:rPr>
        <w:t>十四五</w:t>
      </w:r>
      <w:r>
        <w:rPr>
          <w:rFonts w:ascii="Times New Roman" w:eastAsia="方正仿宋_GBK"/>
          <w:sz w:val="28"/>
        </w:rPr>
        <w:t>”</w:t>
      </w:r>
      <w:r>
        <w:rPr>
          <w:rFonts w:hint="eastAsia" w:ascii="Times New Roman" w:hAnsi="微软雅黑" w:eastAsia="方正仿宋_GBK" w:cs="微软雅黑"/>
          <w:sz w:val="28"/>
        </w:rPr>
        <w:t>水安全保障规划》、水资源开放利用及保护实施方案等。</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（二）进一步增强生活、生产经营和生态环境用水的统筹和保障</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组织实施最严格水资源管理制度，实施水资源统一监督管理，拟定全区用水计划并监督实施。组织实施取水许可、水资源论证和防洪论证制度。指导开展水资源有偿使用工作，指导行业供水和乡镇供水工作。</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绩效指标：根据最严格水资源管理制度，组织专家取水许可的进行技术审查、评估、验收等工作。</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（三）水资源开发利用监控能力进一步增强</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绩效目标：实施水资源保护规划，指导饮用水水源保护有关工作，指导地下水开发利用和地下水资源管理保护，组织实施地下水超采区综合治理。</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指标：水资源管理系统正常运行，为水资源管理提供数据支撑、提升信息化管理水平，加强取水监管。按照大型灌区、中型灌区、小型灌区、井灌区不同灌溉形式，采用点与面相结合的方法完成农田灌溉水有效利用系数测算分析工作。</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（四）节约用水工作进一步优化</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全区农田灌溉水有效利用系数测算工作，针对全区农田灌溉水有效利用进行测算，主要用于节水型社会建设中完善节水制度、节水宣传，基础资料调研、关键技术研究，节约用水和计划用水信息化管理服务，提升节水、用水信息化管理水平。</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绩效指标：完成徐水区农田灌溉水有效利用系数测算，了解相关政策、剖析当前相关技术进展，确定</w:t>
      </w:r>
      <w:r>
        <w:rPr>
          <w:rFonts w:ascii="Times New Roman" w:eastAsia="方正仿宋_GBK"/>
          <w:sz w:val="28"/>
        </w:rPr>
        <w:t>“</w:t>
      </w:r>
      <w:r>
        <w:rPr>
          <w:rFonts w:hint="eastAsia" w:ascii="Times New Roman" w:hAnsi="微软雅黑" w:eastAsia="方正仿宋_GBK" w:cs="微软雅黑"/>
          <w:sz w:val="28"/>
        </w:rPr>
        <w:t>十四五</w:t>
      </w:r>
      <w:r>
        <w:rPr>
          <w:rFonts w:ascii="Times New Roman" w:eastAsia="方正仿宋_GBK"/>
          <w:sz w:val="28"/>
        </w:rPr>
        <w:t>”</w:t>
      </w:r>
      <w:r>
        <w:rPr>
          <w:rFonts w:hint="eastAsia" w:ascii="Times New Roman" w:hAnsi="微软雅黑" w:eastAsia="方正仿宋_GBK" w:cs="微软雅黑"/>
          <w:sz w:val="28"/>
        </w:rPr>
        <w:t>相关关键技术措施，积极撰写科技论文，提高科研人员技术水平和规划编制水平，为规划的全域实施奠定基础，保障节约用水信息系统运行正常。</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（五）水利设施、水域及其岸线的管理、保护与综合利用意识进一步增强</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w:t>
      </w:r>
      <w:r>
        <w:rPr>
          <w:rFonts w:ascii="Times New Roman" w:eastAsia="方正仿宋_GBK"/>
          <w:sz w:val="28"/>
        </w:rPr>
        <w:t xml:space="preserve"> </w:t>
      </w:r>
      <w:r>
        <w:rPr>
          <w:rFonts w:hint="eastAsia" w:ascii="Times New Roman" w:hAnsi="微软雅黑" w:eastAsia="方正仿宋_GBK" w:cs="微软雅黑"/>
          <w:sz w:val="28"/>
        </w:rPr>
        <w:t>通过中小河流治理，提供防洪能力，达到保护沿岸人民生命和财产安全的目的，实现</w:t>
      </w:r>
      <w:r>
        <w:rPr>
          <w:rFonts w:ascii="Times New Roman" w:eastAsia="方正仿宋_GBK"/>
          <w:sz w:val="28"/>
        </w:rPr>
        <w:t>“</w:t>
      </w:r>
      <w:r>
        <w:rPr>
          <w:rFonts w:hint="eastAsia" w:ascii="Times New Roman" w:hAnsi="微软雅黑" w:eastAsia="方正仿宋_GBK" w:cs="微软雅黑"/>
          <w:sz w:val="28"/>
        </w:rPr>
        <w:t>保护村镇、守点固岸、防冲消能</w:t>
      </w:r>
      <w:r>
        <w:rPr>
          <w:rFonts w:ascii="Times New Roman" w:eastAsia="方正仿宋_GBK"/>
          <w:sz w:val="28"/>
        </w:rPr>
        <w:t>”</w:t>
      </w:r>
      <w:r>
        <w:rPr>
          <w:rFonts w:hint="eastAsia" w:ascii="Times New Roman" w:hAnsi="微软雅黑" w:eastAsia="方正仿宋_GBK" w:cs="微软雅黑"/>
          <w:sz w:val="28"/>
        </w:rPr>
        <w:t>目标，开展洪涝灾害调查、视频会商、群测群防体系及视频监控站等建设，提高基层防汛预警能力，不断提高洪涝灾害防治区群众主动防灾避险意识和自救互救能力。</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绩效指标：完成瀑河石桥段中小河流治理，配合漕河综合治理工作，完工项目初步验收率达到</w:t>
      </w:r>
      <w:r>
        <w:rPr>
          <w:rFonts w:ascii="Times New Roman" w:eastAsia="方正仿宋_GBK"/>
          <w:sz w:val="28"/>
        </w:rPr>
        <w:t>100%</w:t>
      </w:r>
      <w:r>
        <w:rPr>
          <w:rFonts w:hint="eastAsia" w:ascii="Times New Roman" w:hAnsi="微软雅黑" w:eastAsia="方正仿宋_GBK" w:cs="微软雅黑"/>
          <w:sz w:val="28"/>
        </w:rPr>
        <w:t>。</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（六）水利工程建设与运行管理水平进一步提高</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实施全区河流、水库的运行与维护，确保工程的安全和完整，确保闸涵工程安全，充分发挥工程效益，排水系统清理；观测设施维修；闸门启闭系统和机电设施维修、自动化系统维修，延长工程的使用寿命。</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绩效指标：所辖水利工程按原设计正常运行</w:t>
      </w:r>
      <w:r>
        <w:rPr>
          <w:rFonts w:ascii="Times New Roman" w:eastAsia="方正仿宋_GBK"/>
          <w:sz w:val="28"/>
        </w:rPr>
        <w:t>,</w:t>
      </w:r>
      <w:r>
        <w:rPr>
          <w:rFonts w:hint="eastAsia" w:ascii="Times New Roman" w:hAnsi="微软雅黑" w:eastAsia="方正仿宋_GBK" w:cs="微软雅黑"/>
          <w:sz w:val="28"/>
        </w:rPr>
        <w:t>确保行洪排沥河道的在河系行洪排沥调度等方面发挥着重要作用，保障保护区耕地、铁路、公路、群众安全。</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（七）水土保持工作效果进一步显现</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绩效目标：拟定水土保持规划并监督实施，负责建设项目水土保持监督管理工作。</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绩效指标：加强对区域内所有建设项目水土保持监督管理工作。</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（八）农村饮水安全保障工作进一步提升</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实施农村饮水工程维修养护，包括农村集中供水工程及其配套设施修缮，供水设备及配件、水表等更换，供水管材管件购置与更换，为农村饮水工程长效运行提供支撑。推进农村生活水源江水置换工作。</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绩效指标：</w:t>
      </w:r>
      <w:r>
        <w:rPr>
          <w:rFonts w:ascii="Times New Roman" w:eastAsia="方正仿宋_GBK"/>
          <w:sz w:val="28"/>
        </w:rPr>
        <w:t>2021</w:t>
      </w:r>
      <w:r>
        <w:rPr>
          <w:rFonts w:hint="eastAsia" w:ascii="Times New Roman" w:hAnsi="微软雅黑" w:eastAsia="方正仿宋_GBK" w:cs="微软雅黑"/>
          <w:sz w:val="28"/>
        </w:rPr>
        <w:t>年按照河北省水利厅任务清单和资金计划完成农村饮水工程维修养护。</w:t>
      </w:r>
      <w:r>
        <w:rPr>
          <w:rFonts w:ascii="Times New Roman" w:eastAsia="方正仿宋_GBK"/>
          <w:sz w:val="28"/>
        </w:rPr>
        <w:t>6</w:t>
      </w:r>
      <w:r>
        <w:rPr>
          <w:rFonts w:hint="eastAsia" w:ascii="Times New Roman" w:hAnsi="微软雅黑" w:eastAsia="方正仿宋_GBK" w:cs="微软雅黑"/>
          <w:sz w:val="28"/>
        </w:rPr>
        <w:t>月底完成工程筹备、</w:t>
      </w:r>
      <w:r>
        <w:rPr>
          <w:rFonts w:ascii="Times New Roman" w:eastAsia="方正仿宋_GBK"/>
          <w:sz w:val="28"/>
        </w:rPr>
        <w:t>12</w:t>
      </w:r>
      <w:r>
        <w:rPr>
          <w:rFonts w:hint="eastAsia" w:ascii="Times New Roman" w:hAnsi="微软雅黑" w:eastAsia="方正仿宋_GBK" w:cs="微软雅黑"/>
          <w:sz w:val="28"/>
        </w:rPr>
        <w:t>月底前组织实施工程、建立工程良性运行机制，使农民群众喝上放心水。完成</w:t>
      </w:r>
      <w:r>
        <w:rPr>
          <w:rFonts w:ascii="Times New Roman" w:eastAsia="方正仿宋_GBK"/>
          <w:sz w:val="28"/>
        </w:rPr>
        <w:t>2021</w:t>
      </w:r>
      <w:r>
        <w:rPr>
          <w:rFonts w:hint="eastAsia" w:ascii="Times New Roman" w:hAnsi="微软雅黑" w:eastAsia="方正仿宋_GBK" w:cs="微软雅黑"/>
          <w:sz w:val="28"/>
        </w:rPr>
        <w:t>年度农村生活水源置换项目任务。</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（九）水库移民扶持工作取得实效</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绩效目标：按时发放大中型水库移民人口直补资金，按时完成项目资金拨付。</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绩效指标：开展移民直接补助受益人口核查，增加库区移民每年人均可支配收入约</w:t>
      </w:r>
      <w:r>
        <w:rPr>
          <w:rFonts w:ascii="Times New Roman" w:eastAsia="方正仿宋_GBK"/>
          <w:sz w:val="28"/>
        </w:rPr>
        <w:t>600</w:t>
      </w:r>
      <w:r>
        <w:rPr>
          <w:rFonts w:hint="eastAsia" w:ascii="Times New Roman" w:hAnsi="微软雅黑" w:eastAsia="方正仿宋_GBK" w:cs="微软雅黑"/>
          <w:sz w:val="28"/>
        </w:rPr>
        <w:t>元，提高收益群众满意度。</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（十）综合防灾减灾能力进一步提高</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绩效目标：发挥防洪减灾体系作用，最大限度地减少洪涝灾害造成的人员伤亡和财产损失；各类洪水调度方案和预案修订完善、监测预警通信设施维护、会商系统维护、水旱灾</w:t>
      </w:r>
      <w:r>
        <w:rPr>
          <w:rFonts w:hint="eastAsia" w:ascii="Times New Roman" w:hAnsi="微软雅黑" w:eastAsia="方正仿宋_GBK" w:cs="微软雅黑"/>
          <w:sz w:val="28"/>
          <w:lang w:val="en-US" w:eastAsia="zh-CN"/>
        </w:rPr>
        <w:t>害</w:t>
      </w:r>
      <w:r>
        <w:rPr>
          <w:rFonts w:hint="eastAsia" w:ascii="Times New Roman" w:hAnsi="微软雅黑" w:eastAsia="方正仿宋_GBK" w:cs="微软雅黑"/>
          <w:sz w:val="28"/>
        </w:rPr>
        <w:t>防御宣传。</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绩效指标：根据工情修订完善水库、河道等方案预案，对全区监测预警通信设施维护保养，汛前完成。</w:t>
      </w:r>
    </w:p>
    <w:p>
      <w:pPr>
        <w:spacing w:line="500" w:lineRule="exact"/>
        <w:ind w:firstLine="420" w:firstLineChars="150"/>
        <w:jc w:val="left"/>
        <w:rPr>
          <w:rFonts w:ascii="Times New Roman" w:eastAsia="方正仿宋_GBK"/>
          <w:sz w:val="28"/>
        </w:rPr>
      </w:pPr>
      <w:r>
        <w:rPr>
          <w:rFonts w:hint="eastAsia" w:ascii="Times New Roman" w:hAnsi="微软雅黑" w:eastAsia="方正仿宋_GBK" w:cs="微软雅黑"/>
          <w:sz w:val="28"/>
        </w:rPr>
        <w:t>（十一）按时完成区委、区政府交办其他工作任务</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贯彻落实党中央、国务院和省委、省政府、市委、市政府、区委、区政府关于河长制湖长制的决策部署，办理区级总河湖长、区级河长湖长交办的事项，协助区级总河湖长、区级河长湖长对各乡镇、各部门履行河长制湖长制相关职责进行指导、协调、监督和考核。</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绩效指标：对全区河道、水库通过实地巡查、无人机飞检拍摄影像照片，并对检查成果进行分析研判，形成相关报告，发现河湖问题及时交办。</w:t>
      </w:r>
    </w:p>
    <w:p>
      <w:pPr>
        <w:spacing w:before="156" w:beforeLines="50" w:after="156" w:afterLines="50" w:line="500" w:lineRule="exact"/>
        <w:ind w:firstLine="560" w:firstLineChars="200"/>
        <w:jc w:val="left"/>
        <w:outlineLvl w:val="1"/>
        <w:rPr>
          <w:rFonts w:ascii="Times New Roman" w:hAnsi="宋体" w:eastAsia="宋体"/>
          <w:sz w:val="28"/>
        </w:rPr>
      </w:pPr>
      <w:bookmarkStart w:id="2" w:name="_Toc66956206"/>
      <w:r>
        <w:rPr>
          <w:rFonts w:ascii="方正黑体_GBK" w:eastAsia="方正黑体_GBK"/>
          <w:sz w:val="28"/>
        </w:rPr>
        <w:t>三、工作保障措施</w:t>
      </w:r>
      <w:bookmarkEnd w:id="2"/>
      <w:r>
        <w:rPr>
          <w:rFonts w:ascii="方正黑体_GBK" w:eastAsia="方正黑体_GBK"/>
          <w:sz w:val="28"/>
        </w:rPr>
        <w:fldChar w:fldCharType="begin"/>
      </w:r>
      <w:r>
        <w:rPr>
          <w:rFonts w:ascii="方正黑体_GBK" w:eastAsia="方正黑体_GBK"/>
          <w:sz w:val="28"/>
        </w:rPr>
        <w:instrText xml:space="preserve"> TC 工作保障措施 \f A \l 1 </w:instrText>
      </w:r>
      <w:r>
        <w:rPr>
          <w:rFonts w:ascii="方正黑体_GBK" w:eastAsia="方正黑体_GBK"/>
          <w:sz w:val="28"/>
        </w:rPr>
        <w:fldChar w:fldCharType="end"/>
      </w:r>
    </w:p>
    <w:p>
      <w:pPr>
        <w:spacing w:line="500" w:lineRule="exact"/>
        <w:ind w:firstLine="420" w:firstLineChars="150"/>
        <w:jc w:val="left"/>
        <w:rPr>
          <w:rFonts w:ascii="Times New Roman" w:eastAsia="方正仿宋_GBK"/>
          <w:sz w:val="28"/>
        </w:rPr>
      </w:pPr>
      <w:r>
        <w:rPr>
          <w:rFonts w:hint="eastAsia" w:ascii="Times New Roman" w:hAnsi="微软雅黑" w:eastAsia="方正仿宋_GBK" w:cs="微软雅黑"/>
          <w:sz w:val="28"/>
        </w:rPr>
        <w:t>（一）完善制度建设。加强支出管理，加快履行政府采购手续、尽快启动项目、及时支付资金、确保支出进度达标。加强绩效运行监控。按要求开展绩效运行监控，确保绩效目标如期保质实现。做好绩效自评。调整优化支出结构，提高财政资金使用效益。加强内部监督和人员培训，提高本部门职工业务素质；加强调研，提出优化财政资金配置、提高资金使用效益的意见；加大宣传力度，强化预算绩效管理意识，促进预算绩效管理水平进一步提升，为全年预算绩效目标的实现奠定制度基础。</w:t>
      </w:r>
    </w:p>
    <w:p>
      <w:pPr>
        <w:spacing w:line="500" w:lineRule="exact"/>
        <w:ind w:firstLine="420" w:firstLineChars="150"/>
        <w:jc w:val="left"/>
        <w:rPr>
          <w:rFonts w:ascii="Times New Roman" w:eastAsia="方正仿宋_GBK"/>
          <w:sz w:val="28"/>
        </w:rPr>
      </w:pPr>
      <w:r>
        <w:rPr>
          <w:rFonts w:hint="eastAsia" w:ascii="Times New Roman" w:hAnsi="微软雅黑" w:eastAsia="方正仿宋_GBK" w:cs="微软雅黑"/>
          <w:sz w:val="28"/>
        </w:rPr>
        <w:t>（二）加强事前、事中监督和事后绩效评价管理。支持水利项目建设与管理，支持水资源保护和生态建设，支持水利政务管理，推进河长制落实等各项工作优化支出结构，编实预算，严格遵守支出进度要求，及时支付资金，提高财政资金使用效益。按要求开展上年度部门预算绩效自评和重点评价工作，对发现的问题及时整改。</w:t>
      </w:r>
    </w:p>
    <w:p>
      <w:pPr>
        <w:spacing w:line="500" w:lineRule="exact"/>
        <w:ind w:firstLine="420" w:firstLineChars="150"/>
        <w:jc w:val="left"/>
        <w:rPr>
          <w:rFonts w:ascii="Times New Roman" w:eastAsia="方正仿宋_GBK"/>
          <w:sz w:val="28"/>
        </w:rPr>
      </w:pPr>
      <w:r>
        <w:rPr>
          <w:rFonts w:hint="eastAsia" w:ascii="Times New Roman" w:hAnsi="微软雅黑" w:eastAsia="方正仿宋_GBK" w:cs="微软雅黑"/>
          <w:sz w:val="28"/>
        </w:rPr>
        <w:t>（三）规范国有资产管理。在完善财务制度的基础上，严格审批程序。搞好资产清查，加强固定资产登记、使用和报废处置管理，做到支出合理，物尽其用。</w:t>
      </w:r>
    </w:p>
    <w:p>
      <w:pPr>
        <w:spacing w:line="500" w:lineRule="exact"/>
        <w:ind w:firstLine="420" w:firstLineChars="150"/>
        <w:jc w:val="left"/>
        <w:rPr>
          <w:rFonts w:ascii="Times New Roman" w:eastAsia="方正仿宋_GBK"/>
          <w:sz w:val="28"/>
        </w:rPr>
      </w:pPr>
      <w:r>
        <w:rPr>
          <w:rFonts w:hint="eastAsia" w:ascii="Times New Roman" w:hAnsi="微软雅黑" w:eastAsia="方正仿宋_GBK" w:cs="微软雅黑"/>
          <w:sz w:val="28"/>
        </w:rPr>
        <w:t>（四）加强内控管理和审计监督检查。加强内控制度建设，加强内审工作，严格审核，监督重大支出决策程序，审核固定资产投资，资产处置及其他重要经济业务事项的决策和执行是否符合有关规定。</w:t>
      </w:r>
    </w:p>
    <w:p>
      <w:pPr>
        <w:spacing w:line="500" w:lineRule="exact"/>
        <w:ind w:firstLine="560" w:firstLineChars="200"/>
        <w:jc w:val="left"/>
        <w:rPr>
          <w:rFonts w:ascii="Times New Roman" w:hAnsi="微软雅黑" w:eastAsia="方正仿宋_GBK" w:cs="微软雅黑"/>
          <w:sz w:val="28"/>
        </w:rPr>
      </w:pPr>
      <w:r>
        <w:rPr>
          <w:rFonts w:hint="eastAsia" w:ascii="Times New Roman" w:hAnsi="微软雅黑" w:eastAsia="方正仿宋_GBK" w:cs="微软雅黑"/>
          <w:sz w:val="28"/>
        </w:rPr>
        <w:t>（五）加强培训调研。全局范围内进行预算绩效宣传，对骨干人员进行培训，强化预算绩效意识，促进预算绩效管理水平进一步提升。加强财务调研，提出优化财政资金配置、提高资金使用效益的意见建议。</w:t>
      </w:r>
    </w:p>
    <w:p>
      <w:pPr>
        <w:spacing w:line="500" w:lineRule="exact"/>
        <w:ind w:firstLine="560" w:firstLineChars="200"/>
        <w:jc w:val="left"/>
        <w:rPr>
          <w:rFonts w:ascii="Times New Roman" w:eastAsia="方正仿宋_GBK"/>
          <w:sz w:val="28"/>
        </w:rPr>
      </w:pPr>
    </w:p>
    <w:p>
      <w:pPr>
        <w:jc w:val="center"/>
        <w:outlineLvl w:val="0"/>
        <w:rPr>
          <w:rFonts w:ascii="方正小标宋_GBK" w:eastAsia="方正小标宋_GBK"/>
          <w:sz w:val="44"/>
        </w:rPr>
      </w:pPr>
      <w:r>
        <w:rPr>
          <w:rFonts w:hint="eastAsia" w:ascii="方正小标宋_GBK" w:eastAsia="方正小标宋_GBK"/>
          <w:sz w:val="44"/>
        </w:rPr>
        <w:t>预算项目绩效目标</w:t>
      </w:r>
    </w:p>
    <w:p>
      <w:pPr>
        <w:ind w:firstLine="560" w:firstLineChars="200"/>
        <w:jc w:val="left"/>
        <w:outlineLvl w:val="3"/>
        <w:rPr>
          <w:rFonts w:ascii="Times New Roman" w:hAnsi="宋体" w:eastAsia="宋体"/>
          <w:b/>
          <w:sz w:val="28"/>
        </w:rPr>
      </w:pPr>
      <w:bookmarkStart w:id="3" w:name="_Toc66956207"/>
      <w:r>
        <w:rPr>
          <w:rFonts w:ascii="方正仿宋_GBK" w:eastAsia="方正仿宋_GBK"/>
          <w:b/>
          <w:sz w:val="28"/>
        </w:rPr>
        <w:t>1.提前下达2021年省级水利发展资金绩效目标表</w:t>
      </w:r>
      <w:bookmarkEnd w:id="3"/>
      <w:r>
        <w:rPr>
          <w:rFonts w:ascii="方正仿宋_GBK" w:eastAsia="方正仿宋_GBK"/>
          <w:b/>
          <w:sz w:val="28"/>
        </w:rPr>
        <w:fldChar w:fldCharType="begin"/>
      </w:r>
      <w:r>
        <w:rPr>
          <w:rFonts w:ascii="方正仿宋_GBK" w:eastAsia="方正仿宋_GBK"/>
          <w:b/>
          <w:sz w:val="28"/>
        </w:rPr>
        <w:instrText xml:space="preserve"> TC 1、提前下达2021年省级水利发展资金绩效目标表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332001水利局本级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130625211TZ1GS3F8ZT8I</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提前下达2021年省级水利发展资金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10000.00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10000.00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曲水水库维修养护省级配套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1.完成曲水水库维修养护</w:t>
            </w:r>
          </w:p>
          <w:p>
            <w:pPr>
              <w:spacing w:line="300" w:lineRule="exact"/>
              <w:jc w:val="left"/>
              <w:rPr>
                <w:rFonts w:ascii="方正书宋_GBK" w:eastAsia="方正书宋_GBK"/>
              </w:rPr>
            </w:pPr>
            <w:r>
              <w:rPr>
                <w:rFonts w:ascii="方正书宋_GBK" w:eastAsia="方正书宋_GBK"/>
              </w:rPr>
              <w:t>2.提高曲水水库防汛能力</w:t>
            </w:r>
          </w:p>
          <w:p>
            <w:pPr>
              <w:spacing w:line="300" w:lineRule="exact"/>
              <w:jc w:val="left"/>
              <w:rPr>
                <w:rFonts w:ascii="方正书宋_GBK" w:eastAsia="方正书宋_GBK"/>
              </w:rPr>
            </w:pPr>
            <w:r>
              <w:rPr>
                <w:rFonts w:ascii="方正书宋_GBK" w:eastAsia="方正书宋_GBK"/>
              </w:rPr>
              <w:t>3.保障水利设施的利用率</w:t>
            </w:r>
          </w:p>
        </w:tc>
      </w:tr>
    </w:tbl>
    <w:p>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投资完成率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实际投资数占计划投资数的比例</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&gt;90100%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正常运行率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日常工作及设备设施的正常运转情况</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控制资金支出</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资金支出占预算全额的比例</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项目实际支出是否控制在预算内</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项目实际支出是否控制在预算内</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社会影响力</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有效的起到宣传效果</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依据工作要求</w:t>
            </w:r>
          </w:p>
        </w:tc>
      </w:tr>
    </w:tbl>
    <w:p>
      <w:pPr>
        <w:spacing w:line="300" w:lineRule="exact"/>
        <w:jc w:val="left"/>
        <w:sectPr>
          <w:pgSz w:w="11907" w:h="16839"/>
          <w:pgMar w:top="1984" w:right="1304" w:bottom="1134" w:left="1304" w:header="851" w:footer="992" w:gutter="0"/>
          <w:cols w:space="425" w:num="1"/>
          <w:docGrid w:type="lines" w:linePitch="312" w:charSpace="0"/>
        </w:sectPr>
      </w:pPr>
    </w:p>
    <w:p>
      <w:pPr>
        <w:spacing w:line="300" w:lineRule="exact"/>
        <w:jc w:val="left"/>
      </w:pPr>
    </w:p>
    <w:p>
      <w:pPr>
        <w:ind w:firstLine="560" w:firstLineChars="200"/>
        <w:jc w:val="left"/>
        <w:outlineLvl w:val="3"/>
        <w:rPr>
          <w:rFonts w:ascii="Times New Roman" w:hAnsi="宋体" w:eastAsia="宋体"/>
          <w:b/>
          <w:sz w:val="28"/>
        </w:rPr>
      </w:pPr>
      <w:bookmarkStart w:id="4" w:name="_Toc66956208"/>
      <w:r>
        <w:rPr>
          <w:rFonts w:ascii="方正仿宋_GBK" w:eastAsia="方正仿宋_GBK"/>
          <w:b/>
          <w:sz w:val="28"/>
        </w:rPr>
        <w:t>2.提前下达2021年度省级地下水超采综合治理专项资金绩效目标表</w:t>
      </w:r>
      <w:bookmarkEnd w:id="4"/>
      <w:r>
        <w:rPr>
          <w:rFonts w:ascii="方正仿宋_GBK" w:eastAsia="方正仿宋_GBK"/>
          <w:b/>
          <w:sz w:val="28"/>
        </w:rPr>
        <w:fldChar w:fldCharType="begin"/>
      </w:r>
      <w:r>
        <w:rPr>
          <w:rFonts w:ascii="方正仿宋_GBK" w:eastAsia="方正仿宋_GBK"/>
          <w:b/>
          <w:sz w:val="28"/>
        </w:rPr>
        <w:instrText xml:space="preserve"> TC 2、提前下达2021年度省级地下水超采综合治理专项资金绩效目标表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332001水利局本级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130625218T3LOZGGQK2UT</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提前下达2021年度省级地下水超采综合治理专项资金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4360000.00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4360000.00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地下水超采治理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1.完成地下水超采治理工作</w:t>
            </w:r>
          </w:p>
          <w:p>
            <w:pPr>
              <w:spacing w:line="300" w:lineRule="exact"/>
              <w:jc w:val="left"/>
              <w:rPr>
                <w:rFonts w:ascii="方正书宋_GBK" w:eastAsia="方正书宋_GBK"/>
              </w:rPr>
            </w:pPr>
            <w:r>
              <w:rPr>
                <w:rFonts w:ascii="方正书宋_GBK" w:eastAsia="方正书宋_GBK"/>
              </w:rPr>
              <w:t>2.提高地下水储备</w:t>
            </w:r>
          </w:p>
          <w:p>
            <w:pPr>
              <w:spacing w:line="300" w:lineRule="exact"/>
              <w:jc w:val="left"/>
              <w:rPr>
                <w:rFonts w:ascii="方正书宋_GBK" w:eastAsia="方正书宋_GBK"/>
              </w:rPr>
            </w:pPr>
            <w:r>
              <w:rPr>
                <w:rFonts w:ascii="方正书宋_GBK" w:eastAsia="方正书宋_GBK"/>
              </w:rPr>
              <w:t>3.提高环境质量</w:t>
            </w:r>
          </w:p>
        </w:tc>
      </w:tr>
    </w:tbl>
    <w:p>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投资完成率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实际投资数占计划投资数的比例</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&gt;90100%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正常运行率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日常工作及设备设施的正常运转情况</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控制资金支出</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资金支出占预算全额的比例</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项目实际支出是否控制在预算内</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项目实际支出是否控制在预算内</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社会影响力</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有效的起到宣传效果</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依据工作要求</w:t>
            </w:r>
          </w:p>
        </w:tc>
      </w:tr>
    </w:tbl>
    <w:p>
      <w:pPr>
        <w:spacing w:line="300" w:lineRule="exact"/>
        <w:jc w:val="left"/>
        <w:sectPr>
          <w:pgSz w:w="11907" w:h="16839"/>
          <w:pgMar w:top="1984" w:right="1304" w:bottom="1134" w:left="1304" w:header="851" w:footer="992" w:gutter="0"/>
          <w:cols w:space="425" w:num="1"/>
          <w:docGrid w:type="lines" w:linePitch="312" w:charSpace="0"/>
        </w:sectPr>
      </w:pPr>
    </w:p>
    <w:p>
      <w:pPr>
        <w:spacing w:line="300" w:lineRule="exact"/>
        <w:jc w:val="left"/>
      </w:pPr>
    </w:p>
    <w:p>
      <w:pPr>
        <w:ind w:firstLine="560" w:firstLineChars="200"/>
        <w:jc w:val="left"/>
        <w:outlineLvl w:val="3"/>
        <w:rPr>
          <w:rFonts w:ascii="Times New Roman" w:hAnsi="宋体" w:eastAsia="宋体"/>
          <w:b/>
          <w:sz w:val="28"/>
        </w:rPr>
      </w:pPr>
      <w:bookmarkStart w:id="5" w:name="_Toc66956209"/>
      <w:r>
        <w:rPr>
          <w:rFonts w:ascii="方正仿宋_GBK" w:eastAsia="方正仿宋_GBK"/>
          <w:b/>
          <w:sz w:val="28"/>
        </w:rPr>
        <w:t>3.水利局保安保洁经费绩效目标表</w:t>
      </w:r>
      <w:bookmarkEnd w:id="5"/>
      <w:r>
        <w:rPr>
          <w:rFonts w:ascii="方正仿宋_GBK" w:eastAsia="方正仿宋_GBK"/>
          <w:b/>
          <w:sz w:val="28"/>
        </w:rPr>
        <w:fldChar w:fldCharType="begin"/>
      </w:r>
      <w:r>
        <w:rPr>
          <w:rFonts w:ascii="方正仿宋_GBK" w:eastAsia="方正仿宋_GBK"/>
          <w:b/>
          <w:sz w:val="28"/>
        </w:rPr>
        <w:instrText xml:space="preserve"> TC 3、水利局保安保洁经费绩效目标表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332001水利局本级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13062521C1ZB4GAUNWHM2</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水利局保安保洁经费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84000.00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84000.00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保安费用2人年标准4.8万元，保洁费用1人年标准3.6万元，共计8.4万元。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1.完成局机关保安工作，维护日常工作秩序。</w:t>
            </w:r>
          </w:p>
          <w:p>
            <w:pPr>
              <w:spacing w:line="300" w:lineRule="exact"/>
              <w:jc w:val="left"/>
              <w:rPr>
                <w:rFonts w:ascii="方正书宋_GBK" w:eastAsia="方正书宋_GBK"/>
              </w:rPr>
            </w:pPr>
            <w:r>
              <w:rPr>
                <w:rFonts w:ascii="方正书宋_GBK" w:eastAsia="方正书宋_GBK"/>
              </w:rPr>
              <w:t>2.完成局机关保洁工作，维护日常工作秩序。</w:t>
            </w:r>
          </w:p>
          <w:p>
            <w:pPr>
              <w:spacing w:line="300" w:lineRule="exact"/>
              <w:jc w:val="left"/>
              <w:rPr>
                <w:rFonts w:ascii="方正书宋_GBK" w:eastAsia="方正书宋_GBK"/>
              </w:rPr>
            </w:pPr>
            <w:r>
              <w:rPr>
                <w:rFonts w:ascii="方正书宋_GBK" w:eastAsia="方正书宋_GBK"/>
              </w:rPr>
              <w:t>3.维护局机关日常工作环境和秩序</w:t>
            </w:r>
          </w:p>
        </w:tc>
      </w:tr>
    </w:tbl>
    <w:p>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完成发放人员数量</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完成发放人员数量</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完成率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完成率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控制资金支出</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资金支出占预算全额的比例</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项目实际支出是否控制在预算内</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项目实际支出是否控制在预算内</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社会影响力</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得到广大受众的充分认可。</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依据工作要求</w:t>
            </w:r>
          </w:p>
        </w:tc>
      </w:tr>
    </w:tbl>
    <w:p>
      <w:pPr>
        <w:spacing w:line="300" w:lineRule="exact"/>
        <w:jc w:val="left"/>
        <w:sectPr>
          <w:pgSz w:w="11907" w:h="16839"/>
          <w:pgMar w:top="1984" w:right="1304" w:bottom="1134" w:left="1304" w:header="851" w:footer="992" w:gutter="0"/>
          <w:cols w:space="425" w:num="1"/>
          <w:docGrid w:type="lines" w:linePitch="312" w:charSpace="0"/>
        </w:sectPr>
      </w:pPr>
    </w:p>
    <w:p>
      <w:pPr>
        <w:spacing w:line="300" w:lineRule="exact"/>
        <w:jc w:val="left"/>
      </w:pPr>
    </w:p>
    <w:p>
      <w:pPr>
        <w:ind w:firstLine="560" w:firstLineChars="200"/>
        <w:jc w:val="left"/>
        <w:outlineLvl w:val="3"/>
        <w:rPr>
          <w:rFonts w:ascii="Times New Roman" w:hAnsi="宋体" w:eastAsia="宋体"/>
          <w:b/>
          <w:sz w:val="28"/>
        </w:rPr>
      </w:pPr>
      <w:bookmarkStart w:id="6" w:name="_Toc66956210"/>
      <w:r>
        <w:rPr>
          <w:rFonts w:ascii="方正仿宋_GBK" w:eastAsia="方正仿宋_GBK"/>
          <w:b/>
          <w:sz w:val="28"/>
        </w:rPr>
        <w:t>4.水库移民后期扶持资金移民直补绩效目标表</w:t>
      </w:r>
      <w:bookmarkEnd w:id="6"/>
      <w:r>
        <w:rPr>
          <w:rFonts w:ascii="方正仿宋_GBK" w:eastAsia="方正仿宋_GBK"/>
          <w:b/>
          <w:sz w:val="28"/>
        </w:rPr>
        <w:fldChar w:fldCharType="begin"/>
      </w:r>
      <w:r>
        <w:rPr>
          <w:rFonts w:ascii="方正仿宋_GBK" w:eastAsia="方正仿宋_GBK"/>
          <w:b/>
          <w:sz w:val="28"/>
        </w:rPr>
        <w:instrText xml:space="preserve"> TC 4、水库移民后期扶持资金移民直补绩效目标表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332001水利局本级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13062521DGDRORLVDHT0D</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水库移民后期扶持资金移民直补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6613200.00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6613200.00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大中型水库后期扶持移民直补资金</w:t>
            </w:r>
            <w:r>
              <w:rPr>
                <w:rFonts w:hint="eastAsia" w:ascii="方正书宋_GBK" w:eastAsia="方正书宋_GBK"/>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1.完成水库移民直补资金发放</w:t>
            </w:r>
          </w:p>
          <w:p>
            <w:pPr>
              <w:spacing w:line="300" w:lineRule="exact"/>
              <w:jc w:val="left"/>
              <w:rPr>
                <w:rFonts w:ascii="方正书宋_GBK" w:eastAsia="方正书宋_GBK"/>
              </w:rPr>
            </w:pPr>
            <w:r>
              <w:rPr>
                <w:rFonts w:ascii="方正书宋_GBK" w:eastAsia="方正书宋_GBK"/>
              </w:rPr>
              <w:t>2.改善水库移民生活水平</w:t>
            </w:r>
          </w:p>
          <w:p>
            <w:pPr>
              <w:spacing w:line="300" w:lineRule="exact"/>
              <w:jc w:val="left"/>
              <w:rPr>
                <w:rFonts w:ascii="方正书宋_GBK" w:eastAsia="方正书宋_GBK"/>
              </w:rPr>
            </w:pPr>
            <w:r>
              <w:rPr>
                <w:rFonts w:ascii="方正书宋_GBK" w:eastAsia="方正书宋_GBK"/>
              </w:rPr>
              <w:t>3.获得群众好评</w:t>
            </w:r>
          </w:p>
        </w:tc>
      </w:tr>
    </w:tbl>
    <w:p>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直补资金发放人数</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直补资金发放人数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9417人</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正常使用率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正常使用率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工作任务完成及时率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工作任务完成及时率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人均发放水平</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人均发放水平</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社会影响力</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有效的起到宣传效果</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依据工作要求</w:t>
            </w:r>
          </w:p>
        </w:tc>
      </w:tr>
    </w:tbl>
    <w:p>
      <w:pPr>
        <w:spacing w:line="300" w:lineRule="exact"/>
        <w:jc w:val="left"/>
        <w:sectPr>
          <w:pgSz w:w="11907" w:h="16839"/>
          <w:pgMar w:top="1984" w:right="1304" w:bottom="1134" w:left="1304" w:header="851" w:footer="992" w:gutter="0"/>
          <w:cols w:space="425" w:num="1"/>
          <w:docGrid w:type="lines" w:linePitch="312" w:charSpace="0"/>
        </w:sectPr>
      </w:pPr>
    </w:p>
    <w:p>
      <w:pPr>
        <w:spacing w:line="300" w:lineRule="exact"/>
        <w:jc w:val="left"/>
      </w:pPr>
    </w:p>
    <w:p>
      <w:pPr>
        <w:ind w:firstLine="560" w:firstLineChars="200"/>
        <w:jc w:val="left"/>
        <w:outlineLvl w:val="3"/>
        <w:rPr>
          <w:rFonts w:ascii="Times New Roman" w:hAnsi="宋体" w:eastAsia="宋体"/>
          <w:b/>
          <w:sz w:val="28"/>
        </w:rPr>
      </w:pPr>
      <w:bookmarkStart w:id="7" w:name="_Toc66956211"/>
      <w:r>
        <w:rPr>
          <w:rFonts w:ascii="方正仿宋_GBK" w:eastAsia="方正仿宋_GBK"/>
          <w:b/>
          <w:sz w:val="28"/>
        </w:rPr>
        <w:t>5.提前下达2021年中央水利发展资金绩效目标表</w:t>
      </w:r>
      <w:bookmarkEnd w:id="7"/>
      <w:r>
        <w:rPr>
          <w:rFonts w:ascii="方正仿宋_GBK" w:eastAsia="方正仿宋_GBK"/>
          <w:b/>
          <w:sz w:val="28"/>
        </w:rPr>
        <w:fldChar w:fldCharType="begin"/>
      </w:r>
      <w:r>
        <w:rPr>
          <w:rFonts w:ascii="方正仿宋_GBK" w:eastAsia="方正仿宋_GBK"/>
          <w:b/>
          <w:sz w:val="28"/>
        </w:rPr>
        <w:instrText xml:space="preserve"> TC 5、提前下达2021年中央水利发展资金绩效目标表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332001水利局本级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13062521G0IITHC5SAQ0N</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提前下达2021年中央水利发展资金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27980000.00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27980000.00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用于农村生活水源江水置换项目</w:t>
            </w:r>
            <w:r>
              <w:rPr>
                <w:rFonts w:hint="eastAsia" w:ascii="方正书宋_GBK" w:eastAsia="方正书宋_GBK"/>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1.完成农村生活水源江水置换工作</w:t>
            </w:r>
          </w:p>
          <w:p>
            <w:pPr>
              <w:spacing w:line="300" w:lineRule="exact"/>
              <w:jc w:val="left"/>
              <w:rPr>
                <w:rFonts w:ascii="方正书宋_GBK" w:eastAsia="方正书宋_GBK"/>
              </w:rPr>
            </w:pPr>
            <w:r>
              <w:rPr>
                <w:rFonts w:ascii="方正书宋_GBK" w:eastAsia="方正书宋_GBK"/>
              </w:rPr>
              <w:t>2.保障农村生活饮水安全</w:t>
            </w:r>
          </w:p>
          <w:p>
            <w:pPr>
              <w:spacing w:line="300" w:lineRule="exact"/>
              <w:jc w:val="left"/>
              <w:rPr>
                <w:rFonts w:ascii="方正书宋_GBK" w:eastAsia="方正书宋_GBK"/>
              </w:rPr>
            </w:pPr>
            <w:r>
              <w:rPr>
                <w:rFonts w:ascii="方正书宋_GBK" w:eastAsia="方正书宋_GBK"/>
              </w:rPr>
              <w:t>3.改善缓解地下水开采</w:t>
            </w:r>
          </w:p>
        </w:tc>
      </w:tr>
    </w:tbl>
    <w:p>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投资完成率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实际投资数占计划投资数的比例</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&gt;90100%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正常运行率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日常工作及设备设施的正常运转情况</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控制资金支出</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资金支出占预算全额的比例</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项目实际支出是否控制在预算内</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项目实际支出是否控制在预算内</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社会影响力</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有效的起到宣传效果</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依据工作要求</w:t>
            </w:r>
          </w:p>
        </w:tc>
      </w:tr>
    </w:tbl>
    <w:p>
      <w:pPr>
        <w:spacing w:line="300" w:lineRule="exact"/>
        <w:jc w:val="left"/>
        <w:sectPr>
          <w:pgSz w:w="11907" w:h="16839"/>
          <w:pgMar w:top="1984" w:right="1304" w:bottom="1134" w:left="1304" w:header="851" w:footer="992" w:gutter="0"/>
          <w:cols w:space="425" w:num="1"/>
          <w:docGrid w:type="lines" w:linePitch="312" w:charSpace="0"/>
        </w:sectPr>
      </w:pPr>
    </w:p>
    <w:p>
      <w:pPr>
        <w:spacing w:line="300" w:lineRule="exact"/>
        <w:jc w:val="left"/>
      </w:pPr>
    </w:p>
    <w:p>
      <w:pPr>
        <w:ind w:firstLine="560" w:firstLineChars="200"/>
        <w:jc w:val="left"/>
        <w:outlineLvl w:val="3"/>
        <w:rPr>
          <w:rFonts w:ascii="Times New Roman" w:hAnsi="宋体" w:eastAsia="宋体"/>
          <w:b/>
          <w:sz w:val="28"/>
        </w:rPr>
      </w:pPr>
      <w:bookmarkStart w:id="8" w:name="_Toc66956212"/>
      <w:r>
        <w:rPr>
          <w:rFonts w:ascii="方正仿宋_GBK" w:eastAsia="方正仿宋_GBK"/>
          <w:b/>
          <w:sz w:val="28"/>
        </w:rPr>
        <w:t>6.提前下达2021年省级水库移民后期扶持基金预算绩效目标表</w:t>
      </w:r>
      <w:bookmarkEnd w:id="8"/>
      <w:r>
        <w:rPr>
          <w:rFonts w:ascii="方正仿宋_GBK" w:eastAsia="方正仿宋_GBK"/>
          <w:b/>
          <w:sz w:val="28"/>
        </w:rPr>
        <w:fldChar w:fldCharType="begin"/>
      </w:r>
      <w:r>
        <w:rPr>
          <w:rFonts w:ascii="方正仿宋_GBK" w:eastAsia="方正仿宋_GBK"/>
          <w:b/>
          <w:sz w:val="28"/>
        </w:rPr>
        <w:instrText xml:space="preserve"> TC 6、提前下达2021年省级水库移民后期扶持基金预算绩效目标表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332001水利局本级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13062521GMN3EV4AFTOKB</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提前下达2021年省级水库移民后期扶持基金预算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165000.00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165000.00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曲水村墙面粉刷、路灯、护坡等</w:t>
            </w:r>
            <w:r>
              <w:rPr>
                <w:rFonts w:hint="eastAsia" w:ascii="方正书宋_GBK" w:eastAsia="方正书宋_GBK"/>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1.完成水库移民后期扶持项目</w:t>
            </w:r>
          </w:p>
          <w:p>
            <w:pPr>
              <w:spacing w:line="300" w:lineRule="exact"/>
              <w:jc w:val="left"/>
              <w:rPr>
                <w:rFonts w:ascii="方正书宋_GBK" w:eastAsia="方正书宋_GBK"/>
              </w:rPr>
            </w:pPr>
            <w:r>
              <w:rPr>
                <w:rFonts w:ascii="方正书宋_GBK" w:eastAsia="方正书宋_GBK"/>
              </w:rPr>
              <w:t>2.改善移民生活环境</w:t>
            </w:r>
          </w:p>
          <w:p>
            <w:pPr>
              <w:spacing w:line="300" w:lineRule="exact"/>
              <w:jc w:val="left"/>
              <w:rPr>
                <w:rFonts w:ascii="方正书宋_GBK" w:eastAsia="方正书宋_GBK"/>
              </w:rPr>
            </w:pPr>
            <w:r>
              <w:rPr>
                <w:rFonts w:ascii="方正书宋_GBK" w:eastAsia="方正书宋_GBK"/>
              </w:rPr>
              <w:t>3.提高移民生活质量</w:t>
            </w:r>
          </w:p>
        </w:tc>
      </w:tr>
    </w:tbl>
    <w:p>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投资完成率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实际投资数占计划投资数的比例</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正常运行率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日常工作及设备设施的正常运转情况</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控制资金支出</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资金支出占预算全额的比例</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项目实际支出是否控制在预算内</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项目实际支出是否控制在预算内</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社会影响力</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有效的起到宣传效果</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依据工作要求</w:t>
            </w:r>
          </w:p>
        </w:tc>
      </w:tr>
    </w:tbl>
    <w:p>
      <w:pPr>
        <w:spacing w:line="300" w:lineRule="exact"/>
        <w:jc w:val="left"/>
        <w:sectPr>
          <w:pgSz w:w="11907" w:h="16839"/>
          <w:pgMar w:top="1984" w:right="1304" w:bottom="1134" w:left="1304" w:header="851" w:footer="992" w:gutter="0"/>
          <w:cols w:space="425" w:num="1"/>
          <w:docGrid w:type="lines" w:linePitch="312" w:charSpace="0"/>
        </w:sectPr>
      </w:pPr>
    </w:p>
    <w:p>
      <w:pPr>
        <w:spacing w:line="300" w:lineRule="exact"/>
        <w:jc w:val="left"/>
      </w:pPr>
    </w:p>
    <w:p>
      <w:pPr>
        <w:ind w:firstLine="560" w:firstLineChars="200"/>
        <w:jc w:val="left"/>
        <w:outlineLvl w:val="3"/>
        <w:rPr>
          <w:rFonts w:ascii="Times New Roman" w:hAnsi="宋体" w:eastAsia="宋体"/>
          <w:b/>
          <w:sz w:val="28"/>
        </w:rPr>
      </w:pPr>
      <w:bookmarkStart w:id="9" w:name="_Toc66956213"/>
      <w:r>
        <w:rPr>
          <w:rFonts w:ascii="方正仿宋_GBK" w:eastAsia="方正仿宋_GBK"/>
          <w:b/>
          <w:sz w:val="28"/>
        </w:rPr>
        <w:t>7.瀑河石桥村至县城界治理工程绩效目标表</w:t>
      </w:r>
      <w:bookmarkEnd w:id="9"/>
      <w:r>
        <w:rPr>
          <w:rFonts w:ascii="方正仿宋_GBK" w:eastAsia="方正仿宋_GBK"/>
          <w:b/>
          <w:sz w:val="28"/>
        </w:rPr>
        <w:fldChar w:fldCharType="begin"/>
      </w:r>
      <w:r>
        <w:rPr>
          <w:rFonts w:ascii="方正仿宋_GBK" w:eastAsia="方正仿宋_GBK"/>
          <w:b/>
          <w:sz w:val="28"/>
        </w:rPr>
        <w:instrText xml:space="preserve"> TC 7、瀑河石桥村至县城界治理工程绩效目标表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332001水利局本级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13062521H1ZBKWI1GF0G4</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瀑河石桥村至县城界治理工程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1028500.00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1028500.00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工程款66万元，监理费27.85万元，工程质量检测费2万元，财务审计费5万元，试验检测费2万元。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80.00%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1.完成石桥村至县城界项目监理、治理工程</w:t>
            </w:r>
          </w:p>
          <w:p>
            <w:pPr>
              <w:spacing w:line="300" w:lineRule="exact"/>
              <w:jc w:val="left"/>
              <w:rPr>
                <w:rFonts w:ascii="方正书宋_GBK" w:eastAsia="方正书宋_GBK"/>
              </w:rPr>
            </w:pPr>
            <w:r>
              <w:rPr>
                <w:rFonts w:ascii="方正书宋_GBK" w:eastAsia="方正书宋_GBK"/>
              </w:rPr>
              <w:t>2.完成项目检测、审计等工作</w:t>
            </w:r>
          </w:p>
          <w:p>
            <w:pPr>
              <w:spacing w:line="300" w:lineRule="exact"/>
              <w:jc w:val="left"/>
              <w:rPr>
                <w:rFonts w:ascii="方正书宋_GBK" w:eastAsia="方正书宋_GBK"/>
              </w:rPr>
            </w:pPr>
            <w:r>
              <w:rPr>
                <w:rFonts w:ascii="方正书宋_GBK" w:eastAsia="方正书宋_GBK"/>
              </w:rPr>
              <w:t>3.改善工程段输水防汛能力</w:t>
            </w:r>
          </w:p>
        </w:tc>
      </w:tr>
    </w:tbl>
    <w:p>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工程质量合格率（%）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工程质量合格率（%）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依据合同标准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正常运行率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日常工作及设备设施的正常运转情况</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依据合同标准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控制资金支出</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资金支出占预算全额的比例</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≥90100%</w:t>
            </w:r>
          </w:p>
        </w:tc>
        <w:tc>
          <w:tcPr>
            <w:tcW w:w="170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依据合同标准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项目实际支出是否控制在预算内</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项目实际支出是否控制在预算内</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依据合同标准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受益人口比例（%）</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受益人口比例（%）</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依据合同标准</w:t>
            </w:r>
          </w:p>
        </w:tc>
      </w:tr>
    </w:tbl>
    <w:p>
      <w:pPr>
        <w:spacing w:line="300" w:lineRule="exact"/>
        <w:jc w:val="left"/>
        <w:sectPr>
          <w:pgSz w:w="11907" w:h="16839"/>
          <w:pgMar w:top="1984" w:right="1304" w:bottom="1134" w:left="1304" w:header="851" w:footer="992" w:gutter="0"/>
          <w:cols w:space="425" w:num="1"/>
          <w:docGrid w:type="lines" w:linePitch="312" w:charSpace="0"/>
        </w:sectPr>
      </w:pPr>
    </w:p>
    <w:p>
      <w:pPr>
        <w:spacing w:line="300" w:lineRule="exact"/>
        <w:jc w:val="left"/>
      </w:pPr>
    </w:p>
    <w:p>
      <w:pPr>
        <w:ind w:firstLine="560" w:firstLineChars="200"/>
        <w:jc w:val="left"/>
        <w:outlineLvl w:val="3"/>
        <w:rPr>
          <w:rFonts w:ascii="Times New Roman" w:hAnsi="宋体" w:eastAsia="宋体"/>
          <w:b/>
          <w:sz w:val="28"/>
        </w:rPr>
      </w:pPr>
      <w:bookmarkStart w:id="10" w:name="_Toc66956214"/>
      <w:r>
        <w:rPr>
          <w:rFonts w:ascii="方正仿宋_GBK" w:eastAsia="方正仿宋_GBK"/>
          <w:b/>
          <w:sz w:val="28"/>
        </w:rPr>
        <w:t>8.水利项目质量保证金绩效目标表</w:t>
      </w:r>
      <w:bookmarkEnd w:id="10"/>
      <w:r>
        <w:rPr>
          <w:rFonts w:ascii="方正仿宋_GBK" w:eastAsia="方正仿宋_GBK"/>
          <w:b/>
          <w:sz w:val="28"/>
        </w:rPr>
        <w:fldChar w:fldCharType="begin"/>
      </w:r>
      <w:r>
        <w:rPr>
          <w:rFonts w:ascii="方正仿宋_GBK" w:eastAsia="方正仿宋_GBK"/>
          <w:b/>
          <w:sz w:val="28"/>
        </w:rPr>
        <w:instrText xml:space="preserve"> TC 8、水利项目质量保证金绩效目标表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332001水利局本级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13062521IA3O07LS0G722</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水利项目质量保证金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221623.14</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221623.14</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大中型水库移民后期扶持项目质保金19.517292万元，2019农村饮水安全工程维修养护项目质保金2.151522万元，山洪灾害防治非工程措施项目质保金0.4935万元。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1.完成所压质保金工程项目</w:t>
            </w:r>
          </w:p>
          <w:p>
            <w:pPr>
              <w:spacing w:line="300" w:lineRule="exact"/>
              <w:jc w:val="left"/>
              <w:rPr>
                <w:rFonts w:ascii="方正书宋_GBK" w:eastAsia="方正书宋_GBK"/>
              </w:rPr>
            </w:pPr>
            <w:r>
              <w:rPr>
                <w:rFonts w:ascii="方正书宋_GBK" w:eastAsia="方正书宋_GBK"/>
              </w:rPr>
              <w:t>2.完成的项目审核验收</w:t>
            </w:r>
          </w:p>
          <w:p>
            <w:pPr>
              <w:spacing w:line="300" w:lineRule="exact"/>
              <w:jc w:val="left"/>
              <w:rPr>
                <w:rFonts w:ascii="方正书宋_GBK" w:eastAsia="方正书宋_GBK"/>
              </w:rPr>
            </w:pPr>
            <w:r>
              <w:rPr>
                <w:rFonts w:ascii="方正书宋_GBK" w:eastAsia="方正书宋_GBK"/>
              </w:rPr>
              <w:t>3.按合同及时将质保金支付给合同方</w:t>
            </w:r>
          </w:p>
        </w:tc>
      </w:tr>
    </w:tbl>
    <w:p>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完成项目数量</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完成项目数量</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完成率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完成率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控制资金支出</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资金支出占预算全额的比例</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项目实际支出是否控制在预算内</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项目实际支出是否控制在预算内</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社会影响力</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得到广大受众的充分认可。</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依据工作要求</w:t>
            </w:r>
          </w:p>
        </w:tc>
      </w:tr>
    </w:tbl>
    <w:p>
      <w:pPr>
        <w:spacing w:line="300" w:lineRule="exact"/>
        <w:jc w:val="left"/>
        <w:sectPr>
          <w:pgSz w:w="11907" w:h="16839"/>
          <w:pgMar w:top="1984" w:right="1304" w:bottom="1134" w:left="1304" w:header="851" w:footer="992" w:gutter="0"/>
          <w:cols w:space="425" w:num="1"/>
          <w:docGrid w:type="lines" w:linePitch="312" w:charSpace="0"/>
        </w:sectPr>
      </w:pPr>
    </w:p>
    <w:p>
      <w:pPr>
        <w:spacing w:line="300" w:lineRule="exact"/>
        <w:jc w:val="left"/>
      </w:pPr>
    </w:p>
    <w:p>
      <w:pPr>
        <w:ind w:firstLine="560" w:firstLineChars="200"/>
        <w:jc w:val="left"/>
        <w:outlineLvl w:val="3"/>
        <w:rPr>
          <w:rFonts w:ascii="Times New Roman" w:hAnsi="宋体" w:eastAsia="宋体"/>
          <w:b/>
          <w:sz w:val="28"/>
        </w:rPr>
      </w:pPr>
      <w:bookmarkStart w:id="11" w:name="_Toc66956215"/>
      <w:r>
        <w:rPr>
          <w:rFonts w:ascii="方正仿宋_GBK" w:eastAsia="方正仿宋_GBK"/>
          <w:b/>
          <w:sz w:val="28"/>
        </w:rPr>
        <w:t>9.提前下达2021年省级地下水超采综合治理专项资金绩效目标表</w:t>
      </w:r>
      <w:bookmarkEnd w:id="11"/>
      <w:r>
        <w:rPr>
          <w:rFonts w:ascii="方正仿宋_GBK" w:eastAsia="方正仿宋_GBK"/>
          <w:b/>
          <w:sz w:val="28"/>
        </w:rPr>
        <w:fldChar w:fldCharType="begin"/>
      </w:r>
      <w:r>
        <w:rPr>
          <w:rFonts w:ascii="方正仿宋_GBK" w:eastAsia="方正仿宋_GBK"/>
          <w:b/>
          <w:sz w:val="28"/>
        </w:rPr>
        <w:instrText xml:space="preserve"> TC 9、提前下达2021年省级地下水超采综合治理专项资金绩效目标表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332001水利局本级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13062521IHSLGUTUH6ND6</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提前下达2021年省级地下水超采综合治理专项资金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1740000.00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1740000.00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完成地下水超采综合治理工作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1.完成地下水超采综合治理工作</w:t>
            </w:r>
          </w:p>
          <w:p>
            <w:pPr>
              <w:spacing w:line="300" w:lineRule="exact"/>
              <w:jc w:val="left"/>
              <w:rPr>
                <w:rFonts w:ascii="方正书宋_GBK" w:eastAsia="方正书宋_GBK"/>
              </w:rPr>
            </w:pPr>
            <w:r>
              <w:rPr>
                <w:rFonts w:ascii="方正书宋_GBK" w:eastAsia="方正书宋_GBK"/>
              </w:rPr>
              <w:t>2.提高地下水储备</w:t>
            </w:r>
          </w:p>
          <w:p>
            <w:pPr>
              <w:spacing w:line="300" w:lineRule="exact"/>
              <w:jc w:val="left"/>
              <w:rPr>
                <w:rFonts w:ascii="方正书宋_GBK" w:eastAsia="方正书宋_GBK"/>
              </w:rPr>
            </w:pPr>
            <w:r>
              <w:rPr>
                <w:rFonts w:ascii="方正书宋_GBK" w:eastAsia="方正书宋_GBK"/>
              </w:rPr>
              <w:t>3.提高环境质量</w:t>
            </w:r>
          </w:p>
        </w:tc>
      </w:tr>
    </w:tbl>
    <w:p>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投资完成率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实际投资数占计划投资数的比例</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&gt;90100%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正常运行率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日常工作及设备设施的正常运转情况</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控制资金支出</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资金支出占预算全额的比例</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项目实际支出是否控制在预算内</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项目实际支出是否控制在预算内</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社会影响力</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有效的起到宣传效果</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依据工作要求</w:t>
            </w:r>
          </w:p>
        </w:tc>
      </w:tr>
    </w:tbl>
    <w:p>
      <w:pPr>
        <w:spacing w:line="300" w:lineRule="exact"/>
        <w:jc w:val="left"/>
        <w:sectPr>
          <w:pgSz w:w="11907" w:h="16839"/>
          <w:pgMar w:top="1984" w:right="1304" w:bottom="1134" w:left="1304" w:header="851" w:footer="992" w:gutter="0"/>
          <w:cols w:space="425" w:num="1"/>
          <w:docGrid w:type="lines" w:linePitch="312" w:charSpace="0"/>
        </w:sectPr>
      </w:pPr>
    </w:p>
    <w:p>
      <w:pPr>
        <w:spacing w:line="300" w:lineRule="exact"/>
        <w:jc w:val="left"/>
      </w:pPr>
    </w:p>
    <w:p>
      <w:pPr>
        <w:ind w:firstLine="560" w:firstLineChars="200"/>
        <w:jc w:val="left"/>
        <w:outlineLvl w:val="3"/>
        <w:rPr>
          <w:rFonts w:ascii="Times New Roman" w:hAnsi="宋体" w:eastAsia="宋体"/>
          <w:b/>
          <w:sz w:val="28"/>
        </w:rPr>
      </w:pPr>
      <w:bookmarkStart w:id="12" w:name="_Toc66956216"/>
      <w:r>
        <w:rPr>
          <w:rFonts w:ascii="方正仿宋_GBK" w:eastAsia="方正仿宋_GBK"/>
          <w:b/>
          <w:sz w:val="28"/>
        </w:rPr>
        <w:t>10.提前下达2021中央水利发展资金（2）绩效目标表</w:t>
      </w:r>
      <w:bookmarkEnd w:id="12"/>
      <w:r>
        <w:rPr>
          <w:rFonts w:ascii="方正仿宋_GBK" w:eastAsia="方正仿宋_GBK"/>
          <w:b/>
          <w:sz w:val="28"/>
        </w:rPr>
        <w:fldChar w:fldCharType="begin"/>
      </w:r>
      <w:r>
        <w:rPr>
          <w:rFonts w:ascii="方正仿宋_GBK" w:eastAsia="方正仿宋_GBK"/>
          <w:b/>
          <w:sz w:val="28"/>
        </w:rPr>
        <w:instrText xml:space="preserve"> TC 10、提前下达2021中央水利发展资金（2）绩效目标表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332001水利局本级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13062521MF5CP1NAQ1001</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提前下达2021中央水利发展资金（2）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1096000.00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1096000.00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山洪灾害防治系统维护，曲水水库维修养护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1.完成山洪灾害防治等工作</w:t>
            </w:r>
          </w:p>
          <w:p>
            <w:pPr>
              <w:spacing w:line="300" w:lineRule="exact"/>
              <w:jc w:val="left"/>
              <w:rPr>
                <w:rFonts w:ascii="方正书宋_GBK" w:eastAsia="方正书宋_GBK"/>
              </w:rPr>
            </w:pPr>
            <w:r>
              <w:rPr>
                <w:rFonts w:ascii="方正书宋_GBK" w:eastAsia="方正书宋_GBK"/>
              </w:rPr>
              <w:t>2.保障群众汛期安全</w:t>
            </w:r>
          </w:p>
          <w:p>
            <w:pPr>
              <w:spacing w:line="300" w:lineRule="exact"/>
              <w:jc w:val="left"/>
              <w:rPr>
                <w:rFonts w:ascii="方正书宋_GBK" w:eastAsia="方正书宋_GBK"/>
              </w:rPr>
            </w:pPr>
            <w:r>
              <w:rPr>
                <w:rFonts w:ascii="方正书宋_GBK" w:eastAsia="方正书宋_GBK"/>
              </w:rPr>
              <w:t>3.提高群众生活质量</w:t>
            </w:r>
          </w:p>
        </w:tc>
      </w:tr>
    </w:tbl>
    <w:p>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投资完成率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实际投资数占计划投资数的比例</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&gt;90100%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正常运行率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日常工作及设备设施的正常运转情况</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控制资金支出</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资金支出占预算全额的比例</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项目实际支出是否控制在预算内</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项目实际支出是否控制在预算内</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社会影响力</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有效的起到宣传效果</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依据工作要求</w:t>
            </w:r>
          </w:p>
        </w:tc>
      </w:tr>
    </w:tbl>
    <w:p>
      <w:pPr>
        <w:spacing w:line="300" w:lineRule="exact"/>
        <w:jc w:val="left"/>
        <w:sectPr>
          <w:pgSz w:w="11907" w:h="16839"/>
          <w:pgMar w:top="1984" w:right="1304" w:bottom="1134" w:left="1304" w:header="851" w:footer="992" w:gutter="0"/>
          <w:cols w:space="425" w:num="1"/>
          <w:docGrid w:type="lines" w:linePitch="312" w:charSpace="0"/>
        </w:sectPr>
      </w:pPr>
    </w:p>
    <w:p>
      <w:pPr>
        <w:spacing w:line="300" w:lineRule="exact"/>
        <w:jc w:val="left"/>
      </w:pPr>
    </w:p>
    <w:p>
      <w:pPr>
        <w:ind w:firstLine="560" w:firstLineChars="200"/>
        <w:jc w:val="left"/>
        <w:outlineLvl w:val="3"/>
        <w:rPr>
          <w:rFonts w:ascii="Times New Roman" w:hAnsi="宋体" w:eastAsia="宋体"/>
          <w:b/>
          <w:sz w:val="28"/>
        </w:rPr>
      </w:pPr>
      <w:bookmarkStart w:id="13" w:name="_Toc66956217"/>
      <w:r>
        <w:rPr>
          <w:rFonts w:ascii="方正仿宋_GBK" w:eastAsia="方正仿宋_GBK"/>
          <w:b/>
          <w:sz w:val="28"/>
        </w:rPr>
        <w:t>11.河长制办公室工作经费绩效目标表</w:t>
      </w:r>
      <w:bookmarkEnd w:id="13"/>
      <w:r>
        <w:rPr>
          <w:rFonts w:ascii="方正仿宋_GBK" w:eastAsia="方正仿宋_GBK"/>
          <w:b/>
          <w:sz w:val="28"/>
        </w:rPr>
        <w:fldChar w:fldCharType="begin"/>
      </w:r>
      <w:r>
        <w:rPr>
          <w:rFonts w:ascii="方正仿宋_GBK" w:eastAsia="方正仿宋_GBK"/>
          <w:b/>
          <w:sz w:val="28"/>
        </w:rPr>
        <w:instrText xml:space="preserve"> TC 11、河长制办公室工作经费绩效目标表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332001水利局本级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13062521NUDGN43F3C9PE</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河长制办公室工作经费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150000.00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150000.00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更新河长制公示牌、手册、宣传资料、车辆经费及应急处置共计15万元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20.00%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45.00%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60.00%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1.完成河长制公示牌更换维护任务</w:t>
            </w:r>
          </w:p>
          <w:p>
            <w:pPr>
              <w:spacing w:line="300" w:lineRule="exact"/>
              <w:jc w:val="left"/>
              <w:rPr>
                <w:rFonts w:ascii="方正书宋_GBK" w:eastAsia="方正书宋_GBK"/>
              </w:rPr>
            </w:pPr>
            <w:r>
              <w:rPr>
                <w:rFonts w:ascii="方正书宋_GBK" w:eastAsia="方正书宋_GBK"/>
              </w:rPr>
              <w:t>2.完成河长制宣传资料</w:t>
            </w:r>
          </w:p>
          <w:p>
            <w:pPr>
              <w:spacing w:line="300" w:lineRule="exact"/>
              <w:jc w:val="left"/>
              <w:rPr>
                <w:rFonts w:ascii="方正书宋_GBK" w:eastAsia="方正书宋_GBK"/>
              </w:rPr>
            </w:pPr>
            <w:r>
              <w:rPr>
                <w:rFonts w:ascii="方正书宋_GBK" w:eastAsia="方正书宋_GBK"/>
              </w:rPr>
              <w:t>3.完成河长制工作应急处置</w:t>
            </w:r>
          </w:p>
        </w:tc>
      </w:tr>
    </w:tbl>
    <w:p>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河长制公示牌更换数量</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河长制公示牌更换数量</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≥300个</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正常运行率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日常工作及设备设施的正常运转情况</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控制资金支出</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资金支出占预算全额的比例</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项目实际支出是否控制在预算内</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项目实际支出是否控制在预算内</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社会影响力</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有效的起到宣传效果</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依据工作要求</w:t>
            </w:r>
          </w:p>
        </w:tc>
      </w:tr>
    </w:tbl>
    <w:p>
      <w:pPr>
        <w:spacing w:line="300" w:lineRule="exact"/>
        <w:jc w:val="left"/>
        <w:sectPr>
          <w:pgSz w:w="11907" w:h="16839"/>
          <w:pgMar w:top="1984" w:right="1304" w:bottom="1134" w:left="1304" w:header="851" w:footer="992" w:gutter="0"/>
          <w:cols w:space="425" w:num="1"/>
          <w:docGrid w:type="lines" w:linePitch="312" w:charSpace="0"/>
        </w:sectPr>
      </w:pPr>
    </w:p>
    <w:p>
      <w:pPr>
        <w:spacing w:line="300" w:lineRule="exact"/>
        <w:jc w:val="left"/>
      </w:pPr>
    </w:p>
    <w:p>
      <w:pPr>
        <w:ind w:firstLine="560" w:firstLineChars="200"/>
        <w:jc w:val="left"/>
        <w:outlineLvl w:val="3"/>
        <w:rPr>
          <w:rFonts w:ascii="Times New Roman" w:hAnsi="宋体" w:eastAsia="宋体"/>
          <w:b/>
          <w:sz w:val="28"/>
        </w:rPr>
      </w:pPr>
      <w:bookmarkStart w:id="14" w:name="_Toc66956218"/>
      <w:r>
        <w:rPr>
          <w:rFonts w:ascii="方正仿宋_GBK" w:eastAsia="方正仿宋_GBK"/>
          <w:b/>
          <w:sz w:val="28"/>
        </w:rPr>
        <w:t>12.提前下达2021年大中型水库移民后期扶持资金预算绩效目标表</w:t>
      </w:r>
      <w:bookmarkEnd w:id="14"/>
      <w:r>
        <w:rPr>
          <w:rFonts w:ascii="方正仿宋_GBK" w:eastAsia="方正仿宋_GBK"/>
          <w:b/>
          <w:sz w:val="28"/>
        </w:rPr>
        <w:fldChar w:fldCharType="begin"/>
      </w:r>
      <w:r>
        <w:rPr>
          <w:rFonts w:ascii="方正仿宋_GBK" w:eastAsia="方正仿宋_GBK"/>
          <w:b/>
          <w:sz w:val="28"/>
        </w:rPr>
        <w:instrText xml:space="preserve"> TC 12、提前下达2021年大中型水库移民后期扶持资金预算绩效目标表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332001水利局本级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13062521O2BPNYFWZBD14</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提前下达2021年大中型水库移民后期扶持资金预算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7400000.00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7400000.00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移民后期乡镇道路维修、环境设施整治等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1.完成水库移民后期扶持项目</w:t>
            </w:r>
          </w:p>
          <w:p>
            <w:pPr>
              <w:spacing w:line="300" w:lineRule="exact"/>
              <w:jc w:val="left"/>
              <w:rPr>
                <w:rFonts w:ascii="方正书宋_GBK" w:eastAsia="方正书宋_GBK"/>
              </w:rPr>
            </w:pPr>
            <w:r>
              <w:rPr>
                <w:rFonts w:ascii="方正书宋_GBK" w:eastAsia="方正书宋_GBK"/>
              </w:rPr>
              <w:t>2.改善移民生活环境</w:t>
            </w:r>
          </w:p>
          <w:p>
            <w:pPr>
              <w:spacing w:line="300" w:lineRule="exact"/>
              <w:jc w:val="left"/>
              <w:rPr>
                <w:rFonts w:ascii="方正书宋_GBK" w:eastAsia="方正书宋_GBK"/>
              </w:rPr>
            </w:pPr>
            <w:r>
              <w:rPr>
                <w:rFonts w:ascii="方正书宋_GBK" w:eastAsia="方正书宋_GBK"/>
              </w:rPr>
              <w:t>3.提高移民生活水平</w:t>
            </w:r>
          </w:p>
        </w:tc>
      </w:tr>
    </w:tbl>
    <w:p>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投资完成率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实际投资数占计划投资数的比例</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&gt;90100%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正常运行率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日常工作及设备设施的正常运转情况</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控制资金支出</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资金支出占预算全额的比例</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项目实际支出是否控制在预算内</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项目实际支出是否控制在预算内</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社会影响力</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有效的起到宣传效果</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依据工作要求</w:t>
            </w:r>
          </w:p>
        </w:tc>
      </w:tr>
    </w:tbl>
    <w:p>
      <w:pPr>
        <w:spacing w:line="300" w:lineRule="exact"/>
        <w:jc w:val="left"/>
        <w:sectPr>
          <w:pgSz w:w="11907" w:h="16839"/>
          <w:pgMar w:top="1984" w:right="1304" w:bottom="1134" w:left="1304" w:header="851" w:footer="992" w:gutter="0"/>
          <w:cols w:space="425" w:num="1"/>
          <w:docGrid w:type="lines" w:linePitch="312" w:charSpace="0"/>
        </w:sectPr>
      </w:pPr>
    </w:p>
    <w:p>
      <w:pPr>
        <w:spacing w:line="300" w:lineRule="exact"/>
        <w:jc w:val="left"/>
      </w:pPr>
    </w:p>
    <w:p>
      <w:pPr>
        <w:ind w:firstLine="560" w:firstLineChars="200"/>
        <w:jc w:val="left"/>
        <w:outlineLvl w:val="3"/>
        <w:rPr>
          <w:rFonts w:ascii="Times New Roman" w:hAnsi="宋体" w:eastAsia="宋体"/>
          <w:b/>
          <w:sz w:val="28"/>
        </w:rPr>
      </w:pPr>
      <w:bookmarkStart w:id="15" w:name="_Toc66956219"/>
      <w:r>
        <w:rPr>
          <w:rFonts w:ascii="方正仿宋_GBK" w:eastAsia="方正仿宋_GBK"/>
          <w:b/>
          <w:sz w:val="28"/>
        </w:rPr>
        <w:t>13.建档立卡贫困户所在村饮水安全水质检测绩效目标表</w:t>
      </w:r>
      <w:bookmarkEnd w:id="15"/>
      <w:r>
        <w:rPr>
          <w:rFonts w:ascii="方正仿宋_GBK" w:eastAsia="方正仿宋_GBK"/>
          <w:b/>
          <w:sz w:val="28"/>
        </w:rPr>
        <w:fldChar w:fldCharType="begin"/>
      </w:r>
      <w:r>
        <w:rPr>
          <w:rFonts w:ascii="方正仿宋_GBK" w:eastAsia="方正仿宋_GBK"/>
          <w:b/>
          <w:sz w:val="28"/>
        </w:rPr>
        <w:instrText xml:space="preserve"> TC 13、建档立卡贫困户所在村饮水安全水质检测绩效目标表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332001水利局本级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13062521OSTRFE254AQ7X</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建档立卡贫困户所在村饮水安全水质检测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199660.00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199660.00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对全区建档立卡贫困户所在村饮水安全水质检测，需检测水样行政村298个，每个水样检测标准670元，需申请区财政资金199660元。范围全区298个行政村。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1.完成建档立卡贫困户水质检测工作</w:t>
            </w:r>
          </w:p>
          <w:p>
            <w:pPr>
              <w:spacing w:line="300" w:lineRule="exact"/>
              <w:jc w:val="left"/>
              <w:rPr>
                <w:rFonts w:ascii="方正书宋_GBK" w:eastAsia="方正书宋_GBK"/>
              </w:rPr>
            </w:pPr>
            <w:r>
              <w:rPr>
                <w:rFonts w:ascii="方正书宋_GBK" w:eastAsia="方正书宋_GBK"/>
              </w:rPr>
              <w:t>2.掌握建档立卡贫困户水质情况</w:t>
            </w:r>
          </w:p>
          <w:p>
            <w:pPr>
              <w:spacing w:line="300" w:lineRule="exact"/>
              <w:jc w:val="left"/>
              <w:rPr>
                <w:rFonts w:ascii="方正书宋_GBK" w:eastAsia="方正书宋_GBK"/>
              </w:rPr>
            </w:pPr>
            <w:r>
              <w:rPr>
                <w:rFonts w:ascii="方正书宋_GBK" w:eastAsia="方正书宋_GBK"/>
              </w:rPr>
              <w:t>3.得到建档立卡贫困户受众的认可</w:t>
            </w:r>
          </w:p>
        </w:tc>
      </w:tr>
    </w:tbl>
    <w:p>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完成检测数量</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完成检测数量</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≥90100%</w:t>
            </w:r>
          </w:p>
        </w:tc>
        <w:tc>
          <w:tcPr>
            <w:tcW w:w="170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依据合同标准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项目合格率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项目合格率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依据合同标准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资金支出率（%）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资金支出率（%）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≥80100%</w:t>
            </w:r>
          </w:p>
        </w:tc>
        <w:tc>
          <w:tcPr>
            <w:tcW w:w="170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依据合同标准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项目实际支出是否控制在预算内</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项目实际支出是否控制在预算内</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依据合同标准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社会影响力</w:t>
            </w:r>
          </w:p>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得到广大受众的充分认可。</w:t>
            </w:r>
          </w:p>
          <w:p>
            <w:pPr>
              <w:spacing w:line="300" w:lineRule="exact"/>
              <w:jc w:val="left"/>
              <w:rPr>
                <w:rFonts w:ascii="方正书宋_GBK" w:eastAsia="方正书宋_GBK"/>
              </w:rPr>
            </w:pP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依据合同标准</w:t>
            </w:r>
          </w:p>
        </w:tc>
      </w:tr>
    </w:tbl>
    <w:p>
      <w:pPr>
        <w:spacing w:line="300" w:lineRule="exact"/>
        <w:jc w:val="left"/>
        <w:sectPr>
          <w:pgSz w:w="11907" w:h="16839"/>
          <w:pgMar w:top="1984" w:right="1304" w:bottom="1134" w:left="1304" w:header="851" w:footer="992" w:gutter="0"/>
          <w:cols w:space="425" w:num="1"/>
          <w:docGrid w:type="lines" w:linePitch="312" w:charSpace="0"/>
        </w:sectPr>
      </w:pPr>
    </w:p>
    <w:p>
      <w:pPr>
        <w:spacing w:line="300" w:lineRule="exact"/>
        <w:jc w:val="left"/>
      </w:pPr>
    </w:p>
    <w:p>
      <w:pPr>
        <w:ind w:firstLine="560" w:firstLineChars="200"/>
        <w:jc w:val="left"/>
        <w:outlineLvl w:val="3"/>
        <w:rPr>
          <w:rFonts w:ascii="Times New Roman" w:hAnsi="宋体" w:eastAsia="宋体"/>
          <w:b/>
          <w:sz w:val="28"/>
        </w:rPr>
      </w:pPr>
      <w:bookmarkStart w:id="16" w:name="_Toc66956220"/>
      <w:r>
        <w:rPr>
          <w:rFonts w:ascii="方正仿宋_GBK" w:eastAsia="方正仿宋_GBK"/>
          <w:b/>
          <w:sz w:val="28"/>
        </w:rPr>
        <w:t>14.水利伤残补助绩效目标表</w:t>
      </w:r>
      <w:bookmarkEnd w:id="16"/>
      <w:r>
        <w:rPr>
          <w:rFonts w:ascii="方正仿宋_GBK" w:eastAsia="方正仿宋_GBK"/>
          <w:b/>
          <w:sz w:val="28"/>
        </w:rPr>
        <w:fldChar w:fldCharType="begin"/>
      </w:r>
      <w:r>
        <w:rPr>
          <w:rFonts w:ascii="方正仿宋_GBK" w:eastAsia="方正仿宋_GBK"/>
          <w:b/>
          <w:sz w:val="28"/>
        </w:rPr>
        <w:instrText xml:space="preserve"> TC 14、水利伤残补助绩效目标表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332001水利局本级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13062521UHAXKSIMV6GU4</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水利伤残补助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24540.00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24540.00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水利伤残人员补助，6级伤残3人，年补助标准每人7080元，8级伤残1人，年补助标准3300元，共计24540，2021年1月开始实施，范围全部伤残人员。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1.完成水利伤残人员补助发放工作</w:t>
            </w:r>
          </w:p>
          <w:p>
            <w:pPr>
              <w:spacing w:line="300" w:lineRule="exact"/>
              <w:jc w:val="left"/>
              <w:rPr>
                <w:rFonts w:ascii="方正书宋_GBK" w:eastAsia="方正书宋_GBK"/>
              </w:rPr>
            </w:pPr>
            <w:r>
              <w:rPr>
                <w:rFonts w:ascii="方正书宋_GBK" w:eastAsia="方正书宋_GBK"/>
              </w:rPr>
              <w:t>2.缓解水利伤残人员生活困难程度</w:t>
            </w:r>
          </w:p>
          <w:p>
            <w:pPr>
              <w:spacing w:line="300" w:lineRule="exact"/>
              <w:jc w:val="left"/>
              <w:rPr>
                <w:rFonts w:ascii="方正书宋_GBK" w:eastAsia="方正书宋_GBK"/>
              </w:rPr>
            </w:pPr>
            <w:r>
              <w:rPr>
                <w:rFonts w:ascii="方正书宋_GBK" w:eastAsia="方正书宋_GBK"/>
              </w:rPr>
              <w:t>3.提高水利伤残人员生活质量</w:t>
            </w:r>
          </w:p>
        </w:tc>
      </w:tr>
    </w:tbl>
    <w:p>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完成发放人员数量</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完成发放人员数量</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完成率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完成率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控制资金支出</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资金支出占预算全额的比例</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项目实际支出是否控制在预算内</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项目实际支出是否控制在预算内</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社会影响力</w:t>
            </w:r>
          </w:p>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得到广大受众的充分认可。</w:t>
            </w:r>
          </w:p>
          <w:p>
            <w:pPr>
              <w:spacing w:line="300" w:lineRule="exact"/>
              <w:jc w:val="left"/>
              <w:rPr>
                <w:rFonts w:ascii="方正书宋_GBK" w:eastAsia="方正书宋_GBK"/>
              </w:rPr>
            </w:pP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依据工作要求</w:t>
            </w:r>
          </w:p>
        </w:tc>
      </w:tr>
    </w:tbl>
    <w:p>
      <w:pPr>
        <w:spacing w:line="300" w:lineRule="exact"/>
        <w:jc w:val="left"/>
        <w:sectPr>
          <w:pgSz w:w="11907" w:h="16839"/>
          <w:pgMar w:top="1984" w:right="1304" w:bottom="1134" w:left="1304" w:header="851" w:footer="992" w:gutter="0"/>
          <w:cols w:space="425" w:num="1"/>
          <w:docGrid w:type="lines" w:linePitch="312" w:charSpace="0"/>
        </w:sectPr>
      </w:pPr>
    </w:p>
    <w:p>
      <w:pPr>
        <w:spacing w:line="300" w:lineRule="exact"/>
        <w:jc w:val="left"/>
      </w:pPr>
    </w:p>
    <w:p>
      <w:pPr>
        <w:ind w:firstLine="560" w:firstLineChars="200"/>
        <w:jc w:val="left"/>
        <w:outlineLvl w:val="3"/>
        <w:rPr>
          <w:rFonts w:ascii="Times New Roman" w:hAnsi="宋体" w:eastAsia="宋体"/>
          <w:b/>
          <w:sz w:val="28"/>
        </w:rPr>
      </w:pPr>
      <w:bookmarkStart w:id="17" w:name="_Toc66956221"/>
      <w:r>
        <w:rPr>
          <w:rFonts w:ascii="方正仿宋_GBK" w:eastAsia="方正仿宋_GBK"/>
          <w:b/>
          <w:sz w:val="28"/>
        </w:rPr>
        <w:t>15.钻井队、育苗基地经费绩效目标表</w:t>
      </w:r>
      <w:bookmarkEnd w:id="17"/>
      <w:r>
        <w:rPr>
          <w:rFonts w:ascii="方正仿宋_GBK" w:eastAsia="方正仿宋_GBK"/>
          <w:b/>
          <w:sz w:val="28"/>
        </w:rPr>
        <w:fldChar w:fldCharType="begin"/>
      </w:r>
      <w:r>
        <w:rPr>
          <w:rFonts w:ascii="方正仿宋_GBK" w:eastAsia="方正仿宋_GBK"/>
          <w:b/>
          <w:sz w:val="28"/>
        </w:rPr>
        <w:instrText xml:space="preserve"> TC 15、钻井队、育苗基地经费绩效目标表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332001水利局本级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13062521X3ADA2ZX23Z06</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钻井队、育苗基地经费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814623.79</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814623.79</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井育人员年工资53.8604万元、各类保险公积金18.967579万元，乡镇补贴2.784万元、物业补贴1.68万元、取暖费4.1704万元，共计814623.79元。</w:t>
            </w:r>
          </w:p>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20.00%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40.00%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60.00%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1.完成井育人员费用发放工作</w:t>
            </w:r>
          </w:p>
          <w:p>
            <w:pPr>
              <w:spacing w:line="300" w:lineRule="exact"/>
              <w:jc w:val="left"/>
              <w:rPr>
                <w:rFonts w:ascii="方正书宋_GBK" w:eastAsia="方正书宋_GBK"/>
              </w:rPr>
            </w:pPr>
            <w:r>
              <w:rPr>
                <w:rFonts w:ascii="方正书宋_GBK" w:eastAsia="方正书宋_GBK"/>
              </w:rPr>
              <w:t>2.保障井育人员正常工作</w:t>
            </w:r>
          </w:p>
          <w:p>
            <w:pPr>
              <w:spacing w:line="300" w:lineRule="exact"/>
              <w:jc w:val="left"/>
              <w:rPr>
                <w:rFonts w:ascii="方正书宋_GBK" w:eastAsia="方正书宋_GBK"/>
              </w:rPr>
            </w:pPr>
            <w:r>
              <w:rPr>
                <w:rFonts w:ascii="方正书宋_GBK" w:eastAsia="方正书宋_GBK"/>
              </w:rPr>
              <w:t>3.完成井育人员保险等费用缴纳</w:t>
            </w:r>
          </w:p>
        </w:tc>
      </w:tr>
    </w:tbl>
    <w:p>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完成发放人员数量</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完成发放人员数量</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完成率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完成率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控制资金支出</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资金支出占预算全额的比例</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项目实际支出是否控制在预算内</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项目实际支出是否控制在预算内</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社会影响力</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得到广大受众的充分认可。</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依据工作要求</w:t>
            </w:r>
          </w:p>
        </w:tc>
      </w:tr>
    </w:tbl>
    <w:p>
      <w:pPr>
        <w:spacing w:line="300" w:lineRule="exact"/>
        <w:jc w:val="left"/>
        <w:sectPr>
          <w:pgSz w:w="11907" w:h="16839"/>
          <w:pgMar w:top="1984" w:right="1304" w:bottom="1134" w:left="1304" w:header="851" w:footer="992" w:gutter="0"/>
          <w:cols w:space="425" w:num="1"/>
          <w:docGrid w:type="lines" w:linePitch="312" w:charSpace="0"/>
        </w:sectPr>
      </w:pPr>
    </w:p>
    <w:p>
      <w:pPr>
        <w:spacing w:line="300" w:lineRule="exact"/>
        <w:jc w:val="left"/>
      </w:pPr>
    </w:p>
    <w:p>
      <w:pPr>
        <w:ind w:firstLine="560" w:firstLineChars="200"/>
        <w:jc w:val="left"/>
        <w:outlineLvl w:val="3"/>
        <w:rPr>
          <w:rFonts w:ascii="Times New Roman" w:hAnsi="宋体" w:eastAsia="宋体"/>
          <w:b/>
          <w:sz w:val="28"/>
        </w:rPr>
      </w:pPr>
      <w:bookmarkStart w:id="18" w:name="_Toc66956222"/>
      <w:r>
        <w:rPr>
          <w:rFonts w:ascii="方正仿宋_GBK" w:eastAsia="方正仿宋_GBK"/>
          <w:b/>
          <w:sz w:val="28"/>
        </w:rPr>
        <w:t>16.瀑河污水倒排电费绩效目标表</w:t>
      </w:r>
      <w:bookmarkEnd w:id="18"/>
      <w:r>
        <w:rPr>
          <w:rFonts w:ascii="方正仿宋_GBK" w:eastAsia="方正仿宋_GBK"/>
          <w:b/>
          <w:sz w:val="28"/>
        </w:rPr>
        <w:fldChar w:fldCharType="begin"/>
      </w:r>
      <w:r>
        <w:rPr>
          <w:rFonts w:ascii="方正仿宋_GBK" w:eastAsia="方正仿宋_GBK"/>
          <w:b/>
          <w:sz w:val="28"/>
        </w:rPr>
        <w:instrText xml:space="preserve"> TC 16、瀑河污水倒排电费绩效目标表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332001水利局本级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13062521XWPL9LSV0DH3R</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瀑河污水倒排电费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83629.60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83629.60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大因和城区污水倒排区排水电费8.36296万元。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1.完成瀑河污水导排</w:t>
            </w:r>
          </w:p>
          <w:p>
            <w:pPr>
              <w:spacing w:line="300" w:lineRule="exact"/>
              <w:jc w:val="left"/>
              <w:rPr>
                <w:rFonts w:ascii="方正书宋_GBK" w:eastAsia="方正书宋_GBK"/>
              </w:rPr>
            </w:pPr>
            <w:r>
              <w:rPr>
                <w:rFonts w:ascii="方正书宋_GBK" w:eastAsia="方正书宋_GBK"/>
              </w:rPr>
              <w:t>2.瀑河水减少污染</w:t>
            </w:r>
          </w:p>
          <w:p>
            <w:pPr>
              <w:spacing w:line="300" w:lineRule="exact"/>
              <w:jc w:val="left"/>
              <w:rPr>
                <w:rFonts w:ascii="方正书宋_GBK" w:eastAsia="方正书宋_GBK"/>
              </w:rPr>
            </w:pPr>
            <w:r>
              <w:rPr>
                <w:rFonts w:ascii="方正书宋_GBK" w:eastAsia="方正书宋_GBK"/>
              </w:rPr>
              <w:t>3.向白洋淀补水水质达到标准</w:t>
            </w:r>
          </w:p>
        </w:tc>
      </w:tr>
    </w:tbl>
    <w:p>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工程质量合格率（%）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工程质量合格率（%）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保障项目内机器正常用电</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保障项目内机器正常用电</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控制资金支出</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资金支出占预算全额的比例</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≥90100%</w:t>
            </w:r>
          </w:p>
        </w:tc>
        <w:tc>
          <w:tcPr>
            <w:tcW w:w="170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项目实际支出是否控制在预算内</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项目实际支出是否控制在预算内</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社会影响力</w:t>
            </w:r>
          </w:p>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得到广大受众的充分认可。</w:t>
            </w:r>
          </w:p>
          <w:p>
            <w:pPr>
              <w:spacing w:line="300" w:lineRule="exact"/>
              <w:jc w:val="left"/>
              <w:rPr>
                <w:rFonts w:ascii="方正书宋_GBK" w:eastAsia="方正书宋_GBK"/>
              </w:rPr>
            </w:pP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依据工作方案</w:t>
            </w:r>
          </w:p>
        </w:tc>
      </w:tr>
    </w:tbl>
    <w:p>
      <w:pPr>
        <w:spacing w:line="300" w:lineRule="exact"/>
        <w:jc w:val="left"/>
        <w:sectPr>
          <w:pgSz w:w="11907" w:h="16839"/>
          <w:pgMar w:top="1984" w:right="1304" w:bottom="1134" w:left="1304" w:header="851" w:footer="992" w:gutter="0"/>
          <w:cols w:space="425" w:num="1"/>
          <w:docGrid w:type="lines" w:linePitch="312" w:charSpace="0"/>
        </w:sectPr>
      </w:pPr>
    </w:p>
    <w:p>
      <w:pPr>
        <w:jc w:val="center"/>
        <w:outlineLvl w:val="0"/>
        <w:rPr>
          <w:rFonts w:ascii="方正小标宋_GBK" w:eastAsia="方正小标宋_GBK"/>
          <w:sz w:val="44"/>
        </w:rPr>
      </w:pPr>
      <w:r>
        <w:rPr>
          <w:rFonts w:hint="eastAsia" w:ascii="方正小标宋_GBK" w:eastAsia="方正小标宋_GBK"/>
          <w:sz w:val="44"/>
        </w:rPr>
        <w:t>第六部分：政府采购预算情况</w:t>
      </w:r>
    </w:p>
    <w:p>
      <w:pPr>
        <w:spacing w:line="360" w:lineRule="auto"/>
        <w:ind w:firstLine="640" w:firstLineChars="200"/>
        <w:rPr>
          <w:rFonts w:ascii="仿宋" w:hAnsi="仿宋" w:eastAsia="仿宋"/>
          <w:sz w:val="32"/>
          <w:szCs w:val="32"/>
        </w:rPr>
      </w:pPr>
      <w:r>
        <w:rPr>
          <w:rFonts w:ascii="仿宋" w:hAnsi="仿宋" w:eastAsia="仿宋"/>
          <w:sz w:val="32"/>
          <w:szCs w:val="32"/>
        </w:rPr>
        <w:t>2021年，我部门安排政府采购预算</w:t>
      </w:r>
      <w:r>
        <w:rPr>
          <w:rFonts w:hint="eastAsia" w:ascii="仿宋" w:hAnsi="仿宋" w:eastAsia="仿宋"/>
          <w:sz w:val="32"/>
          <w:szCs w:val="32"/>
        </w:rPr>
        <w:t>3493.60</w:t>
      </w:r>
      <w:r>
        <w:rPr>
          <w:rFonts w:ascii="仿宋" w:hAnsi="仿宋" w:eastAsia="仿宋"/>
          <w:sz w:val="32"/>
          <w:szCs w:val="32"/>
        </w:rPr>
        <w:t>万元，具体内容见下表：</w:t>
      </w:r>
    </w:p>
    <w:p>
      <w:pPr>
        <w:spacing w:line="360" w:lineRule="auto"/>
        <w:ind w:firstLine="640" w:firstLineChars="200"/>
        <w:rPr>
          <w:rFonts w:ascii="仿宋" w:hAnsi="仿宋" w:eastAsia="仿宋"/>
          <w:sz w:val="32"/>
          <w:szCs w:val="32"/>
        </w:rPr>
        <w:sectPr>
          <w:footerReference r:id="rId3" w:type="default"/>
          <w:pgSz w:w="11906" w:h="16838"/>
          <w:pgMar w:top="1440" w:right="1800" w:bottom="1440" w:left="1800" w:header="851" w:footer="992" w:gutter="0"/>
          <w:cols w:space="425" w:num="1"/>
          <w:docGrid w:type="lines" w:linePitch="312" w:charSpace="0"/>
        </w:sectPr>
      </w:pPr>
    </w:p>
    <w:tbl>
      <w:tblPr>
        <w:tblStyle w:val="5"/>
        <w:tblW w:w="1510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84"/>
        <w:gridCol w:w="1485"/>
        <w:gridCol w:w="1180"/>
        <w:gridCol w:w="1088"/>
        <w:gridCol w:w="708"/>
        <w:gridCol w:w="567"/>
        <w:gridCol w:w="1497"/>
        <w:gridCol w:w="1480"/>
        <w:gridCol w:w="1559"/>
        <w:gridCol w:w="851"/>
        <w:gridCol w:w="1134"/>
        <w:gridCol w:w="840"/>
        <w:gridCol w:w="7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8509" w:type="dxa"/>
            <w:gridSpan w:val="7"/>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小标宋_GBK" w:eastAsia="方正小标宋_GBK"/>
                <w:sz w:val="24"/>
              </w:rPr>
            </w:pPr>
            <w:r>
              <w:rPr>
                <w:rFonts w:ascii="方正小标宋_GBK" w:eastAsia="方正小标宋_GBK"/>
                <w:sz w:val="24"/>
              </w:rPr>
              <w:t>332保定市徐水区水利局</w:t>
            </w:r>
          </w:p>
        </w:tc>
        <w:tc>
          <w:tcPr>
            <w:tcW w:w="659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sz w:val="24"/>
              </w:rPr>
            </w:pPr>
            <w:r>
              <w:rPr>
                <w:rFonts w:ascii="方正书宋_GBK" w:eastAsia="方正书宋_GBK"/>
                <w:sz w:val="24"/>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3469"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政府采购项目来源</w:t>
            </w:r>
          </w:p>
        </w:tc>
        <w:tc>
          <w:tcPr>
            <w:tcW w:w="1180"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采购物品名称</w:t>
            </w:r>
          </w:p>
        </w:tc>
        <w:tc>
          <w:tcPr>
            <w:tcW w:w="1088"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政府采购目录序号</w:t>
            </w:r>
          </w:p>
        </w:tc>
        <w:tc>
          <w:tcPr>
            <w:tcW w:w="708"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计量  单位</w:t>
            </w:r>
          </w:p>
        </w:tc>
        <w:tc>
          <w:tcPr>
            <w:tcW w:w="567"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数量</w:t>
            </w:r>
          </w:p>
        </w:tc>
        <w:tc>
          <w:tcPr>
            <w:tcW w:w="1497"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单价</w:t>
            </w:r>
          </w:p>
        </w:tc>
        <w:tc>
          <w:tcPr>
            <w:tcW w:w="6591" w:type="dxa"/>
            <w:gridSpan w:val="6"/>
            <w:shd w:val="clear" w:color="auto" w:fill="auto"/>
            <w:vAlign w:val="center"/>
          </w:tcPr>
          <w:p>
            <w:pPr>
              <w:spacing w:line="300" w:lineRule="exact"/>
              <w:jc w:val="center"/>
              <w:rPr>
                <w:rFonts w:ascii="方正书宋_GBK" w:eastAsia="方正书宋_GBK"/>
                <w:b/>
              </w:rPr>
            </w:pPr>
            <w:r>
              <w:rPr>
                <w:rFonts w:ascii="方正书宋_GBK" w:eastAsia="方正书宋_GBK"/>
                <w:b/>
              </w:rPr>
              <w:t>政府采购金额（当年部门预算安排资金）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98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1485"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预算资金</w:t>
            </w:r>
          </w:p>
        </w:tc>
        <w:tc>
          <w:tcPr>
            <w:tcW w:w="1180" w:type="dxa"/>
            <w:vMerge w:val="continue"/>
            <w:shd w:val="clear" w:color="auto" w:fill="auto"/>
            <w:vAlign w:val="center"/>
          </w:tcPr>
          <w:p>
            <w:pPr>
              <w:spacing w:line="300" w:lineRule="exact"/>
              <w:jc w:val="left"/>
              <w:outlineLvl w:val="1"/>
              <w:rPr>
                <w:rFonts w:ascii="Times New Roman" w:eastAsia="方正仿宋_GBK"/>
                <w:sz w:val="28"/>
              </w:rPr>
            </w:pPr>
          </w:p>
        </w:tc>
        <w:tc>
          <w:tcPr>
            <w:tcW w:w="1088" w:type="dxa"/>
            <w:vMerge w:val="continue"/>
            <w:shd w:val="clear" w:color="auto" w:fill="auto"/>
            <w:vAlign w:val="center"/>
          </w:tcPr>
          <w:p>
            <w:pPr>
              <w:spacing w:line="300" w:lineRule="exact"/>
              <w:jc w:val="left"/>
              <w:outlineLvl w:val="1"/>
              <w:rPr>
                <w:rFonts w:ascii="Times New Roman" w:eastAsia="方正仿宋_GBK"/>
                <w:sz w:val="28"/>
              </w:rPr>
            </w:pPr>
          </w:p>
        </w:tc>
        <w:tc>
          <w:tcPr>
            <w:tcW w:w="708" w:type="dxa"/>
            <w:vMerge w:val="continue"/>
            <w:shd w:val="clear" w:color="auto" w:fill="auto"/>
            <w:vAlign w:val="center"/>
          </w:tcPr>
          <w:p>
            <w:pPr>
              <w:spacing w:line="300" w:lineRule="exact"/>
              <w:jc w:val="left"/>
              <w:outlineLvl w:val="1"/>
              <w:rPr>
                <w:rFonts w:ascii="Times New Roman" w:eastAsia="方正仿宋_GBK"/>
                <w:sz w:val="28"/>
              </w:rPr>
            </w:pPr>
          </w:p>
        </w:tc>
        <w:tc>
          <w:tcPr>
            <w:tcW w:w="567" w:type="dxa"/>
            <w:vMerge w:val="continue"/>
            <w:shd w:val="clear" w:color="auto" w:fill="auto"/>
            <w:vAlign w:val="center"/>
          </w:tcPr>
          <w:p>
            <w:pPr>
              <w:spacing w:line="300" w:lineRule="exact"/>
              <w:jc w:val="left"/>
              <w:outlineLvl w:val="1"/>
              <w:rPr>
                <w:rFonts w:ascii="Times New Roman" w:eastAsia="方正仿宋_GBK"/>
                <w:sz w:val="28"/>
              </w:rPr>
            </w:pPr>
          </w:p>
        </w:tc>
        <w:tc>
          <w:tcPr>
            <w:tcW w:w="1497" w:type="dxa"/>
            <w:vMerge w:val="continue"/>
            <w:shd w:val="clear" w:color="auto" w:fill="auto"/>
            <w:vAlign w:val="center"/>
          </w:tcPr>
          <w:p>
            <w:pPr>
              <w:spacing w:line="300" w:lineRule="exact"/>
              <w:jc w:val="left"/>
              <w:outlineLvl w:val="1"/>
              <w:rPr>
                <w:rFonts w:ascii="Times New Roman" w:eastAsia="方正仿宋_GBK"/>
                <w:sz w:val="28"/>
              </w:rPr>
            </w:pPr>
          </w:p>
        </w:tc>
        <w:tc>
          <w:tcPr>
            <w:tcW w:w="1480" w:type="dxa"/>
            <w:shd w:val="clear" w:color="auto" w:fill="auto"/>
            <w:vAlign w:val="center"/>
          </w:tcPr>
          <w:p>
            <w:pPr>
              <w:spacing w:line="300" w:lineRule="exact"/>
              <w:jc w:val="center"/>
              <w:rPr>
                <w:rFonts w:ascii="方正书宋_GBK" w:eastAsia="方正书宋_GBK"/>
                <w:b/>
              </w:rPr>
            </w:pPr>
            <w:r>
              <w:rPr>
                <w:rFonts w:ascii="方正书宋_GBK" w:eastAsia="方正书宋_GBK"/>
                <w:b/>
              </w:rPr>
              <w:t>合计</w:t>
            </w:r>
          </w:p>
        </w:tc>
        <w:tc>
          <w:tcPr>
            <w:tcW w:w="1559"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一般公共预算拨款</w:t>
            </w:r>
          </w:p>
        </w:tc>
        <w:tc>
          <w:tcPr>
            <w:tcW w:w="851" w:type="dxa"/>
            <w:shd w:val="clear" w:color="auto" w:fill="auto"/>
            <w:vAlign w:val="center"/>
          </w:tcPr>
          <w:p>
            <w:pPr>
              <w:spacing w:line="300" w:lineRule="exact"/>
              <w:jc w:val="center"/>
              <w:rPr>
                <w:rFonts w:ascii="方正书宋_GBK" w:eastAsia="方正书宋_GBK"/>
                <w:b/>
              </w:rPr>
            </w:pPr>
            <w:r>
              <w:rPr>
                <w:rFonts w:ascii="方正书宋_GBK" w:eastAsia="方正书宋_GBK"/>
                <w:b/>
              </w:rPr>
              <w:t>基金预算拨款</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国有资本经营预算拨款</w:t>
            </w:r>
          </w:p>
        </w:tc>
        <w:tc>
          <w:tcPr>
            <w:tcW w:w="840" w:type="dxa"/>
            <w:shd w:val="clear" w:color="auto" w:fill="auto"/>
            <w:vAlign w:val="center"/>
          </w:tcPr>
          <w:p>
            <w:pPr>
              <w:spacing w:line="300" w:lineRule="exact"/>
              <w:jc w:val="center"/>
              <w:rPr>
                <w:rFonts w:ascii="方正书宋_GBK" w:eastAsia="方正书宋_GBK"/>
                <w:b/>
              </w:rPr>
            </w:pPr>
            <w:r>
              <w:rPr>
                <w:rFonts w:ascii="方正书宋_GBK" w:eastAsia="方正书宋_GBK"/>
                <w:b/>
              </w:rPr>
              <w:t>财政专户核拨</w:t>
            </w:r>
          </w:p>
        </w:tc>
        <w:tc>
          <w:tcPr>
            <w:tcW w:w="727" w:type="dxa"/>
            <w:shd w:val="clear" w:color="auto" w:fill="auto"/>
            <w:vAlign w:val="center"/>
          </w:tcPr>
          <w:p>
            <w:pPr>
              <w:spacing w:line="300" w:lineRule="exact"/>
              <w:jc w:val="center"/>
              <w:rPr>
                <w:rFonts w:ascii="方正书宋_GBK" w:eastAsia="方正书宋_GBK"/>
                <w:b/>
              </w:rPr>
            </w:pPr>
            <w:r>
              <w:rPr>
                <w:rFonts w:ascii="方正书宋_GBK" w:eastAsia="方正书宋_GBK"/>
                <w:b/>
              </w:rPr>
              <w:t>单位资金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center"/>
              <w:rPr>
                <w:rFonts w:ascii="方正书宋_GBK" w:eastAsia="方正书宋_GBK"/>
                <w:b/>
              </w:rPr>
            </w:pPr>
            <w:r>
              <w:rPr>
                <w:rFonts w:ascii="方正书宋_GBK" w:eastAsia="方正书宋_GBK"/>
                <w:b/>
              </w:rPr>
              <w:t>合  计</w:t>
            </w:r>
          </w:p>
        </w:tc>
        <w:tc>
          <w:tcPr>
            <w:tcW w:w="1485" w:type="dxa"/>
            <w:shd w:val="clear" w:color="auto" w:fill="auto"/>
            <w:vAlign w:val="center"/>
          </w:tcPr>
          <w:p>
            <w:pPr>
              <w:spacing w:line="300" w:lineRule="exact"/>
              <w:jc w:val="right"/>
              <w:rPr>
                <w:rFonts w:ascii="方正书宋_GBK" w:eastAsia="方正书宋_GBK"/>
                <w:b/>
              </w:rPr>
            </w:pPr>
          </w:p>
        </w:tc>
        <w:tc>
          <w:tcPr>
            <w:tcW w:w="1180" w:type="dxa"/>
            <w:shd w:val="clear" w:color="auto" w:fill="auto"/>
            <w:vAlign w:val="center"/>
          </w:tcPr>
          <w:p>
            <w:pPr>
              <w:spacing w:line="300" w:lineRule="exact"/>
              <w:jc w:val="left"/>
              <w:rPr>
                <w:rFonts w:ascii="方正书宋_GBK" w:eastAsia="方正书宋_GBK"/>
                <w:b/>
              </w:rPr>
            </w:pPr>
          </w:p>
        </w:tc>
        <w:tc>
          <w:tcPr>
            <w:tcW w:w="1088" w:type="dxa"/>
            <w:shd w:val="clear" w:color="auto" w:fill="auto"/>
            <w:vAlign w:val="center"/>
          </w:tcPr>
          <w:p>
            <w:pPr>
              <w:spacing w:line="300" w:lineRule="exact"/>
              <w:jc w:val="left"/>
              <w:rPr>
                <w:rFonts w:ascii="方正书宋_GBK" w:eastAsia="方正书宋_GBK"/>
                <w:b/>
              </w:rPr>
            </w:pPr>
          </w:p>
        </w:tc>
        <w:tc>
          <w:tcPr>
            <w:tcW w:w="708" w:type="dxa"/>
            <w:shd w:val="clear" w:color="auto" w:fill="auto"/>
            <w:vAlign w:val="center"/>
          </w:tcPr>
          <w:p>
            <w:pPr>
              <w:spacing w:line="300" w:lineRule="exact"/>
              <w:jc w:val="center"/>
              <w:rPr>
                <w:rFonts w:ascii="方正书宋_GBK" w:eastAsia="方正书宋_GBK"/>
                <w:b/>
              </w:rPr>
            </w:pPr>
          </w:p>
        </w:tc>
        <w:tc>
          <w:tcPr>
            <w:tcW w:w="567" w:type="dxa"/>
            <w:shd w:val="clear" w:color="auto" w:fill="auto"/>
            <w:vAlign w:val="center"/>
          </w:tcPr>
          <w:p>
            <w:pPr>
              <w:spacing w:line="300" w:lineRule="exact"/>
              <w:jc w:val="right"/>
              <w:rPr>
                <w:rFonts w:ascii="方正书宋_GBK" w:eastAsia="方正书宋_GBK"/>
                <w:b/>
              </w:rPr>
            </w:pPr>
          </w:p>
        </w:tc>
        <w:tc>
          <w:tcPr>
            <w:tcW w:w="1497" w:type="dxa"/>
            <w:shd w:val="clear" w:color="auto" w:fill="auto"/>
            <w:vAlign w:val="center"/>
          </w:tcPr>
          <w:p>
            <w:pPr>
              <w:spacing w:line="300" w:lineRule="exact"/>
              <w:jc w:val="right"/>
              <w:rPr>
                <w:rFonts w:ascii="方正书宋_GBK" w:eastAsia="方正书宋_GBK"/>
                <w:b/>
              </w:rPr>
            </w:pPr>
          </w:p>
        </w:tc>
        <w:tc>
          <w:tcPr>
            <w:tcW w:w="1480" w:type="dxa"/>
            <w:shd w:val="clear" w:color="auto" w:fill="auto"/>
            <w:vAlign w:val="center"/>
          </w:tcPr>
          <w:p>
            <w:pPr>
              <w:spacing w:line="300" w:lineRule="exact"/>
              <w:jc w:val="right"/>
              <w:rPr>
                <w:rFonts w:ascii="方正书宋_GBK" w:eastAsia="方正书宋_GBK"/>
                <w:b/>
              </w:rPr>
            </w:pPr>
            <w:r>
              <w:rPr>
                <w:rFonts w:ascii="方正书宋_GBK" w:eastAsia="方正书宋_GBK"/>
                <w:b/>
              </w:rPr>
              <w:t>34936000.00</w:t>
            </w:r>
          </w:p>
        </w:tc>
        <w:tc>
          <w:tcPr>
            <w:tcW w:w="1559" w:type="dxa"/>
            <w:shd w:val="clear" w:color="auto" w:fill="auto"/>
            <w:vAlign w:val="center"/>
          </w:tcPr>
          <w:p>
            <w:pPr>
              <w:spacing w:line="300" w:lineRule="exact"/>
              <w:jc w:val="right"/>
              <w:rPr>
                <w:rFonts w:ascii="方正书宋_GBK" w:eastAsia="方正书宋_GBK"/>
                <w:b/>
              </w:rPr>
            </w:pPr>
            <w:r>
              <w:rPr>
                <w:rFonts w:ascii="方正书宋_GBK" w:eastAsia="方正书宋_GBK"/>
                <w:b/>
              </w:rPr>
              <w:t>34936000.00</w:t>
            </w:r>
          </w:p>
        </w:tc>
        <w:tc>
          <w:tcPr>
            <w:tcW w:w="851"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840" w:type="dxa"/>
            <w:shd w:val="clear" w:color="auto" w:fill="auto"/>
            <w:vAlign w:val="center"/>
          </w:tcPr>
          <w:p>
            <w:pPr>
              <w:spacing w:line="300" w:lineRule="exact"/>
              <w:jc w:val="right"/>
              <w:rPr>
                <w:rFonts w:ascii="方正书宋_GBK" w:eastAsia="方正书宋_GBK"/>
                <w:b/>
              </w:rPr>
            </w:pPr>
          </w:p>
        </w:tc>
        <w:tc>
          <w:tcPr>
            <w:tcW w:w="727" w:type="dxa"/>
            <w:shd w:val="clear" w:color="auto" w:fill="auto"/>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center"/>
              <w:rPr>
                <w:rFonts w:ascii="方正书宋_GBK" w:eastAsia="方正书宋_GBK"/>
                <w:b/>
              </w:rPr>
            </w:pPr>
            <w:r>
              <w:rPr>
                <w:rFonts w:ascii="方正书宋_GBK" w:eastAsia="方正书宋_GBK"/>
                <w:b/>
              </w:rPr>
              <w:t>水利局本级小计</w:t>
            </w:r>
          </w:p>
        </w:tc>
        <w:tc>
          <w:tcPr>
            <w:tcW w:w="1485" w:type="dxa"/>
            <w:shd w:val="clear" w:color="auto" w:fill="auto"/>
            <w:vAlign w:val="center"/>
          </w:tcPr>
          <w:p>
            <w:pPr>
              <w:spacing w:line="300" w:lineRule="exact"/>
              <w:jc w:val="right"/>
              <w:rPr>
                <w:rFonts w:ascii="方正书宋_GBK" w:eastAsia="方正书宋_GBK"/>
                <w:b/>
              </w:rPr>
            </w:pPr>
          </w:p>
        </w:tc>
        <w:tc>
          <w:tcPr>
            <w:tcW w:w="1180" w:type="dxa"/>
            <w:shd w:val="clear" w:color="auto" w:fill="auto"/>
            <w:vAlign w:val="center"/>
          </w:tcPr>
          <w:p>
            <w:pPr>
              <w:spacing w:line="300" w:lineRule="exact"/>
              <w:jc w:val="left"/>
              <w:rPr>
                <w:rFonts w:ascii="方正书宋_GBK" w:eastAsia="方正书宋_GBK"/>
                <w:b/>
              </w:rPr>
            </w:pPr>
          </w:p>
        </w:tc>
        <w:tc>
          <w:tcPr>
            <w:tcW w:w="1088" w:type="dxa"/>
            <w:shd w:val="clear" w:color="auto" w:fill="auto"/>
            <w:vAlign w:val="center"/>
          </w:tcPr>
          <w:p>
            <w:pPr>
              <w:spacing w:line="300" w:lineRule="exact"/>
              <w:jc w:val="left"/>
              <w:rPr>
                <w:rFonts w:ascii="方正书宋_GBK" w:eastAsia="方正书宋_GBK"/>
                <w:b/>
              </w:rPr>
            </w:pPr>
          </w:p>
        </w:tc>
        <w:tc>
          <w:tcPr>
            <w:tcW w:w="708" w:type="dxa"/>
            <w:shd w:val="clear" w:color="auto" w:fill="auto"/>
            <w:vAlign w:val="center"/>
          </w:tcPr>
          <w:p>
            <w:pPr>
              <w:spacing w:line="300" w:lineRule="exact"/>
              <w:jc w:val="center"/>
              <w:rPr>
                <w:rFonts w:ascii="方正书宋_GBK" w:eastAsia="方正书宋_GBK"/>
                <w:b/>
              </w:rPr>
            </w:pPr>
          </w:p>
        </w:tc>
        <w:tc>
          <w:tcPr>
            <w:tcW w:w="567" w:type="dxa"/>
            <w:shd w:val="clear" w:color="auto" w:fill="auto"/>
            <w:vAlign w:val="center"/>
          </w:tcPr>
          <w:p>
            <w:pPr>
              <w:spacing w:line="300" w:lineRule="exact"/>
              <w:jc w:val="right"/>
              <w:rPr>
                <w:rFonts w:ascii="方正书宋_GBK" w:eastAsia="方正书宋_GBK"/>
                <w:b/>
              </w:rPr>
            </w:pPr>
          </w:p>
        </w:tc>
        <w:tc>
          <w:tcPr>
            <w:tcW w:w="1497" w:type="dxa"/>
            <w:shd w:val="clear" w:color="auto" w:fill="auto"/>
            <w:vAlign w:val="center"/>
          </w:tcPr>
          <w:p>
            <w:pPr>
              <w:spacing w:line="300" w:lineRule="exact"/>
              <w:jc w:val="right"/>
              <w:rPr>
                <w:rFonts w:ascii="方正书宋_GBK" w:eastAsia="方正书宋_GBK"/>
                <w:b/>
              </w:rPr>
            </w:pPr>
          </w:p>
        </w:tc>
        <w:tc>
          <w:tcPr>
            <w:tcW w:w="1480" w:type="dxa"/>
            <w:shd w:val="clear" w:color="auto" w:fill="auto"/>
            <w:vAlign w:val="center"/>
          </w:tcPr>
          <w:p>
            <w:pPr>
              <w:spacing w:line="300" w:lineRule="exact"/>
              <w:jc w:val="right"/>
              <w:rPr>
                <w:rFonts w:ascii="方正书宋_GBK" w:eastAsia="方正书宋_GBK"/>
                <w:b/>
              </w:rPr>
            </w:pPr>
            <w:r>
              <w:rPr>
                <w:rFonts w:ascii="方正书宋_GBK" w:eastAsia="方正书宋_GBK"/>
                <w:b/>
              </w:rPr>
              <w:t>34936000.00</w:t>
            </w:r>
          </w:p>
        </w:tc>
        <w:tc>
          <w:tcPr>
            <w:tcW w:w="1559" w:type="dxa"/>
            <w:shd w:val="clear" w:color="auto" w:fill="auto"/>
            <w:vAlign w:val="center"/>
          </w:tcPr>
          <w:p>
            <w:pPr>
              <w:spacing w:line="300" w:lineRule="exact"/>
              <w:jc w:val="right"/>
              <w:rPr>
                <w:rFonts w:ascii="方正书宋_GBK" w:eastAsia="方正书宋_GBK"/>
                <w:b/>
              </w:rPr>
            </w:pPr>
            <w:r>
              <w:rPr>
                <w:rFonts w:ascii="方正书宋_GBK" w:eastAsia="方正书宋_GBK"/>
                <w:b/>
              </w:rPr>
              <w:t>34936000.00</w:t>
            </w:r>
          </w:p>
        </w:tc>
        <w:tc>
          <w:tcPr>
            <w:tcW w:w="851"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840" w:type="dxa"/>
            <w:shd w:val="clear" w:color="auto" w:fill="auto"/>
            <w:vAlign w:val="center"/>
          </w:tcPr>
          <w:p>
            <w:pPr>
              <w:spacing w:line="300" w:lineRule="exact"/>
              <w:jc w:val="right"/>
              <w:rPr>
                <w:rFonts w:ascii="方正书宋_GBK" w:eastAsia="方正书宋_GBK"/>
                <w:b/>
              </w:rPr>
            </w:pPr>
          </w:p>
        </w:tc>
        <w:tc>
          <w:tcPr>
            <w:tcW w:w="727" w:type="dxa"/>
            <w:shd w:val="clear" w:color="auto" w:fill="auto"/>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left"/>
              <w:rPr>
                <w:rFonts w:ascii="方正书宋_GBK" w:eastAsia="方正书宋_GBK"/>
              </w:rPr>
            </w:pPr>
            <w:r>
              <w:rPr>
                <w:rFonts w:ascii="方正书宋_GBK" w:eastAsia="方正书宋_GBK"/>
              </w:rPr>
              <w:t>提前下达2021年大中型水库移民后期扶持资金预算</w:t>
            </w:r>
          </w:p>
        </w:tc>
        <w:tc>
          <w:tcPr>
            <w:tcW w:w="1485" w:type="dxa"/>
            <w:shd w:val="clear" w:color="auto" w:fill="auto"/>
            <w:vAlign w:val="center"/>
          </w:tcPr>
          <w:p>
            <w:pPr>
              <w:spacing w:line="300" w:lineRule="exact"/>
              <w:jc w:val="right"/>
              <w:rPr>
                <w:rFonts w:ascii="方正书宋_GBK" w:eastAsia="方正书宋_GBK"/>
              </w:rPr>
            </w:pPr>
            <w:r>
              <w:rPr>
                <w:rFonts w:ascii="方正书宋_GBK" w:eastAsia="方正书宋_GBK"/>
              </w:rPr>
              <w:t>7400000.00</w:t>
            </w:r>
          </w:p>
        </w:tc>
        <w:tc>
          <w:tcPr>
            <w:tcW w:w="1180" w:type="dxa"/>
            <w:shd w:val="clear" w:color="auto" w:fill="auto"/>
            <w:vAlign w:val="center"/>
          </w:tcPr>
          <w:p>
            <w:pPr>
              <w:spacing w:line="300" w:lineRule="exact"/>
              <w:jc w:val="left"/>
              <w:rPr>
                <w:rFonts w:ascii="方正书宋_GBK" w:eastAsia="方正书宋_GBK"/>
              </w:rPr>
            </w:pPr>
            <w:r>
              <w:rPr>
                <w:rFonts w:ascii="方正书宋_GBK" w:eastAsia="方正书宋_GBK"/>
              </w:rPr>
              <w:t>其他水利工程施工</w:t>
            </w:r>
          </w:p>
        </w:tc>
        <w:tc>
          <w:tcPr>
            <w:tcW w:w="1088" w:type="dxa"/>
            <w:shd w:val="clear" w:color="auto" w:fill="auto"/>
            <w:vAlign w:val="center"/>
          </w:tcPr>
          <w:p>
            <w:pPr>
              <w:spacing w:line="300" w:lineRule="exact"/>
              <w:jc w:val="left"/>
              <w:rPr>
                <w:rFonts w:ascii="方正书宋_GBK" w:eastAsia="方正书宋_GBK"/>
              </w:rPr>
            </w:pPr>
            <w:r>
              <w:rPr>
                <w:rFonts w:ascii="方正书宋_GBK" w:eastAsia="方正书宋_GBK"/>
              </w:rPr>
              <w:t>B020999</w:t>
            </w:r>
          </w:p>
        </w:tc>
        <w:tc>
          <w:tcPr>
            <w:tcW w:w="708" w:type="dxa"/>
            <w:shd w:val="clear" w:color="auto" w:fill="auto"/>
            <w:vAlign w:val="center"/>
          </w:tcPr>
          <w:p>
            <w:pPr>
              <w:spacing w:line="300" w:lineRule="exact"/>
              <w:jc w:val="center"/>
              <w:rPr>
                <w:rFonts w:ascii="方正书宋_GBK" w:eastAsia="方正书宋_GBK"/>
              </w:rPr>
            </w:pPr>
            <w:r>
              <w:rPr>
                <w:rFonts w:ascii="方正书宋_GBK" w:eastAsia="方正书宋_GBK"/>
              </w:rPr>
              <w:t>项</w:t>
            </w:r>
          </w:p>
        </w:tc>
        <w:tc>
          <w:tcPr>
            <w:tcW w:w="567" w:type="dxa"/>
            <w:shd w:val="clear" w:color="auto" w:fill="auto"/>
            <w:vAlign w:val="center"/>
          </w:tcPr>
          <w:p>
            <w:pPr>
              <w:spacing w:line="300" w:lineRule="exact"/>
              <w:jc w:val="right"/>
              <w:rPr>
                <w:rFonts w:ascii="方正书宋_GBK" w:eastAsia="方正书宋_GBK"/>
              </w:rPr>
            </w:pPr>
            <w:r>
              <w:rPr>
                <w:rFonts w:ascii="方正书宋_GBK" w:eastAsia="方正书宋_GBK"/>
              </w:rPr>
              <w:t>1</w:t>
            </w:r>
          </w:p>
        </w:tc>
        <w:tc>
          <w:tcPr>
            <w:tcW w:w="1497" w:type="dxa"/>
            <w:shd w:val="clear" w:color="auto" w:fill="auto"/>
            <w:vAlign w:val="center"/>
          </w:tcPr>
          <w:p>
            <w:pPr>
              <w:spacing w:line="300" w:lineRule="exact"/>
              <w:jc w:val="right"/>
              <w:rPr>
                <w:rFonts w:ascii="方正书宋_GBK" w:eastAsia="方正书宋_GBK"/>
              </w:rPr>
            </w:pPr>
            <w:r>
              <w:rPr>
                <w:rFonts w:ascii="方正书宋_GBK" w:eastAsia="方正书宋_GBK"/>
              </w:rPr>
              <w:t>7400000.00</w:t>
            </w:r>
          </w:p>
        </w:tc>
        <w:tc>
          <w:tcPr>
            <w:tcW w:w="1480" w:type="dxa"/>
            <w:shd w:val="clear" w:color="auto" w:fill="auto"/>
            <w:vAlign w:val="center"/>
          </w:tcPr>
          <w:p>
            <w:pPr>
              <w:spacing w:line="300" w:lineRule="exact"/>
              <w:jc w:val="right"/>
              <w:rPr>
                <w:rFonts w:ascii="方正书宋_GBK" w:eastAsia="方正书宋_GBK"/>
              </w:rPr>
            </w:pPr>
            <w:r>
              <w:rPr>
                <w:rFonts w:ascii="方正书宋_GBK" w:eastAsia="方正书宋_GBK"/>
              </w:rPr>
              <w:t>7400000.00</w:t>
            </w:r>
          </w:p>
        </w:tc>
        <w:tc>
          <w:tcPr>
            <w:tcW w:w="1559" w:type="dxa"/>
            <w:shd w:val="clear" w:color="auto" w:fill="auto"/>
            <w:vAlign w:val="center"/>
          </w:tcPr>
          <w:p>
            <w:pPr>
              <w:spacing w:line="300" w:lineRule="exact"/>
              <w:jc w:val="right"/>
              <w:rPr>
                <w:rFonts w:ascii="方正书宋_GBK" w:eastAsia="方正书宋_GBK"/>
              </w:rPr>
            </w:pPr>
            <w:r>
              <w:rPr>
                <w:rFonts w:ascii="方正书宋_GBK" w:eastAsia="方正书宋_GBK"/>
              </w:rPr>
              <w:t>7400000.00</w:t>
            </w:r>
          </w:p>
        </w:tc>
        <w:tc>
          <w:tcPr>
            <w:tcW w:w="851"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840" w:type="dxa"/>
            <w:shd w:val="clear" w:color="auto" w:fill="auto"/>
            <w:vAlign w:val="center"/>
          </w:tcPr>
          <w:p>
            <w:pPr>
              <w:spacing w:line="300" w:lineRule="exact"/>
              <w:jc w:val="right"/>
              <w:rPr>
                <w:rFonts w:ascii="方正书宋_GBK" w:eastAsia="方正书宋_GBK"/>
              </w:rPr>
            </w:pPr>
          </w:p>
        </w:tc>
        <w:tc>
          <w:tcPr>
            <w:tcW w:w="727"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left"/>
              <w:rPr>
                <w:rFonts w:ascii="方正书宋_GBK" w:eastAsia="方正书宋_GBK"/>
              </w:rPr>
            </w:pPr>
            <w:r>
              <w:rPr>
                <w:rFonts w:ascii="方正书宋_GBK" w:eastAsia="方正书宋_GBK"/>
              </w:rPr>
              <w:t>提前下达2021年中央水利发展资金</w:t>
            </w:r>
          </w:p>
        </w:tc>
        <w:tc>
          <w:tcPr>
            <w:tcW w:w="1485" w:type="dxa"/>
            <w:shd w:val="clear" w:color="auto" w:fill="auto"/>
            <w:vAlign w:val="center"/>
          </w:tcPr>
          <w:p>
            <w:pPr>
              <w:spacing w:line="300" w:lineRule="exact"/>
              <w:jc w:val="right"/>
              <w:rPr>
                <w:rFonts w:ascii="方正书宋_GBK" w:eastAsia="方正书宋_GBK"/>
              </w:rPr>
            </w:pPr>
            <w:r>
              <w:rPr>
                <w:rFonts w:ascii="方正书宋_GBK" w:eastAsia="方正书宋_GBK"/>
              </w:rPr>
              <w:t>27980000.00</w:t>
            </w:r>
          </w:p>
        </w:tc>
        <w:tc>
          <w:tcPr>
            <w:tcW w:w="1180" w:type="dxa"/>
            <w:shd w:val="clear" w:color="auto" w:fill="auto"/>
            <w:vAlign w:val="center"/>
          </w:tcPr>
          <w:p>
            <w:pPr>
              <w:spacing w:line="300" w:lineRule="exact"/>
              <w:jc w:val="left"/>
              <w:rPr>
                <w:rFonts w:ascii="方正书宋_GBK" w:eastAsia="方正书宋_GBK"/>
              </w:rPr>
            </w:pPr>
            <w:r>
              <w:rPr>
                <w:rFonts w:ascii="方正书宋_GBK" w:eastAsia="方正书宋_GBK"/>
              </w:rPr>
              <w:t>其他水利工程施工</w:t>
            </w:r>
          </w:p>
        </w:tc>
        <w:tc>
          <w:tcPr>
            <w:tcW w:w="1088" w:type="dxa"/>
            <w:shd w:val="clear" w:color="auto" w:fill="auto"/>
            <w:vAlign w:val="center"/>
          </w:tcPr>
          <w:p>
            <w:pPr>
              <w:spacing w:line="300" w:lineRule="exact"/>
              <w:jc w:val="left"/>
              <w:rPr>
                <w:rFonts w:ascii="方正书宋_GBK" w:eastAsia="方正书宋_GBK"/>
              </w:rPr>
            </w:pPr>
            <w:r>
              <w:rPr>
                <w:rFonts w:ascii="方正书宋_GBK" w:eastAsia="方正书宋_GBK"/>
              </w:rPr>
              <w:t>B020999</w:t>
            </w:r>
          </w:p>
        </w:tc>
        <w:tc>
          <w:tcPr>
            <w:tcW w:w="708" w:type="dxa"/>
            <w:shd w:val="clear" w:color="auto" w:fill="auto"/>
            <w:vAlign w:val="center"/>
          </w:tcPr>
          <w:p>
            <w:pPr>
              <w:spacing w:line="300" w:lineRule="exact"/>
              <w:jc w:val="center"/>
              <w:rPr>
                <w:rFonts w:ascii="方正书宋_GBK" w:eastAsia="方正书宋_GBK"/>
              </w:rPr>
            </w:pPr>
            <w:r>
              <w:rPr>
                <w:rFonts w:ascii="方正书宋_GBK" w:eastAsia="方正书宋_GBK"/>
              </w:rPr>
              <w:t>项</w:t>
            </w:r>
          </w:p>
        </w:tc>
        <w:tc>
          <w:tcPr>
            <w:tcW w:w="567" w:type="dxa"/>
            <w:shd w:val="clear" w:color="auto" w:fill="auto"/>
            <w:vAlign w:val="center"/>
          </w:tcPr>
          <w:p>
            <w:pPr>
              <w:spacing w:line="300" w:lineRule="exact"/>
              <w:jc w:val="right"/>
              <w:rPr>
                <w:rFonts w:ascii="方正书宋_GBK" w:eastAsia="方正书宋_GBK"/>
              </w:rPr>
            </w:pPr>
            <w:r>
              <w:rPr>
                <w:rFonts w:ascii="方正书宋_GBK" w:eastAsia="方正书宋_GBK"/>
              </w:rPr>
              <w:t>1</w:t>
            </w:r>
          </w:p>
        </w:tc>
        <w:tc>
          <w:tcPr>
            <w:tcW w:w="1497" w:type="dxa"/>
            <w:shd w:val="clear" w:color="auto" w:fill="auto"/>
            <w:vAlign w:val="center"/>
          </w:tcPr>
          <w:p>
            <w:pPr>
              <w:spacing w:line="300" w:lineRule="exact"/>
              <w:jc w:val="right"/>
              <w:rPr>
                <w:rFonts w:ascii="方正书宋_GBK" w:eastAsia="方正书宋_GBK"/>
              </w:rPr>
            </w:pPr>
            <w:r>
              <w:rPr>
                <w:rFonts w:ascii="方正书宋_GBK" w:eastAsia="方正书宋_GBK"/>
              </w:rPr>
              <w:t>26590000.00</w:t>
            </w:r>
          </w:p>
        </w:tc>
        <w:tc>
          <w:tcPr>
            <w:tcW w:w="1480" w:type="dxa"/>
            <w:shd w:val="clear" w:color="auto" w:fill="auto"/>
            <w:vAlign w:val="center"/>
          </w:tcPr>
          <w:p>
            <w:pPr>
              <w:spacing w:line="300" w:lineRule="exact"/>
              <w:jc w:val="right"/>
              <w:rPr>
                <w:rFonts w:ascii="方正书宋_GBK" w:eastAsia="方正书宋_GBK"/>
              </w:rPr>
            </w:pPr>
            <w:r>
              <w:rPr>
                <w:rFonts w:ascii="方正书宋_GBK" w:eastAsia="方正书宋_GBK"/>
              </w:rPr>
              <w:t>26590000.00</w:t>
            </w:r>
          </w:p>
        </w:tc>
        <w:tc>
          <w:tcPr>
            <w:tcW w:w="1559" w:type="dxa"/>
            <w:shd w:val="clear" w:color="auto" w:fill="auto"/>
            <w:vAlign w:val="center"/>
          </w:tcPr>
          <w:p>
            <w:pPr>
              <w:spacing w:line="300" w:lineRule="exact"/>
              <w:jc w:val="right"/>
              <w:rPr>
                <w:rFonts w:ascii="方正书宋_GBK" w:eastAsia="方正书宋_GBK"/>
              </w:rPr>
            </w:pPr>
            <w:r>
              <w:rPr>
                <w:rFonts w:ascii="方正书宋_GBK" w:eastAsia="方正书宋_GBK"/>
              </w:rPr>
              <w:t>26590000.00</w:t>
            </w:r>
          </w:p>
        </w:tc>
        <w:tc>
          <w:tcPr>
            <w:tcW w:w="851"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840" w:type="dxa"/>
            <w:shd w:val="clear" w:color="auto" w:fill="auto"/>
            <w:vAlign w:val="center"/>
          </w:tcPr>
          <w:p>
            <w:pPr>
              <w:spacing w:line="300" w:lineRule="exact"/>
              <w:jc w:val="right"/>
              <w:rPr>
                <w:rFonts w:ascii="方正书宋_GBK" w:eastAsia="方正书宋_GBK"/>
              </w:rPr>
            </w:pPr>
          </w:p>
        </w:tc>
        <w:tc>
          <w:tcPr>
            <w:tcW w:w="727"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left"/>
              <w:rPr>
                <w:rFonts w:ascii="方正书宋_GBK" w:eastAsia="方正书宋_GBK"/>
              </w:rPr>
            </w:pPr>
            <w:r>
              <w:rPr>
                <w:rFonts w:ascii="方正书宋_GBK" w:eastAsia="方正书宋_GBK"/>
              </w:rPr>
              <w:t>提前下达2021中央水利发展资金（2）</w:t>
            </w:r>
          </w:p>
        </w:tc>
        <w:tc>
          <w:tcPr>
            <w:tcW w:w="1485" w:type="dxa"/>
            <w:shd w:val="clear" w:color="auto" w:fill="auto"/>
            <w:vAlign w:val="center"/>
          </w:tcPr>
          <w:p>
            <w:pPr>
              <w:spacing w:line="300" w:lineRule="exact"/>
              <w:jc w:val="right"/>
              <w:rPr>
                <w:rFonts w:ascii="方正书宋_GBK" w:eastAsia="方正书宋_GBK"/>
              </w:rPr>
            </w:pPr>
            <w:r>
              <w:rPr>
                <w:rFonts w:ascii="方正书宋_GBK" w:eastAsia="方正书宋_GBK"/>
              </w:rPr>
              <w:t>1096000.00</w:t>
            </w:r>
          </w:p>
        </w:tc>
        <w:tc>
          <w:tcPr>
            <w:tcW w:w="1180" w:type="dxa"/>
            <w:shd w:val="clear" w:color="auto" w:fill="auto"/>
            <w:vAlign w:val="center"/>
          </w:tcPr>
          <w:p>
            <w:pPr>
              <w:spacing w:line="300" w:lineRule="exact"/>
              <w:jc w:val="left"/>
              <w:rPr>
                <w:rFonts w:ascii="方正书宋_GBK" w:eastAsia="方正书宋_GBK"/>
              </w:rPr>
            </w:pPr>
            <w:r>
              <w:rPr>
                <w:rFonts w:ascii="方正书宋_GBK" w:eastAsia="方正书宋_GBK"/>
              </w:rPr>
              <w:t>其他水利工程施工</w:t>
            </w:r>
          </w:p>
        </w:tc>
        <w:tc>
          <w:tcPr>
            <w:tcW w:w="1088" w:type="dxa"/>
            <w:shd w:val="clear" w:color="auto" w:fill="auto"/>
            <w:vAlign w:val="center"/>
          </w:tcPr>
          <w:p>
            <w:pPr>
              <w:spacing w:line="300" w:lineRule="exact"/>
              <w:jc w:val="left"/>
              <w:rPr>
                <w:rFonts w:ascii="方正书宋_GBK" w:eastAsia="方正书宋_GBK"/>
              </w:rPr>
            </w:pPr>
            <w:r>
              <w:rPr>
                <w:rFonts w:ascii="方正书宋_GBK" w:eastAsia="方正书宋_GBK"/>
              </w:rPr>
              <w:t>B020999</w:t>
            </w:r>
          </w:p>
        </w:tc>
        <w:tc>
          <w:tcPr>
            <w:tcW w:w="708" w:type="dxa"/>
            <w:shd w:val="clear" w:color="auto" w:fill="auto"/>
            <w:vAlign w:val="center"/>
          </w:tcPr>
          <w:p>
            <w:pPr>
              <w:spacing w:line="300" w:lineRule="exact"/>
              <w:jc w:val="center"/>
              <w:rPr>
                <w:rFonts w:ascii="方正书宋_GBK" w:eastAsia="方正书宋_GBK"/>
              </w:rPr>
            </w:pPr>
            <w:r>
              <w:rPr>
                <w:rFonts w:ascii="方正书宋_GBK" w:eastAsia="方正书宋_GBK"/>
              </w:rPr>
              <w:t>项</w:t>
            </w:r>
          </w:p>
        </w:tc>
        <w:tc>
          <w:tcPr>
            <w:tcW w:w="567" w:type="dxa"/>
            <w:shd w:val="clear" w:color="auto" w:fill="auto"/>
            <w:vAlign w:val="center"/>
          </w:tcPr>
          <w:p>
            <w:pPr>
              <w:spacing w:line="300" w:lineRule="exact"/>
              <w:jc w:val="right"/>
              <w:rPr>
                <w:rFonts w:ascii="方正书宋_GBK" w:eastAsia="方正书宋_GBK"/>
              </w:rPr>
            </w:pPr>
            <w:r>
              <w:rPr>
                <w:rFonts w:ascii="方正书宋_GBK" w:eastAsia="方正书宋_GBK"/>
              </w:rPr>
              <w:t>1</w:t>
            </w:r>
          </w:p>
        </w:tc>
        <w:tc>
          <w:tcPr>
            <w:tcW w:w="1497" w:type="dxa"/>
            <w:shd w:val="clear" w:color="auto" w:fill="auto"/>
            <w:vAlign w:val="center"/>
          </w:tcPr>
          <w:p>
            <w:pPr>
              <w:spacing w:line="300" w:lineRule="exact"/>
              <w:jc w:val="right"/>
              <w:rPr>
                <w:rFonts w:ascii="方正书宋_GBK" w:eastAsia="方正书宋_GBK"/>
              </w:rPr>
            </w:pPr>
            <w:r>
              <w:rPr>
                <w:rFonts w:ascii="方正书宋_GBK" w:eastAsia="方正书宋_GBK"/>
              </w:rPr>
              <w:t>946000.00</w:t>
            </w:r>
          </w:p>
        </w:tc>
        <w:tc>
          <w:tcPr>
            <w:tcW w:w="1480" w:type="dxa"/>
            <w:shd w:val="clear" w:color="auto" w:fill="auto"/>
            <w:vAlign w:val="center"/>
          </w:tcPr>
          <w:p>
            <w:pPr>
              <w:spacing w:line="300" w:lineRule="exact"/>
              <w:jc w:val="right"/>
              <w:rPr>
                <w:rFonts w:ascii="方正书宋_GBK" w:eastAsia="方正书宋_GBK"/>
              </w:rPr>
            </w:pPr>
            <w:r>
              <w:rPr>
                <w:rFonts w:ascii="方正书宋_GBK" w:eastAsia="方正书宋_GBK"/>
              </w:rPr>
              <w:t>946000.00</w:t>
            </w:r>
          </w:p>
        </w:tc>
        <w:tc>
          <w:tcPr>
            <w:tcW w:w="1559" w:type="dxa"/>
            <w:shd w:val="clear" w:color="auto" w:fill="auto"/>
            <w:vAlign w:val="center"/>
          </w:tcPr>
          <w:p>
            <w:pPr>
              <w:spacing w:line="300" w:lineRule="exact"/>
              <w:jc w:val="right"/>
              <w:rPr>
                <w:rFonts w:ascii="方正书宋_GBK" w:eastAsia="方正书宋_GBK"/>
              </w:rPr>
            </w:pPr>
            <w:r>
              <w:rPr>
                <w:rFonts w:ascii="方正书宋_GBK" w:eastAsia="方正书宋_GBK"/>
              </w:rPr>
              <w:t>946000.00</w:t>
            </w:r>
          </w:p>
        </w:tc>
        <w:tc>
          <w:tcPr>
            <w:tcW w:w="851"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840" w:type="dxa"/>
            <w:shd w:val="clear" w:color="auto" w:fill="auto"/>
            <w:vAlign w:val="center"/>
          </w:tcPr>
          <w:p>
            <w:pPr>
              <w:spacing w:line="300" w:lineRule="exact"/>
              <w:jc w:val="right"/>
              <w:rPr>
                <w:rFonts w:ascii="方正书宋_GBK" w:eastAsia="方正书宋_GBK"/>
              </w:rPr>
            </w:pPr>
          </w:p>
        </w:tc>
        <w:tc>
          <w:tcPr>
            <w:tcW w:w="727" w:type="dxa"/>
            <w:shd w:val="clear" w:color="auto" w:fill="auto"/>
            <w:vAlign w:val="center"/>
          </w:tcPr>
          <w:p>
            <w:pPr>
              <w:spacing w:line="300" w:lineRule="exact"/>
              <w:jc w:val="right"/>
              <w:rPr>
                <w:rFonts w:ascii="方正书宋_GBK" w:eastAsia="方正书宋_GBK"/>
              </w:rPr>
            </w:pPr>
          </w:p>
        </w:tc>
      </w:tr>
    </w:tbl>
    <w:p>
      <w:pPr>
        <w:spacing w:line="360" w:lineRule="auto"/>
        <w:rPr>
          <w:rFonts w:ascii="仿宋" w:hAnsi="仿宋" w:eastAsia="仿宋"/>
          <w:sz w:val="32"/>
          <w:szCs w:val="32"/>
        </w:rPr>
        <w:sectPr>
          <w:pgSz w:w="16838" w:h="11906" w:orient="landscape"/>
          <w:pgMar w:top="1797" w:right="1440" w:bottom="1797" w:left="1440" w:header="851" w:footer="992" w:gutter="0"/>
          <w:cols w:space="425" w:num="1"/>
          <w:docGrid w:type="linesAndChars" w:linePitch="312" w:charSpace="0"/>
        </w:sectPr>
      </w:pPr>
    </w:p>
    <w:p>
      <w:pPr>
        <w:spacing w:line="360" w:lineRule="auto"/>
        <w:rPr>
          <w:rFonts w:ascii="仿宋" w:hAnsi="仿宋" w:eastAsia="仿宋"/>
          <w:sz w:val="32"/>
          <w:szCs w:val="32"/>
        </w:rPr>
      </w:pPr>
    </w:p>
    <w:p>
      <w:pPr>
        <w:jc w:val="center"/>
        <w:outlineLvl w:val="0"/>
        <w:rPr>
          <w:rFonts w:ascii="方正小标宋_GBK" w:eastAsia="方正小标宋_GBK"/>
          <w:sz w:val="44"/>
        </w:rPr>
      </w:pPr>
      <w:r>
        <w:rPr>
          <w:rFonts w:hint="eastAsia" w:ascii="方正小标宋_GBK" w:eastAsia="方正小标宋_GBK"/>
          <w:sz w:val="44"/>
        </w:rPr>
        <w:t>第七部分：国有资产信息</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上年末我部门固定资产总金额为548.86万元（详见下表）。</w:t>
      </w:r>
      <w:r>
        <w:rPr>
          <w:rFonts w:ascii="仿宋" w:hAnsi="仿宋" w:eastAsia="仿宋"/>
          <w:sz w:val="32"/>
          <w:szCs w:val="32"/>
        </w:rPr>
        <w:t xml:space="preserve"> </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我部门本年度无国有资产购置计划，拟购置金额为</w:t>
      </w:r>
      <w:r>
        <w:rPr>
          <w:rFonts w:ascii="仿宋" w:hAnsi="仿宋" w:eastAsia="仿宋"/>
          <w:sz w:val="32"/>
          <w:szCs w:val="32"/>
        </w:rPr>
        <w:t>0。</w:t>
      </w:r>
    </w:p>
    <w:tbl>
      <w:tblPr>
        <w:tblStyle w:val="5"/>
        <w:tblW w:w="10084" w:type="dxa"/>
        <w:jc w:val="center"/>
        <w:tblLayout w:type="autofit"/>
        <w:tblCellMar>
          <w:top w:w="0" w:type="dxa"/>
          <w:left w:w="108" w:type="dxa"/>
          <w:bottom w:w="0" w:type="dxa"/>
          <w:right w:w="108" w:type="dxa"/>
        </w:tblCellMar>
      </w:tblPr>
      <w:tblGrid>
        <w:gridCol w:w="4788"/>
        <w:gridCol w:w="1035"/>
        <w:gridCol w:w="4261"/>
      </w:tblGrid>
      <w:tr>
        <w:trPr>
          <w:trHeight w:val="510" w:hRule="atLeast"/>
          <w:jc w:val="center"/>
        </w:trPr>
        <w:tc>
          <w:tcPr>
            <w:tcW w:w="10084" w:type="dxa"/>
            <w:gridSpan w:val="3"/>
            <w:tcBorders>
              <w:top w:val="nil"/>
              <w:left w:val="nil"/>
              <w:bottom w:val="nil"/>
              <w:right w:val="nil"/>
            </w:tcBorders>
            <w:shd w:val="clear" w:color="auto" w:fill="auto"/>
            <w:noWrap/>
            <w:vAlign w:val="center"/>
          </w:tcPr>
          <w:p>
            <w:pPr>
              <w:widowControl/>
              <w:jc w:val="center"/>
              <w:rPr>
                <w:rFonts w:ascii="宋体" w:hAnsi="宋体" w:cs="宋体"/>
                <w:kern w:val="0"/>
                <w:sz w:val="28"/>
                <w:szCs w:val="28"/>
              </w:rPr>
            </w:pPr>
            <w:r>
              <w:rPr>
                <w:rFonts w:hint="eastAsia" w:ascii="宋体" w:hAnsi="宋体"/>
                <w:sz w:val="32"/>
                <w:szCs w:val="32"/>
              </w:rPr>
              <w:t>固定资产占用情况表</w:t>
            </w:r>
          </w:p>
        </w:tc>
      </w:tr>
      <w:tr>
        <w:trPr>
          <w:trHeight w:val="510" w:hRule="atLeast"/>
          <w:jc w:val="center"/>
        </w:trPr>
        <w:tc>
          <w:tcPr>
            <w:tcW w:w="10084" w:type="dxa"/>
            <w:gridSpan w:val="3"/>
            <w:tcBorders>
              <w:top w:val="nil"/>
              <w:left w:val="nil"/>
              <w:bottom w:val="single" w:color="auto" w:sz="4" w:space="0"/>
              <w:right w:val="nil"/>
            </w:tcBorders>
            <w:shd w:val="clear" w:color="auto" w:fill="auto"/>
            <w:noWrap/>
            <w:vAlign w:val="center"/>
          </w:tcPr>
          <w:p>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28"/>
                <w:szCs w:val="28"/>
              </w:rPr>
              <w:t>截止时间：</w:t>
            </w:r>
            <w:r>
              <w:rPr>
                <w:rFonts w:ascii="仿宋_GB2312" w:hAnsi="仿宋" w:eastAsia="仿宋_GB2312" w:cs="宋体"/>
                <w:bCs/>
                <w:kern w:val="0"/>
                <w:sz w:val="28"/>
                <w:szCs w:val="28"/>
              </w:rPr>
              <w:t>2020</w:t>
            </w:r>
            <w:r>
              <w:rPr>
                <w:rFonts w:hint="eastAsia" w:ascii="仿宋_GB2312" w:hAnsi="仿宋" w:eastAsia="仿宋_GB2312" w:cs="宋体"/>
                <w:bCs/>
                <w:kern w:val="0"/>
                <w:sz w:val="28"/>
                <w:szCs w:val="28"/>
              </w:rPr>
              <w:t>年12月31日</w:t>
            </w:r>
          </w:p>
        </w:tc>
      </w:tr>
      <w:tr>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548.86</w:t>
            </w:r>
          </w:p>
        </w:tc>
      </w:tr>
      <w:tr>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16272</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285.01</w:t>
            </w: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4772</w:t>
            </w:r>
          </w:p>
        </w:tc>
        <w:tc>
          <w:tcPr>
            <w:tcW w:w="4261"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195.56</w:t>
            </w:r>
          </w:p>
        </w:tc>
      </w:tr>
      <w:tr>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3</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35.34</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r>
      <w:tr>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228.51</w:t>
            </w:r>
          </w:p>
        </w:tc>
      </w:tr>
    </w:tbl>
    <w:p>
      <w:pPr>
        <w:jc w:val="center"/>
        <w:outlineLvl w:val="0"/>
        <w:rPr>
          <w:rFonts w:ascii="方正小标宋_GBK" w:eastAsia="方正小标宋_GBK"/>
          <w:sz w:val="44"/>
        </w:rPr>
      </w:pPr>
    </w:p>
    <w:p>
      <w:pPr>
        <w:jc w:val="center"/>
        <w:outlineLvl w:val="0"/>
        <w:rPr>
          <w:rFonts w:ascii="方正小标宋_GBK" w:eastAsia="方正小标宋_GBK"/>
          <w:sz w:val="44"/>
        </w:rPr>
      </w:pPr>
      <w:r>
        <w:rPr>
          <w:rFonts w:hint="eastAsia" w:ascii="方正小标宋_GBK" w:eastAsia="方正小标宋_GBK"/>
          <w:sz w:val="44"/>
        </w:rPr>
        <w:t>第八部分：名词解释</w:t>
      </w:r>
    </w:p>
    <w:p>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360" w:lineRule="auto"/>
        <w:jc w:val="center"/>
        <w:rPr>
          <w:rFonts w:ascii="黑体" w:hAnsi="黑体" w:eastAsia="黑体" w:cs="Times New Roman"/>
          <w:sz w:val="32"/>
          <w:szCs w:val="32"/>
        </w:rPr>
      </w:pPr>
    </w:p>
    <w:p>
      <w:pPr>
        <w:jc w:val="center"/>
        <w:outlineLvl w:val="0"/>
        <w:rPr>
          <w:rFonts w:ascii="方正小标宋_GBK" w:eastAsia="方正小标宋_GBK"/>
          <w:sz w:val="44"/>
        </w:rPr>
      </w:pPr>
      <w:r>
        <w:rPr>
          <w:rFonts w:hint="eastAsia" w:ascii="方正小标宋_GBK" w:eastAsia="方正小标宋_GBK"/>
          <w:sz w:val="44"/>
        </w:rPr>
        <w:t>第九部分：其他需说明的事项</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我部门无其他需说明的事项。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方正黑体_GBK">
    <w:altName w:val="宋体"/>
    <w:panose1 w:val="00000000000000000000"/>
    <w:charset w:val="86"/>
    <w:family w:val="roman"/>
    <w:pitch w:val="default"/>
    <w:sig w:usb0="00000000" w:usb1="00000000" w:usb2="00000000" w:usb3="00000000" w:csb0="00000000" w:csb1="00000000"/>
  </w:font>
  <w:font w:name="方正仿宋_GBK">
    <w:altName w:val="微软雅黑"/>
    <w:panose1 w:val="00000000000000000000"/>
    <w:charset w:val="86"/>
    <w:family w:val="roman"/>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方正书宋_GBK">
    <w:altName w:val="微软雅黑"/>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0172596"/>
    </w:sdtPr>
    <w:sdtContent>
      <w:p>
        <w:pPr>
          <w:pStyle w:val="3"/>
          <w:jc w:val="center"/>
        </w:pPr>
        <w:r>
          <w:fldChar w:fldCharType="begin"/>
        </w:r>
        <w:r>
          <w:instrText xml:space="preserve">PAGE   \* MERGEFORMAT</w:instrText>
        </w:r>
        <w:r>
          <w:fldChar w:fldCharType="separate"/>
        </w:r>
        <w:r>
          <w:rPr>
            <w:lang w:val="zh-CN"/>
          </w:rPr>
          <w:t>28</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55F1F"/>
    <w:rsid w:val="00004DEC"/>
    <w:rsid w:val="00013B8A"/>
    <w:rsid w:val="00044FBC"/>
    <w:rsid w:val="0004651F"/>
    <w:rsid w:val="00055F1F"/>
    <w:rsid w:val="000577EF"/>
    <w:rsid w:val="00057F18"/>
    <w:rsid w:val="00073350"/>
    <w:rsid w:val="000A445D"/>
    <w:rsid w:val="000C178B"/>
    <w:rsid w:val="000C23AF"/>
    <w:rsid w:val="00110EB1"/>
    <w:rsid w:val="00131DEC"/>
    <w:rsid w:val="00136AB3"/>
    <w:rsid w:val="001462BD"/>
    <w:rsid w:val="00152380"/>
    <w:rsid w:val="001638BE"/>
    <w:rsid w:val="00164810"/>
    <w:rsid w:val="00172C7A"/>
    <w:rsid w:val="00181777"/>
    <w:rsid w:val="00181A36"/>
    <w:rsid w:val="001B4688"/>
    <w:rsid w:val="001B4C58"/>
    <w:rsid w:val="001B6235"/>
    <w:rsid w:val="001D77C4"/>
    <w:rsid w:val="001F4875"/>
    <w:rsid w:val="00206228"/>
    <w:rsid w:val="00212335"/>
    <w:rsid w:val="00216697"/>
    <w:rsid w:val="002918C6"/>
    <w:rsid w:val="00291EF3"/>
    <w:rsid w:val="002954A9"/>
    <w:rsid w:val="00296524"/>
    <w:rsid w:val="002E01F6"/>
    <w:rsid w:val="002E1349"/>
    <w:rsid w:val="002F1ACB"/>
    <w:rsid w:val="002F530F"/>
    <w:rsid w:val="00305E97"/>
    <w:rsid w:val="00310532"/>
    <w:rsid w:val="0032782B"/>
    <w:rsid w:val="00340B3D"/>
    <w:rsid w:val="0034253A"/>
    <w:rsid w:val="00350C68"/>
    <w:rsid w:val="003669CF"/>
    <w:rsid w:val="00367A30"/>
    <w:rsid w:val="003820C8"/>
    <w:rsid w:val="003A06D2"/>
    <w:rsid w:val="003A4557"/>
    <w:rsid w:val="003A6366"/>
    <w:rsid w:val="003B1EC5"/>
    <w:rsid w:val="003C2317"/>
    <w:rsid w:val="003C442E"/>
    <w:rsid w:val="003D1092"/>
    <w:rsid w:val="003D37CD"/>
    <w:rsid w:val="003E1FA4"/>
    <w:rsid w:val="003E5531"/>
    <w:rsid w:val="003E555C"/>
    <w:rsid w:val="003E6AF3"/>
    <w:rsid w:val="0040243C"/>
    <w:rsid w:val="00406BD1"/>
    <w:rsid w:val="00424BA2"/>
    <w:rsid w:val="00426C19"/>
    <w:rsid w:val="00437F1D"/>
    <w:rsid w:val="00450FD9"/>
    <w:rsid w:val="00453CE0"/>
    <w:rsid w:val="00461D10"/>
    <w:rsid w:val="00470736"/>
    <w:rsid w:val="00470BBB"/>
    <w:rsid w:val="0048611E"/>
    <w:rsid w:val="004B6929"/>
    <w:rsid w:val="004C1578"/>
    <w:rsid w:val="004C6255"/>
    <w:rsid w:val="004E2F43"/>
    <w:rsid w:val="004E3572"/>
    <w:rsid w:val="004F1521"/>
    <w:rsid w:val="004F3C52"/>
    <w:rsid w:val="00510A1E"/>
    <w:rsid w:val="005158E2"/>
    <w:rsid w:val="00524134"/>
    <w:rsid w:val="00524204"/>
    <w:rsid w:val="0053613C"/>
    <w:rsid w:val="00550049"/>
    <w:rsid w:val="00553F7E"/>
    <w:rsid w:val="00570142"/>
    <w:rsid w:val="00586C35"/>
    <w:rsid w:val="00591267"/>
    <w:rsid w:val="005B1B6F"/>
    <w:rsid w:val="005B6CCB"/>
    <w:rsid w:val="005C0E21"/>
    <w:rsid w:val="005C54AA"/>
    <w:rsid w:val="005C7B89"/>
    <w:rsid w:val="005F5C1B"/>
    <w:rsid w:val="00606292"/>
    <w:rsid w:val="00614ACF"/>
    <w:rsid w:val="0062788A"/>
    <w:rsid w:val="00641F8A"/>
    <w:rsid w:val="006513F6"/>
    <w:rsid w:val="00653051"/>
    <w:rsid w:val="0066383B"/>
    <w:rsid w:val="00672114"/>
    <w:rsid w:val="00672126"/>
    <w:rsid w:val="00697ED9"/>
    <w:rsid w:val="006A6FA2"/>
    <w:rsid w:val="006B5117"/>
    <w:rsid w:val="006C2DBC"/>
    <w:rsid w:val="006C62DF"/>
    <w:rsid w:val="006F5104"/>
    <w:rsid w:val="006F6549"/>
    <w:rsid w:val="00735B02"/>
    <w:rsid w:val="007657C8"/>
    <w:rsid w:val="00767A77"/>
    <w:rsid w:val="00771E49"/>
    <w:rsid w:val="00782208"/>
    <w:rsid w:val="00791938"/>
    <w:rsid w:val="007A5999"/>
    <w:rsid w:val="007A7F00"/>
    <w:rsid w:val="007C1E16"/>
    <w:rsid w:val="007C52DE"/>
    <w:rsid w:val="007C7FD7"/>
    <w:rsid w:val="007F3746"/>
    <w:rsid w:val="00823319"/>
    <w:rsid w:val="00833132"/>
    <w:rsid w:val="00845C67"/>
    <w:rsid w:val="0086454E"/>
    <w:rsid w:val="008672EA"/>
    <w:rsid w:val="00876D47"/>
    <w:rsid w:val="00891680"/>
    <w:rsid w:val="008A0099"/>
    <w:rsid w:val="008A0B5F"/>
    <w:rsid w:val="008B5402"/>
    <w:rsid w:val="008D11BC"/>
    <w:rsid w:val="008D7154"/>
    <w:rsid w:val="0090527E"/>
    <w:rsid w:val="00905BB7"/>
    <w:rsid w:val="0090620C"/>
    <w:rsid w:val="00912DA4"/>
    <w:rsid w:val="009172A6"/>
    <w:rsid w:val="009302B8"/>
    <w:rsid w:val="009305C6"/>
    <w:rsid w:val="00960133"/>
    <w:rsid w:val="009714FF"/>
    <w:rsid w:val="009752AE"/>
    <w:rsid w:val="00982F3D"/>
    <w:rsid w:val="00983232"/>
    <w:rsid w:val="009A278A"/>
    <w:rsid w:val="009A3994"/>
    <w:rsid w:val="009B6368"/>
    <w:rsid w:val="009E7FC6"/>
    <w:rsid w:val="009F63C4"/>
    <w:rsid w:val="00A16957"/>
    <w:rsid w:val="00A6155C"/>
    <w:rsid w:val="00A8079E"/>
    <w:rsid w:val="00A90328"/>
    <w:rsid w:val="00A92D66"/>
    <w:rsid w:val="00A9410C"/>
    <w:rsid w:val="00AA2D1C"/>
    <w:rsid w:val="00AA4262"/>
    <w:rsid w:val="00AB5944"/>
    <w:rsid w:val="00AB5A90"/>
    <w:rsid w:val="00AB7449"/>
    <w:rsid w:val="00AE4AA5"/>
    <w:rsid w:val="00AE7FA9"/>
    <w:rsid w:val="00B0517D"/>
    <w:rsid w:val="00B066C1"/>
    <w:rsid w:val="00B07694"/>
    <w:rsid w:val="00B147EB"/>
    <w:rsid w:val="00B22155"/>
    <w:rsid w:val="00B338B9"/>
    <w:rsid w:val="00B40838"/>
    <w:rsid w:val="00B76AA9"/>
    <w:rsid w:val="00B80FAB"/>
    <w:rsid w:val="00B81C88"/>
    <w:rsid w:val="00BA5C83"/>
    <w:rsid w:val="00BC34CA"/>
    <w:rsid w:val="00BC6A7D"/>
    <w:rsid w:val="00BD4829"/>
    <w:rsid w:val="00BD6002"/>
    <w:rsid w:val="00BD719F"/>
    <w:rsid w:val="00BD7C78"/>
    <w:rsid w:val="00BE032A"/>
    <w:rsid w:val="00BF5442"/>
    <w:rsid w:val="00C11026"/>
    <w:rsid w:val="00C177A5"/>
    <w:rsid w:val="00C34855"/>
    <w:rsid w:val="00C35FEE"/>
    <w:rsid w:val="00C50535"/>
    <w:rsid w:val="00C6153C"/>
    <w:rsid w:val="00C830EF"/>
    <w:rsid w:val="00C906EF"/>
    <w:rsid w:val="00CC5ABF"/>
    <w:rsid w:val="00CC7D74"/>
    <w:rsid w:val="00D02F97"/>
    <w:rsid w:val="00D45530"/>
    <w:rsid w:val="00D45A0E"/>
    <w:rsid w:val="00D45D23"/>
    <w:rsid w:val="00D723D1"/>
    <w:rsid w:val="00D80C60"/>
    <w:rsid w:val="00D8525F"/>
    <w:rsid w:val="00DA0C4D"/>
    <w:rsid w:val="00DA5DA7"/>
    <w:rsid w:val="00DE3935"/>
    <w:rsid w:val="00DE6B32"/>
    <w:rsid w:val="00DF26B8"/>
    <w:rsid w:val="00DF5287"/>
    <w:rsid w:val="00E10BE2"/>
    <w:rsid w:val="00E12C68"/>
    <w:rsid w:val="00E2325B"/>
    <w:rsid w:val="00E24075"/>
    <w:rsid w:val="00E270C9"/>
    <w:rsid w:val="00E35F38"/>
    <w:rsid w:val="00E46F27"/>
    <w:rsid w:val="00E509CC"/>
    <w:rsid w:val="00E56DC0"/>
    <w:rsid w:val="00E71A04"/>
    <w:rsid w:val="00E90DA6"/>
    <w:rsid w:val="00E96342"/>
    <w:rsid w:val="00EA2FEA"/>
    <w:rsid w:val="00EA56CB"/>
    <w:rsid w:val="00EA7853"/>
    <w:rsid w:val="00ED4291"/>
    <w:rsid w:val="00EF426C"/>
    <w:rsid w:val="00F000B1"/>
    <w:rsid w:val="00F012D3"/>
    <w:rsid w:val="00F044C3"/>
    <w:rsid w:val="00F10D04"/>
    <w:rsid w:val="00F169E3"/>
    <w:rsid w:val="00F35D4B"/>
    <w:rsid w:val="00F3746B"/>
    <w:rsid w:val="00F572CB"/>
    <w:rsid w:val="00F61720"/>
    <w:rsid w:val="00F621AF"/>
    <w:rsid w:val="00F8024E"/>
    <w:rsid w:val="00F82447"/>
    <w:rsid w:val="00F868E5"/>
    <w:rsid w:val="00F93A69"/>
    <w:rsid w:val="00F94905"/>
    <w:rsid w:val="00FA19A8"/>
    <w:rsid w:val="00FB2F32"/>
    <w:rsid w:val="00FC3191"/>
    <w:rsid w:val="00FD7F9B"/>
    <w:rsid w:val="00FE0341"/>
    <w:rsid w:val="00FE0F1F"/>
    <w:rsid w:val="00FF61F3"/>
    <w:rsid w:val="1EFE57AE"/>
    <w:rsid w:val="2DAF0A3D"/>
    <w:rsid w:val="3AEC6D01"/>
    <w:rsid w:val="50EB5EC8"/>
    <w:rsid w:val="60BE0079"/>
    <w:rsid w:val="69AF2C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93BED9-75C4-4563-9826-CEA3A9BF3E82}">
  <ds:schemaRefs/>
</ds:datastoreItem>
</file>

<file path=docProps/app.xml><?xml version="1.0" encoding="utf-8"?>
<Properties xmlns="http://schemas.openxmlformats.org/officeDocument/2006/extended-properties" xmlns:vt="http://schemas.openxmlformats.org/officeDocument/2006/docPropsVTypes">
  <Template>Normal</Template>
  <Pages>30</Pages>
  <Words>2426</Words>
  <Characters>13834</Characters>
  <Lines>115</Lines>
  <Paragraphs>32</Paragraphs>
  <TotalTime>775</TotalTime>
  <ScaleCrop>false</ScaleCrop>
  <LinksUpToDate>false</LinksUpToDate>
  <CharactersWithSpaces>16228</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2019-02-15T06:58:00Z</dcterms:created>
  <dc:creator>Windows 用户</dc:creator>
  <cp:lastModifiedBy>Lenovo</cp:lastModifiedBy>
  <cp:lastPrinted>2021-04-14T02:06:00Z</cp:lastPrinted>
  <dcterms:modified xsi:type="dcterms:W3CDTF">2025-11-13T06:53:34Z</dcterms:modified>
  <cp:revision>237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530BDBF5F1E1482C9A2C3EDE72AC3F7A</vt:lpwstr>
  </property>
</Properties>
</file>