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保定市徐水区水利局</w:t>
      </w:r>
    </w:p>
    <w:p>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500" w:lineRule="exact"/>
        <w:ind w:firstLine="560" w:firstLineChars="200"/>
        <w:jc w:val="left"/>
        <w:rPr>
          <w:rFonts w:ascii="Times New Roman" w:hAnsi="宋体" w:eastAsia="宋体"/>
          <w:sz w:val="28"/>
        </w:rPr>
      </w:pPr>
      <w:r>
        <w:rPr>
          <w:rFonts w:hint="eastAsia" w:ascii="Times New Roman" w:eastAsia="方正仿宋_GBK"/>
          <w:sz w:val="28"/>
        </w:rPr>
        <w:t>根据《保定市徐水区水利局职能配置、内设机构和人员编制规定》，</w:t>
      </w:r>
      <w:r>
        <w:rPr>
          <w:rFonts w:ascii="Times New Roman" w:eastAsia="方正仿宋_GBK"/>
          <w:sz w:val="28"/>
        </w:rPr>
        <w:t xml:space="preserve"> 保定市徐水区水利局的主要职责是：</w:t>
      </w:r>
    </w:p>
    <w:p>
      <w:pPr>
        <w:spacing w:line="500" w:lineRule="exact"/>
        <w:ind w:firstLine="560" w:firstLineChars="200"/>
        <w:jc w:val="left"/>
        <w:rPr>
          <w:rFonts w:ascii="Times New Roman" w:eastAsia="方正仿宋_GBK"/>
          <w:sz w:val="28"/>
        </w:rPr>
      </w:pPr>
      <w:r>
        <w:rPr>
          <w:rFonts w:ascii="Times New Roman" w:eastAsia="方正仿宋_GBK"/>
          <w:sz w:val="28"/>
        </w:rPr>
        <w:t>（1）负责拟订水利战略规划和政策，起草有关地方性法规、政府规章草案，组织编制全区水资源战略规划、重要江河湖泊流域综合规划、防洪规划等重大水利规划。（2）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3）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(4) 指导水资源保护工作;指导饮用水水源保护有关工作，指导地下水开发利用和地下水资源管理保护:组织指导地下水超采区综合治理。(5) 负责节约用水工作、拟订节约用水政策， 组织编制节约用水规划并监督实施，组织制定有关标准:组织实施用水总量控制等管理制度，指导和推动节水型社会建设工作。 （6）负责水利设施，水域及其岸线的管理，保护与综合利用。组织指导水利基础设施网络建设:指导重要江河湖泊及河口的治理、开发和保护;指导河湖水生态保护与修复、河湖生态流量水量管理以及河湖水系连通工作。（7）组织实施监督水利工程建设与运行管理、组织实施具有控制性的和跨区域跨流域的重要水利工程建设与运行管理。(8) 负责水土保持工作。拟订水土保持规划并监督实施，组织实施水土流失的综合防治、监测预报并定期公告:负责建设项目水土保持监督管理工作，指导重点水土保持建设项目的实施;负责职业卫生的监督管理工作。(9) 指导农村水利工作。组织开展大中型灌排工程建设与改造;指导农村饮水安全工程建设管理工作:指导农村水能资源开发工作。 （10）负责水库工程移民管理工作。拟订水库工程移民有关政策并监督实施，组织实施移民安置验收、监督评估等制度; 指导监督水库穆民后规扶持政策的实施。（11）负责涉水违法事件的查处，指导水政监察和水行政执法:依法负责水利行业安全生产工作，组织指导水库的安全生产工作，组织指导水利建设市场的监督管理，组织实施水利工程建设的监督。(12) 组织开展水利行业质量监督工作，拟订水利行业的地方技术标准，规程规范并监督实施。(13) 负责落实综合防灾减灾规划相关要求，组织编制洪水干旱灾害防治规划和防护标准并指导实施;承担水情旱情监测预警工作;组织编制重要河流和重要水工程的防御洪水、抗御</w:t>
      </w:r>
      <w:r>
        <w:rPr>
          <w:rFonts w:hint="eastAsia" w:ascii="Times New Roman" w:eastAsia="方正仿宋_GBK"/>
          <w:sz w:val="28"/>
          <w:lang w:val="en-US" w:eastAsia="zh-CN"/>
        </w:rPr>
        <w:t>旱</w:t>
      </w:r>
      <w:r>
        <w:rPr>
          <w:rFonts w:ascii="Times New Roman" w:eastAsia="方正仿宋_GBK"/>
          <w:sz w:val="28"/>
        </w:rPr>
        <w:t>灾调度及应急水量调度方案，按程序报批并组织实施;承担防御洪水应急抢险的技术支撑工作。（14）负责贯彻落实党中央、国务院和省、市关于河长制、湖长制的决策部署，办理区级总河长、区级河长交办的事项，协助区级总河长、区级河长对各乡(镇)、各部门履行河长制、湖长制相关职责进行指导、协调、监督和考核。(15)完成区委、区政府交办的其他任务。</w:t>
      </w: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796" w:type="dxa"/>
        <w:tblInd w:w="93" w:type="dxa"/>
        <w:tblLayout w:type="fixed"/>
        <w:tblCellMar>
          <w:top w:w="0" w:type="dxa"/>
          <w:left w:w="108" w:type="dxa"/>
          <w:bottom w:w="0" w:type="dxa"/>
          <w:right w:w="108" w:type="dxa"/>
        </w:tblCellMar>
      </w:tblPr>
      <w:tblGrid>
        <w:gridCol w:w="1080"/>
        <w:gridCol w:w="2904"/>
        <w:gridCol w:w="1536"/>
        <w:gridCol w:w="1900"/>
        <w:gridCol w:w="2376"/>
      </w:tblGrid>
      <w:tr>
        <w:tblPrEx>
          <w:tblCellMar>
            <w:top w:w="0" w:type="dxa"/>
            <w:left w:w="108" w:type="dxa"/>
            <w:bottom w:w="0" w:type="dxa"/>
            <w:right w:w="108" w:type="dxa"/>
          </w:tblCellMar>
        </w:tblPrEx>
        <w:trPr>
          <w:trHeight w:val="810" w:hRule="atLeast"/>
        </w:trPr>
        <w:tc>
          <w:tcPr>
            <w:tcW w:w="9796" w:type="dxa"/>
            <w:gridSpan w:val="5"/>
            <w:tcBorders>
              <w:top w:val="nil"/>
              <w:left w:val="nil"/>
              <w:bottom w:val="single" w:color="auto" w:sz="4" w:space="0"/>
              <w:right w:val="nil"/>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黑体" w:hAnsi="黑体" w:eastAsia="黑体"/>
                <w:kern w:val="0"/>
                <w:sz w:val="32"/>
                <w:szCs w:val="32"/>
              </w:rPr>
              <w:t>部门机构设置情况</w:t>
            </w:r>
          </w:p>
        </w:tc>
      </w:tr>
      <w:tr>
        <w:tblPrEx>
          <w:tblCellMar>
            <w:top w:w="0" w:type="dxa"/>
            <w:left w:w="108" w:type="dxa"/>
            <w:bottom w:w="0" w:type="dxa"/>
            <w:right w:w="108" w:type="dxa"/>
          </w:tblCellMar>
        </w:tblPrEx>
        <w:trPr>
          <w:trHeight w:val="720" w:hRule="atLeast"/>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290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单位名称</w:t>
            </w:r>
          </w:p>
        </w:tc>
        <w:tc>
          <w:tcPr>
            <w:tcW w:w="153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单位性质</w:t>
            </w:r>
          </w:p>
        </w:tc>
        <w:tc>
          <w:tcPr>
            <w:tcW w:w="19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单位规格</w:t>
            </w:r>
          </w:p>
        </w:tc>
        <w:tc>
          <w:tcPr>
            <w:tcW w:w="23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经费保障形式</w:t>
            </w:r>
          </w:p>
        </w:tc>
      </w:tr>
      <w:tr>
        <w:tblPrEx>
          <w:tblCellMar>
            <w:top w:w="0" w:type="dxa"/>
            <w:left w:w="108" w:type="dxa"/>
            <w:bottom w:w="0" w:type="dxa"/>
            <w:right w:w="108" w:type="dxa"/>
          </w:tblCellMar>
        </w:tblPrEx>
        <w:trPr>
          <w:trHeight w:val="312"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90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1536"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190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376"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21"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保定市徐水区水利局</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财政拨款</w:t>
            </w:r>
          </w:p>
        </w:tc>
      </w:tr>
      <w:tr>
        <w:tblPrEx>
          <w:tblCellMar>
            <w:top w:w="0" w:type="dxa"/>
            <w:left w:w="108" w:type="dxa"/>
            <w:bottom w:w="0" w:type="dxa"/>
            <w:right w:w="108" w:type="dxa"/>
          </w:tblCellMar>
        </w:tblPrEx>
        <w:trPr>
          <w:trHeight w:val="546"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河道工程修建维护     管理费征费站</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484"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水土保持监督检查站</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561"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于庄渠道管理所</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569"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迪城扬水机站</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55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陈梁庄扬水机站</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558"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中心水利站</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552"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县城河道管理所</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56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利民渠道管理所</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南留橡胶坝管理所</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瀑河水库管理处</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大因扬水机站</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水政水资源综合       管理办公室</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盘山渠道管理所</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tblPrEx>
          <w:tblCellMar>
            <w:top w:w="0" w:type="dxa"/>
            <w:left w:w="108" w:type="dxa"/>
            <w:bottom w:w="0" w:type="dxa"/>
            <w:right w:w="108" w:type="dxa"/>
          </w:tblCellMar>
        </w:tblPrEx>
        <w:trPr>
          <w:trHeight w:val="469"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290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曲水水库管理所</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376" w:type="dxa"/>
            <w:tcBorders>
              <w:top w:val="nil"/>
              <w:left w:val="nil"/>
              <w:bottom w:val="single" w:color="auto" w:sz="4" w:space="0"/>
              <w:right w:val="single" w:color="auto" w:sz="4" w:space="0"/>
            </w:tcBorders>
            <w:shd w:val="clear" w:color="auto" w:fill="auto"/>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2020年预算收入为</w:t>
      </w:r>
      <w:r>
        <w:rPr>
          <w:rFonts w:hint="eastAsia" w:ascii="仿宋" w:hAnsi="仿宋" w:eastAsia="仿宋"/>
          <w:sz w:val="32"/>
          <w:szCs w:val="32"/>
        </w:rPr>
        <w:t>5182.12</w:t>
      </w:r>
      <w:r>
        <w:rPr>
          <w:rFonts w:ascii="仿宋" w:hAnsi="仿宋" w:eastAsia="仿宋"/>
          <w:sz w:val="32"/>
          <w:szCs w:val="32"/>
        </w:rPr>
        <w:t>万元,其中：一般公共预算收入</w:t>
      </w:r>
      <w:r>
        <w:rPr>
          <w:rFonts w:hint="eastAsia" w:ascii="仿宋" w:hAnsi="仿宋" w:eastAsia="仿宋"/>
          <w:sz w:val="32"/>
          <w:szCs w:val="32"/>
        </w:rPr>
        <w:t>4333.18</w:t>
      </w:r>
      <w:r>
        <w:rPr>
          <w:rFonts w:ascii="仿宋" w:hAnsi="仿宋" w:eastAsia="仿宋"/>
          <w:sz w:val="32"/>
          <w:szCs w:val="32"/>
        </w:rPr>
        <w:t>万元，基金预算收入</w:t>
      </w:r>
      <w:r>
        <w:rPr>
          <w:rFonts w:hint="eastAsia" w:ascii="仿宋" w:hAnsi="仿宋" w:eastAsia="仿宋"/>
          <w:sz w:val="32"/>
          <w:szCs w:val="32"/>
        </w:rPr>
        <w:t>848.94</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rPr>
        <w:t>5182.12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基本支出3521.98万元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3331.83</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190.15</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项目支出1660.14</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1660.14</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本年度预算收支安排5182.12万元，较上年</w:t>
      </w:r>
      <w:r>
        <w:rPr>
          <w:rFonts w:ascii="仿宋" w:hAnsi="仿宋" w:eastAsia="仿宋"/>
          <w:sz w:val="32"/>
          <w:szCs w:val="32"/>
        </w:rPr>
        <w:t>减少</w:t>
      </w:r>
      <w:r>
        <w:rPr>
          <w:rFonts w:hint="eastAsia" w:ascii="仿宋" w:hAnsi="仿宋" w:eastAsia="仿宋"/>
          <w:sz w:val="32"/>
          <w:szCs w:val="32"/>
        </w:rPr>
        <w:t>815.45</w:t>
      </w:r>
      <w:r>
        <w:rPr>
          <w:rFonts w:ascii="仿宋" w:hAnsi="仿宋" w:eastAsia="仿宋"/>
          <w:sz w:val="32"/>
          <w:szCs w:val="32"/>
        </w:rPr>
        <w:t>万元。其中:基本支出增加</w:t>
      </w:r>
      <w:r>
        <w:rPr>
          <w:rFonts w:hint="eastAsia" w:ascii="仿宋" w:hAnsi="仿宋" w:eastAsia="仿宋"/>
          <w:sz w:val="32"/>
          <w:szCs w:val="32"/>
        </w:rPr>
        <w:t>138.94</w:t>
      </w:r>
      <w:r>
        <w:rPr>
          <w:rFonts w:ascii="仿宋" w:hAnsi="仿宋" w:eastAsia="仿宋"/>
          <w:sz w:val="32"/>
          <w:szCs w:val="32"/>
        </w:rPr>
        <w:t>万元，主要原因是</w:t>
      </w:r>
      <w:r>
        <w:rPr>
          <w:rFonts w:hint="eastAsia" w:ascii="仿宋" w:hAnsi="仿宋" w:eastAsia="仿宋"/>
          <w:sz w:val="32"/>
          <w:szCs w:val="32"/>
        </w:rPr>
        <w:t>人员工资福利支出增加</w:t>
      </w:r>
      <w:r>
        <w:rPr>
          <w:rFonts w:ascii="仿宋" w:hAnsi="仿宋" w:eastAsia="仿宋"/>
          <w:sz w:val="32"/>
          <w:szCs w:val="32"/>
        </w:rPr>
        <w:t>；项目支出减少</w:t>
      </w:r>
      <w:r>
        <w:rPr>
          <w:rFonts w:hint="eastAsia" w:ascii="仿宋" w:hAnsi="仿宋" w:eastAsia="仿宋"/>
          <w:sz w:val="32"/>
          <w:szCs w:val="32"/>
        </w:rPr>
        <w:t>954.39</w:t>
      </w:r>
      <w:r>
        <w:rPr>
          <w:rFonts w:ascii="仿宋" w:hAnsi="仿宋" w:eastAsia="仿宋"/>
          <w:sz w:val="32"/>
          <w:szCs w:val="32"/>
        </w:rPr>
        <w:t>万元，主要原因是</w:t>
      </w:r>
      <w:r>
        <w:rPr>
          <w:rFonts w:hint="eastAsia" w:ascii="仿宋" w:hAnsi="仿宋" w:eastAsia="仿宋"/>
          <w:sz w:val="32"/>
          <w:szCs w:val="32"/>
        </w:rPr>
        <w:t>2020年项目较2019年有所减少</w:t>
      </w:r>
      <w:r>
        <w:rPr>
          <w:rFonts w:ascii="仿宋" w:hAnsi="仿宋" w:eastAsia="仿宋"/>
          <w:sz w:val="32"/>
          <w:szCs w:val="32"/>
        </w:rPr>
        <w:t>。</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w:t>
      </w:r>
      <w:r>
        <w:rPr>
          <w:rFonts w:hint="eastAsia" w:ascii="仿宋" w:hAnsi="仿宋" w:eastAsia="仿宋"/>
          <w:sz w:val="32"/>
          <w:szCs w:val="32"/>
        </w:rPr>
        <w:t>190.15</w:t>
      </w:r>
      <w:r>
        <w:rPr>
          <w:rFonts w:ascii="仿宋" w:hAnsi="仿宋" w:eastAsia="仿宋"/>
          <w:sz w:val="32"/>
          <w:szCs w:val="32"/>
        </w:rPr>
        <w:t>万元，其中办公费</w:t>
      </w:r>
      <w:r>
        <w:rPr>
          <w:rFonts w:hint="eastAsia" w:ascii="仿宋" w:hAnsi="仿宋" w:eastAsia="仿宋"/>
          <w:sz w:val="32"/>
          <w:szCs w:val="32"/>
        </w:rPr>
        <w:t>85.62</w:t>
      </w:r>
      <w:r>
        <w:rPr>
          <w:rFonts w:ascii="仿宋" w:hAnsi="仿宋" w:eastAsia="仿宋"/>
          <w:sz w:val="32"/>
          <w:szCs w:val="32"/>
        </w:rPr>
        <w:t>万元，邮电费</w:t>
      </w:r>
      <w:r>
        <w:rPr>
          <w:rFonts w:hint="eastAsia" w:ascii="仿宋" w:hAnsi="仿宋" w:eastAsia="仿宋"/>
          <w:sz w:val="32"/>
          <w:szCs w:val="32"/>
        </w:rPr>
        <w:t>8.88</w:t>
      </w:r>
      <w:r>
        <w:rPr>
          <w:rFonts w:ascii="仿宋" w:hAnsi="仿宋" w:eastAsia="仿宋"/>
          <w:sz w:val="32"/>
          <w:szCs w:val="32"/>
        </w:rPr>
        <w:t>万元，工会经费、福利费</w:t>
      </w:r>
      <w:r>
        <w:rPr>
          <w:rFonts w:hint="eastAsia" w:ascii="仿宋" w:hAnsi="仿宋" w:eastAsia="仿宋"/>
          <w:sz w:val="32"/>
          <w:szCs w:val="32"/>
        </w:rPr>
        <w:t>54.84</w:t>
      </w:r>
      <w:r>
        <w:rPr>
          <w:rFonts w:ascii="仿宋" w:hAnsi="仿宋" w:eastAsia="仿宋"/>
          <w:sz w:val="32"/>
          <w:szCs w:val="32"/>
        </w:rPr>
        <w:t>万元，公务用车运行维护费</w:t>
      </w:r>
      <w:r>
        <w:rPr>
          <w:rFonts w:hint="eastAsia" w:ascii="仿宋" w:hAnsi="仿宋" w:eastAsia="仿宋"/>
          <w:sz w:val="32"/>
          <w:szCs w:val="32"/>
        </w:rPr>
        <w:t>15</w:t>
      </w:r>
      <w:r>
        <w:rPr>
          <w:rFonts w:ascii="仿宋" w:hAnsi="仿宋" w:eastAsia="仿宋"/>
          <w:sz w:val="32"/>
          <w:szCs w:val="32"/>
        </w:rPr>
        <w:t>万元</w:t>
      </w:r>
      <w:r>
        <w:rPr>
          <w:rFonts w:hint="eastAsia" w:ascii="仿宋" w:hAnsi="仿宋" w:eastAsia="仿宋"/>
          <w:sz w:val="32"/>
          <w:szCs w:val="32"/>
        </w:rPr>
        <w:t>，取暖费16.74万元，培训费0.4万元，公务接待费0.8万元，其他交通费用6.24万元，其他商品和福利支出1.63万元。</w:t>
      </w: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22.8</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18.03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-4.77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公务用车改革核减公务用车。</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23.6</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18.83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-4.77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年，我部门针对三公经费支出制定了严格的管理制度，认真执行中央八项规定，厉行节约，杜绝浪费。从总量来讲，我部门的三公经费与上年相比减少了4.77万元。</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ind w:firstLine="560" w:firstLineChars="200"/>
        <w:jc w:val="left"/>
        <w:outlineLvl w:val="1"/>
        <w:rPr>
          <w:rFonts w:ascii="Times New Roman" w:hAnsi="宋体" w:eastAsia="宋体"/>
          <w:sz w:val="28"/>
        </w:rPr>
      </w:pPr>
      <w:r>
        <w:rPr>
          <w:rFonts w:hint="eastAsia" w:ascii="方正黑体_GBK" w:eastAsia="方正黑体_GBK"/>
          <w:sz w:val="28"/>
        </w:rPr>
        <w:t>一、总体绩效目标</w:t>
      </w:r>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0" w:name="_Toc31356104"/>
      <w:r>
        <w:rPr>
          <w:rFonts w:hint="eastAsia" w:ascii="方正黑体_GBK" w:eastAsia="方正黑体_GBK"/>
          <w:sz w:val="28"/>
        </w:rPr>
        <w:instrText xml:space="preserve">总体绩效目标</w:instrText>
      </w:r>
      <w:bookmarkEnd w:id="0"/>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以习近平总书记</w:t>
      </w:r>
      <w:r>
        <w:rPr>
          <w:rFonts w:ascii="Times New Roman" w:eastAsia="方正仿宋_GBK"/>
          <w:sz w:val="28"/>
        </w:rPr>
        <w:t>“</w:t>
      </w:r>
      <w:r>
        <w:rPr>
          <w:rFonts w:hint="eastAsia" w:ascii="Times New Roman" w:hAnsi="微软雅黑" w:eastAsia="方正仿宋_GBK" w:cs="微软雅黑"/>
          <w:sz w:val="28"/>
        </w:rPr>
        <w:t>节水优先、空间均衡、系统治理、两手发力</w:t>
      </w:r>
      <w:r>
        <w:rPr>
          <w:rFonts w:ascii="Times New Roman" w:eastAsia="方正仿宋_GBK"/>
          <w:sz w:val="28"/>
        </w:rPr>
        <w:t>”</w:t>
      </w:r>
      <w:r>
        <w:rPr>
          <w:rFonts w:hint="eastAsia" w:ascii="Times New Roman" w:hAnsi="微软雅黑" w:eastAsia="方正仿宋_GBK" w:cs="微软雅黑"/>
          <w:sz w:val="28"/>
        </w:rPr>
        <w:t>的治水思路，紧紧围绕全面深化改革的总体要求，牢牢把握京津冀协同发展、服务雄安新区规划建设和白洋淀上游生态文明建设的战略部署，以</w:t>
      </w:r>
      <w:r>
        <w:rPr>
          <w:rFonts w:ascii="Times New Roman" w:eastAsia="方正仿宋_GBK"/>
          <w:sz w:val="28"/>
        </w:rPr>
        <w:t>“</w:t>
      </w:r>
      <w:r>
        <w:rPr>
          <w:rFonts w:hint="eastAsia" w:ascii="Times New Roman" w:hAnsi="微软雅黑" w:eastAsia="方正仿宋_GBK" w:cs="微软雅黑"/>
          <w:sz w:val="28"/>
        </w:rPr>
        <w:t>水利工程补短板、水利行业强监管</w:t>
      </w:r>
      <w:r>
        <w:rPr>
          <w:rFonts w:ascii="Times New Roman" w:eastAsia="方正仿宋_GBK"/>
          <w:sz w:val="28"/>
        </w:rPr>
        <w:t>”</w:t>
      </w:r>
      <w:r>
        <w:rPr>
          <w:rFonts w:hint="eastAsia" w:ascii="Times New Roman" w:hAnsi="微软雅黑" w:eastAsia="方正仿宋_GBK" w:cs="微软雅黑"/>
          <w:sz w:val="28"/>
        </w:rPr>
        <w:t>为工作目标，认真贯彻坚持与时俱进、因水制宜，以节水供水重大水利工程和民生水利建设为重点，以推进水利现代化进程为主线，以提升水安全保障能力为目的，通过建设调水蓄水、防洪保安、生态修复、民生水利等一批水利工程，加强水资源、河湖水域、水利工程、洪水风险等重点方面管理，不断完善水法规体系，深化水利</w:t>
      </w:r>
      <w:r>
        <w:rPr>
          <w:rFonts w:ascii="Times New Roman" w:eastAsia="方正仿宋_GBK"/>
          <w:sz w:val="28"/>
        </w:rPr>
        <w:t>“</w:t>
      </w:r>
      <w:r>
        <w:rPr>
          <w:rFonts w:hint="eastAsia" w:ascii="Times New Roman" w:hAnsi="微软雅黑" w:eastAsia="方正仿宋_GBK" w:cs="微软雅黑"/>
          <w:sz w:val="28"/>
        </w:rPr>
        <w:t>放管服</w:t>
      </w:r>
      <w:r>
        <w:rPr>
          <w:rFonts w:ascii="Times New Roman" w:eastAsia="方正仿宋_GBK"/>
          <w:sz w:val="28"/>
        </w:rPr>
        <w:t>”</w:t>
      </w:r>
      <w:r>
        <w:rPr>
          <w:rFonts w:hint="eastAsia" w:ascii="Times New Roman" w:hAnsi="微软雅黑" w:eastAsia="方正仿宋_GBK" w:cs="微软雅黑"/>
          <w:sz w:val="28"/>
        </w:rPr>
        <w:t>、水权水价、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w:t>
      </w:r>
      <w:r>
        <w:rPr>
          <w:rFonts w:ascii="Times New Roman" w:eastAsia="方正仿宋_GBK"/>
          <w:sz w:val="28"/>
        </w:rPr>
        <w:t>,</w:t>
      </w:r>
      <w:r>
        <w:rPr>
          <w:rFonts w:hint="eastAsia" w:ascii="Times New Roman" w:hAnsi="微软雅黑" w:eastAsia="方正仿宋_GBK" w:cs="微软雅黑"/>
          <w:sz w:val="28"/>
        </w:rPr>
        <w:t>坚持统筹兼顾，保障合理用水需求和水资源的可持续利用，为经济社会发展提供水安全保障。</w:t>
      </w:r>
    </w:p>
    <w:p>
      <w:pPr>
        <w:spacing w:line="500" w:lineRule="exact"/>
        <w:ind w:firstLine="560" w:firstLineChars="200"/>
        <w:jc w:val="left"/>
        <w:rPr>
          <w:rFonts w:ascii="Times New Roman" w:eastAsia="方正仿宋_GBK"/>
          <w:sz w:val="28"/>
        </w:rPr>
      </w:pPr>
    </w:p>
    <w:p>
      <w:pPr>
        <w:spacing w:line="500" w:lineRule="exact"/>
        <w:ind w:firstLine="560" w:firstLineChars="200"/>
        <w:jc w:val="left"/>
        <w:outlineLvl w:val="1"/>
        <w:rPr>
          <w:rFonts w:ascii="Times New Roman" w:hAnsi="宋体" w:eastAsia="宋体"/>
          <w:sz w:val="28"/>
        </w:rPr>
      </w:pPr>
      <w:r>
        <w:rPr>
          <w:rFonts w:ascii="方正黑体_GBK" w:eastAsia="方正黑体_GBK"/>
          <w:sz w:val="28"/>
        </w:rPr>
        <w:t>二、分项绩效目标</w:t>
      </w:r>
      <w:r>
        <w:rPr>
          <w:rFonts w:ascii="方正黑体_GBK" w:eastAsia="方正黑体_GBK"/>
          <w:sz w:val="28"/>
        </w:rPr>
        <w:fldChar w:fldCharType="begin"/>
      </w:r>
      <w:r>
        <w:rPr>
          <w:rFonts w:ascii="方正黑体_GBK" w:eastAsia="方正黑体_GBK"/>
          <w:sz w:val="28"/>
        </w:rPr>
        <w:instrText xml:space="preserve"> TC </w:instrText>
      </w:r>
      <w:bookmarkStart w:id="1" w:name="_Toc31356105"/>
      <w:r>
        <w:rPr>
          <w:rFonts w:ascii="方正黑体_GBK" w:eastAsia="方正黑体_GBK"/>
          <w:sz w:val="28"/>
        </w:rPr>
        <w:instrText xml:space="preserve">分项绩效目标</w:instrText>
      </w:r>
      <w:bookmarkEnd w:id="1"/>
      <w:r>
        <w:rPr>
          <w:rFonts w:ascii="方正黑体_GBK" w:eastAsia="方正黑体_GBK"/>
          <w:sz w:val="28"/>
        </w:rPr>
        <w:instrText xml:space="preserve">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（一）进一步保障水资源的合理开发利用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绩效目标：保障水资源合理开发利用，编制全区水资源规划及实施方案。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绩效指标：编制完成《徐水区</w:t>
      </w:r>
      <w:r>
        <w:rPr>
          <w:rFonts w:ascii="Times New Roman" w:eastAsia="方正仿宋_GBK"/>
          <w:sz w:val="28"/>
        </w:rPr>
        <w:t>“</w:t>
      </w:r>
      <w:r>
        <w:rPr>
          <w:rFonts w:hint="eastAsia" w:ascii="Times New Roman" w:hAnsi="微软雅黑" w:eastAsia="方正仿宋_GBK" w:cs="微软雅黑"/>
          <w:sz w:val="28"/>
        </w:rPr>
        <w:t>十四五</w:t>
      </w:r>
      <w:r>
        <w:rPr>
          <w:rFonts w:ascii="Times New Roman" w:eastAsia="方正仿宋_GBK"/>
          <w:sz w:val="28"/>
        </w:rPr>
        <w:t>”</w:t>
      </w:r>
      <w:r>
        <w:rPr>
          <w:rFonts w:hint="eastAsia" w:ascii="Times New Roman" w:hAnsi="微软雅黑" w:eastAsia="方正仿宋_GBK" w:cs="微软雅黑"/>
          <w:sz w:val="28"/>
        </w:rPr>
        <w:t>节水规划》、水资源开放利用及保护实施方案等。</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（二）进一步增强生活、生产经营和生态环境用水的统筹和保障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组织实施最严格水资源管理制度，实施水资源统一监督管理，拟定全区用水计划并监督实施。组织实施取水许可、水资源论证和防洪论证制度。指导开展水资源有偿使用工作，指导行业供水和乡镇供水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绩效指标：根据最严格水资源管理制度，组织专家取水许可的进行技术审查、评估、验收等工作。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（三）水资源开发利用监控能力进一步增强</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绩效目标：实施水资源保护规划，指导饮用水水源保护有关工作，指导地下水开发利用和地下水资源管理保护，组织实施地下水超采区综合治理。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水资源管理系统正常运行，为水资源管理提供数据支撑、提升信息化管理水平，加强取水监管。按照大型灌区、中型灌区、小型灌区、井灌区不同灌溉形式，采用点与面相结合的方法完成农田灌溉水有效利用系数测算分析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（四）节约用水工作进一步优化</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全区农田灌溉水有效利用系数测算工作，针对全区农田灌溉水有效利用进行测算，主要用于节水型社会建设中完善节水制度、节水宣传，基础资料调研、关键技术研究，节约用水和计划用水信息化管理服务，提升节水、用水信息化管理水平。</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绩效指标：完成徐水区农田灌溉水有效利用系数测算，了解相关政策、剖析当前相关技术进展，确定</w:t>
      </w:r>
      <w:r>
        <w:rPr>
          <w:rFonts w:ascii="Times New Roman" w:eastAsia="方正仿宋_GBK"/>
          <w:sz w:val="28"/>
        </w:rPr>
        <w:t>“</w:t>
      </w:r>
      <w:r>
        <w:rPr>
          <w:rFonts w:hint="eastAsia" w:ascii="Times New Roman" w:hAnsi="微软雅黑" w:eastAsia="方正仿宋_GBK" w:cs="微软雅黑"/>
          <w:sz w:val="28"/>
        </w:rPr>
        <w:t>十四五</w:t>
      </w:r>
      <w:r>
        <w:rPr>
          <w:rFonts w:ascii="Times New Roman" w:eastAsia="方正仿宋_GBK"/>
          <w:sz w:val="28"/>
        </w:rPr>
        <w:t>”</w:t>
      </w:r>
      <w:r>
        <w:rPr>
          <w:rFonts w:hint="eastAsia" w:ascii="Times New Roman" w:hAnsi="微软雅黑" w:eastAsia="方正仿宋_GBK" w:cs="微软雅黑"/>
          <w:sz w:val="28"/>
        </w:rPr>
        <w:t>相关关键技术措施，积极撰写科技论文，提高科研人员技术水平和规划编制水平，为规划的全域实施奠定基础，保障节约用水信息系统运行正常。</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（五）水利设施、水域及其岸线的管理、保护与综合利用意识进一步增强</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w:t>
      </w:r>
      <w:r>
        <w:rPr>
          <w:rFonts w:ascii="Times New Roman" w:eastAsia="方正仿宋_GBK"/>
          <w:sz w:val="28"/>
        </w:rPr>
        <w:t xml:space="preserve"> </w:t>
      </w:r>
      <w:r>
        <w:rPr>
          <w:rFonts w:hint="eastAsia" w:ascii="Times New Roman" w:hAnsi="微软雅黑" w:eastAsia="方正仿宋_GBK" w:cs="微软雅黑"/>
          <w:sz w:val="28"/>
        </w:rPr>
        <w:t>截至</w:t>
      </w:r>
      <w:r>
        <w:rPr>
          <w:rFonts w:ascii="Times New Roman" w:eastAsia="方正仿宋_GBK"/>
          <w:sz w:val="28"/>
        </w:rPr>
        <w:t>2020</w:t>
      </w:r>
      <w:r>
        <w:rPr>
          <w:rFonts w:hint="eastAsia" w:ascii="Times New Roman" w:hAnsi="微软雅黑" w:eastAsia="方正仿宋_GBK" w:cs="微软雅黑"/>
          <w:sz w:val="28"/>
        </w:rPr>
        <w:t>年底，通过中小河流治理，提供防洪能力，达到保护沿岸人民生命和财产安全的目的，实现</w:t>
      </w:r>
      <w:r>
        <w:rPr>
          <w:rFonts w:ascii="Times New Roman" w:eastAsia="方正仿宋_GBK"/>
          <w:sz w:val="28"/>
        </w:rPr>
        <w:t>“</w:t>
      </w:r>
      <w:r>
        <w:rPr>
          <w:rFonts w:hint="eastAsia" w:ascii="Times New Roman" w:hAnsi="微软雅黑" w:eastAsia="方正仿宋_GBK" w:cs="微软雅黑"/>
          <w:sz w:val="28"/>
        </w:rPr>
        <w:t>保护村镇、守点固岸、防冲消能</w:t>
      </w:r>
      <w:r>
        <w:rPr>
          <w:rFonts w:ascii="Times New Roman" w:eastAsia="方正仿宋_GBK"/>
          <w:sz w:val="28"/>
        </w:rPr>
        <w:t>”</w:t>
      </w:r>
      <w:r>
        <w:rPr>
          <w:rFonts w:hint="eastAsia" w:ascii="Times New Roman" w:hAnsi="微软雅黑" w:eastAsia="方正仿宋_GBK" w:cs="微软雅黑"/>
          <w:sz w:val="28"/>
        </w:rPr>
        <w:t>目标，开展洪涝灾害调查、视频会商、群测群防体系及视频监控站等建设，提高基层防汛预警能力，不断提高洪涝灾害防治区群众主动防灾避险意识和自救互救能力。</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绩效指标：完成瀑河石桥段中小河流治理，配合漕河综合治理工作，完工项目初步验收率达到</w:t>
      </w:r>
      <w:r>
        <w:rPr>
          <w:rFonts w:ascii="Times New Roman" w:eastAsia="方正仿宋_GBK"/>
          <w:sz w:val="28"/>
        </w:rPr>
        <w:t>100%</w:t>
      </w:r>
      <w:r>
        <w:rPr>
          <w:rFonts w:hint="eastAsia" w:ascii="Times New Roman" w:hAnsi="微软雅黑" w:eastAsia="方正仿宋_GBK" w:cs="微软雅黑"/>
          <w:sz w:val="28"/>
        </w:rPr>
        <w:t>。</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（六）水利工程建设与运行管理水平进一步提高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全区河流、水库的运行与维护，确保工程的安全和完整，确保闸涵工程安全，充分发挥工程效益，排水系统清理；观测设施维修；闸门启闭系统和机电设施维修、自动化系统维修，延长工程的使用寿命。</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绩效指标：所辖水利工程按原设计正常运行</w:t>
      </w:r>
      <w:r>
        <w:rPr>
          <w:rFonts w:ascii="Times New Roman" w:eastAsia="方正仿宋_GBK"/>
          <w:sz w:val="28"/>
        </w:rPr>
        <w:t>,</w:t>
      </w:r>
      <w:r>
        <w:rPr>
          <w:rFonts w:hint="eastAsia" w:ascii="Times New Roman" w:hAnsi="微软雅黑" w:eastAsia="方正仿宋_GBK" w:cs="微软雅黑"/>
          <w:sz w:val="28"/>
        </w:rPr>
        <w:t>确保行洪排沥河道的在河系行洪排沥调度等方面发挥着重要作用，保障保护区耕地、铁路、公路、群众安全。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（七）水土保持工作效果进一步显现</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绩效目标：拟定水土保持规划并监督实施，负责建设项目水土保持监督管理工作。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绩效指标：加强对区域内所有建设项目水土保持监督管理工作。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（八）农村饮水安全保障工作进一步提升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农村饮水工程维修养护，包括农村集中供水工程及其配套设施修缮，供水设备及元配件、水表等更换，供水管材管件、净化消毒滤料和药剂试剂购置与更换，水质检测监测药剂和易耗品，仪器设备元配件的更换等支持，为农村饮水工程长效运行提供支撑。</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w:t>
      </w:r>
      <w:r>
        <w:rPr>
          <w:rFonts w:ascii="Times New Roman" w:eastAsia="方正仿宋_GBK"/>
          <w:sz w:val="28"/>
        </w:rPr>
        <w:t>2020</w:t>
      </w:r>
      <w:r>
        <w:rPr>
          <w:rFonts w:hint="eastAsia" w:ascii="Times New Roman" w:hAnsi="微软雅黑" w:eastAsia="方正仿宋_GBK" w:cs="微软雅黑"/>
          <w:sz w:val="28"/>
        </w:rPr>
        <w:t>年按照河北省水利厅任务清单和资金计划完成农村饮水工程维修养护。</w:t>
      </w:r>
      <w:r>
        <w:rPr>
          <w:rFonts w:ascii="Times New Roman" w:eastAsia="方正仿宋_GBK"/>
          <w:sz w:val="28"/>
        </w:rPr>
        <w:t>6</w:t>
      </w:r>
      <w:r>
        <w:rPr>
          <w:rFonts w:hint="eastAsia" w:ascii="Times New Roman" w:hAnsi="微软雅黑" w:eastAsia="方正仿宋_GBK" w:cs="微软雅黑"/>
          <w:sz w:val="28"/>
        </w:rPr>
        <w:t>月底完成工程筹备、</w:t>
      </w:r>
      <w:r>
        <w:rPr>
          <w:rFonts w:ascii="Times New Roman" w:eastAsia="方正仿宋_GBK"/>
          <w:sz w:val="28"/>
        </w:rPr>
        <w:t>12</w:t>
      </w:r>
      <w:r>
        <w:rPr>
          <w:rFonts w:hint="eastAsia" w:ascii="Times New Roman" w:hAnsi="微软雅黑" w:eastAsia="方正仿宋_GBK" w:cs="微软雅黑"/>
          <w:sz w:val="28"/>
        </w:rPr>
        <w:t>月底前组织实施工程、建立工程良性运行机制，使农民群众喝上放心水。</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（九）水库移民扶持工作取得实效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绩效目标：按时发放大中型水库移民人口直补资金，按时完成项目资金拨付。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绩效指标：开展移民直接补助受益人口核查，增加库区移民每年人均可支配收入约</w:t>
      </w:r>
      <w:r>
        <w:rPr>
          <w:rFonts w:ascii="Times New Roman" w:eastAsia="方正仿宋_GBK"/>
          <w:sz w:val="28"/>
        </w:rPr>
        <w:t>600</w:t>
      </w:r>
      <w:r>
        <w:rPr>
          <w:rFonts w:hint="eastAsia" w:ascii="Times New Roman" w:hAnsi="微软雅黑" w:eastAsia="方正仿宋_GBK" w:cs="微软雅黑"/>
          <w:sz w:val="28"/>
        </w:rPr>
        <w:t>元，提高收益群众满意度。</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（十）综合防灾减灾能力进一步提高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绩效目标：发挥防洪减灾体系作用，最大限度地减少洪涝灾害造成的人员伤亡和财产损失；各类洪水调度方案和预案修订完善、监测预警通信设施维护、会商系统维护、水旱灾</w:t>
      </w:r>
      <w:r>
        <w:rPr>
          <w:rFonts w:hint="eastAsia" w:ascii="Times New Roman" w:hAnsi="微软雅黑" w:eastAsia="方正仿宋_GBK" w:cs="微软雅黑"/>
          <w:sz w:val="28"/>
          <w:lang w:val="en-US" w:eastAsia="zh-CN"/>
        </w:rPr>
        <w:t>害</w:t>
      </w:r>
      <w:bookmarkStart w:id="17" w:name="_GoBack"/>
      <w:bookmarkEnd w:id="17"/>
      <w:r>
        <w:rPr>
          <w:rFonts w:hint="eastAsia" w:ascii="Times New Roman" w:hAnsi="微软雅黑" w:eastAsia="方正仿宋_GBK" w:cs="微软雅黑"/>
          <w:sz w:val="28"/>
        </w:rPr>
        <w:t>防御宣传。</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绩效指标：根据工情修订完善水库、河道等方案预案，对全区监测预警通信设施维护保养，汛前完成。</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（十一）按时完成区委、区政府交办其他工作任务</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贯彻落实党中央、国务院和省委、省政府、市委、市政府、区委、区政府关于河长制湖长制的决策部署，办理区级总河湖长、区级河长湖长交办的事项，协助区级总河湖长、区级河长湖长对各乡镇、各部门履行河长制湖长制相关职责进行指导、协调、监督和考核。</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绩效指标：对全区河道、水库通过实地巡查、无人机飞检拍摄影像照片，并对检查成果进行分析研判，形成相关报告，发现河湖问题及时交办。</w:t>
      </w:r>
    </w:p>
    <w:p>
      <w:pPr>
        <w:spacing w:line="500" w:lineRule="exact"/>
        <w:ind w:firstLine="560" w:firstLineChars="200"/>
        <w:jc w:val="left"/>
        <w:rPr>
          <w:rFonts w:ascii="Times New Roman" w:eastAsia="方正仿宋_GBK"/>
          <w:sz w:val="28"/>
        </w:rPr>
      </w:pPr>
    </w:p>
    <w:p>
      <w:pPr>
        <w:spacing w:line="500" w:lineRule="exact"/>
        <w:ind w:firstLine="560" w:firstLineChars="200"/>
        <w:jc w:val="left"/>
        <w:outlineLvl w:val="1"/>
        <w:rPr>
          <w:rFonts w:ascii="Times New Roman" w:hAnsi="宋体" w:eastAsia="宋体"/>
          <w:sz w:val="28"/>
        </w:rPr>
      </w:pPr>
      <w:r>
        <w:rPr>
          <w:rFonts w:ascii="方正黑体_GBK" w:eastAsia="方正黑体_GBK"/>
          <w:sz w:val="28"/>
        </w:rPr>
        <w:t>三、工作保障措施</w:t>
      </w:r>
      <w:r>
        <w:rPr>
          <w:rFonts w:ascii="方正黑体_GBK" w:eastAsia="方正黑体_GBK"/>
          <w:sz w:val="28"/>
        </w:rPr>
        <w:fldChar w:fldCharType="begin"/>
      </w:r>
      <w:r>
        <w:rPr>
          <w:rFonts w:ascii="方正黑体_GBK" w:eastAsia="方正黑体_GBK"/>
          <w:sz w:val="28"/>
        </w:rPr>
        <w:instrText xml:space="preserve"> TC </w:instrText>
      </w:r>
      <w:bookmarkStart w:id="2" w:name="_Toc31356106"/>
      <w:r>
        <w:rPr>
          <w:rFonts w:ascii="方正黑体_GBK" w:eastAsia="方正黑体_GBK"/>
          <w:sz w:val="28"/>
        </w:rPr>
        <w:instrText xml:space="preserve">工作保障措施</w:instrText>
      </w:r>
      <w:bookmarkEnd w:id="2"/>
      <w:r>
        <w:rPr>
          <w:rFonts w:ascii="方正黑体_GBK" w:eastAsia="方正黑体_GBK"/>
          <w:sz w:val="28"/>
        </w:rPr>
        <w:instrText xml:space="preserve">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完善制度建设。加强支出管理，加快履行政府采购手续、尽快启动项目、及时支付资金、确保支出进度达标。加强绩效运行监控。按要求开展绩效运行监控，确保绩效目标如期保质实现。做好绩效自评。调整优化支出结构，提高财政资金使用效益。加强内部监督和人员培训，提高本部门职工业务素质；加强调研，提出优化财政资金配置、提高资金使用效益的意见；加大宣传力度，强化预算绩效管理意识，促进预算绩效管理水平进一步提升，为全年预算绩效目标的实现奠定制度基础。</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加强事前、事中监督和事后绩效评价管理。支持水利项目建设与管理，支持水资源保护和生态建设，支持水利政务管理，推进河长制落实等各项工作优化支出结构，编实预算，严格遵守支出进度要求，及时支付资金，提高财政资金使用效益。按要求开展上年度部门预算绩效自评和重点评价工作，对发现的问题及时整改。</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（三）规范国有资产管理。在完善财务制度的基础上，严格审批程序。搞好资产清查，加强固定资产登记、使用和报废处置管理，做到支出合理，物尽其用。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（四）加强内控管理和审计监督检查。加强内控制度建设，加强内审工作，严格审核，监督重大支出决策程序，审核固定资产投资，资产处置及其他重要经济业务事项的决策和执行是否符合有关规定。</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（五）加强培训调研。全局范围内进行预算绩效宣传，对骨干人员进行培训，强化预算绩效意识，促进预算绩效管理水平进一步提升。加强财务调研，提出优化财政资金配置、提高资金使用效益的意见建议。</w:t>
      </w:r>
    </w:p>
    <w:p>
      <w:pPr>
        <w:spacing w:line="360" w:lineRule="auto"/>
        <w:ind w:firstLine="640" w:firstLineChars="200"/>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p>
    <w:p>
      <w:pPr>
        <w:spacing w:line="360" w:lineRule="auto"/>
        <w:ind w:firstLine="640" w:firstLineChars="200"/>
        <w:rPr>
          <w:rFonts w:ascii="仿宋" w:hAnsi="仿宋" w:eastAsia="仿宋"/>
          <w:sz w:val="32"/>
          <w:szCs w:val="32"/>
        </w:rPr>
      </w:pPr>
    </w:p>
    <w:p>
      <w:pPr>
        <w:ind w:firstLine="562" w:firstLineChars="200"/>
        <w:jc w:val="left"/>
        <w:outlineLvl w:val="1"/>
        <w:rPr>
          <w:rFonts w:ascii="Times New Roman" w:hAnsi="宋体" w:eastAsia="宋体"/>
          <w:b/>
          <w:sz w:val="28"/>
        </w:rPr>
      </w:pPr>
      <w:r>
        <w:rPr>
          <w:rFonts w:ascii="方正仿宋_GBK" w:eastAsia="方正仿宋_GBK"/>
          <w:b/>
          <w:sz w:val="28"/>
        </w:rPr>
        <w:t>1、2020年大中型水库移民后期扶持资金提前下达绩效目标表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356107"/>
      <w:r>
        <w:rPr>
          <w:rFonts w:ascii="方正仿宋_GBK" w:eastAsia="方正仿宋_GBK"/>
          <w:b/>
          <w:sz w:val="28"/>
        </w:rPr>
        <w:instrText xml:space="preserve">1、2020年大中型水库移民后期扶持资金提前下达绩效目标表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332-0405-YXN-KC1K</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2020年大中型水库移民后期扶持资金提前下达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553.00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553.00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大中型水库移民后期扶持项目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1、完成水库移民后期扶持项目，改善移民生活。</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库区和移民安置区基础设施和社会事业项目</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库区和移民安置区基础设施和社会事业项目</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移民受益的生产开发及配套设施项目 </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移民受益的项目</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项目验收率 </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项目验收合格率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项目支出控制在批复的预算范围内的项目比例 </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项目支出控制在批复的预算范围内的项目比例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项目扶持受益移民数量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受益移民的占比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2、2020年中央水库移民后期扶持基金预算绩效目标表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356108"/>
      <w:r>
        <w:rPr>
          <w:rFonts w:ascii="方正仿宋_GBK" w:eastAsia="方正仿宋_GBK"/>
          <w:b/>
          <w:sz w:val="28"/>
        </w:rPr>
        <w:instrText xml:space="preserve">2、2020年中央水库移民后期扶持基金预算绩效目标表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332-0405-YXN-8PV8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2020年中央水库移民后期扶持基金预算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661.32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661.32</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对水库移民的补助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1、对水库移民进行补助，改善移民生活。</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资金直补受益移民 </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资金直补受益移民占移民总数的比例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直补资金按时发放率 </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资金按时发放率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水库移民补助标准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移民补助金额标准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≥600元/年</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增加移民人均可支配收入 </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增加移民支配收入金额</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≥600元/年</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移民满意度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受益移民满意度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3、河长制办公室工作经费绩效目标表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356109"/>
      <w:r>
        <w:rPr>
          <w:rFonts w:ascii="方正仿宋_GBK" w:eastAsia="方正仿宋_GBK"/>
          <w:b/>
          <w:sz w:val="28"/>
        </w:rPr>
        <w:instrText xml:space="preserve">3、河长制办公室工作经费绩效目标表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332-0702-YXN-1I5E</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河长制办公室工作经费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全区主要河流3条，支流小河7条，排水干渠16条，河长制公示牌400块，各级河长278名，加强河长，河道管护员培训。根据人员变动随时实施。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1、按期保质保量完成河长制各项工作</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制作与发放外宣品的数量（份）</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全区制作发放宣品的情况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≥2000份</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河长制任务完成率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提高辖区内河流河道生态环境</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通过明确负责人及印发宣传资料，提高周边群众生态环保意识，改善河流生态环境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基本改善</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提供服务的满意程度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4、建档立卡贫困户所在村饮水安全水质检测绩效目标表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1356110"/>
      <w:r>
        <w:rPr>
          <w:rFonts w:ascii="方正仿宋_GBK" w:eastAsia="方正仿宋_GBK"/>
          <w:b/>
          <w:sz w:val="28"/>
        </w:rPr>
        <w:instrText xml:space="preserve">4、建档立卡贫困户所在村饮水安全水质检测绩效目标表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332-0404-YXN-G8FP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建档立卡贫困户所在村饮水安全水质检测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19.97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19.97</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对全区建档立卡贫困户所在村饮水安全水质检测，需检测水样行政村298个，每个水样检测标准670元，需申请区财政资金199660元。预计2020年5月开始实行，范围全区298个行政村。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1、完成对全区建档立卡贫困户所在村饮水安全的水质检测工作。</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水质检测涉及到村的数量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水质检测涉及到的村数量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298个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项目完成比例</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水质检测完成后行成报告数量的比例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★项目（工程）完成及时率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在合同约定时间内完成水质检测数量的比例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得到广大受益群众的充分认可。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很好</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★受益贫困人口满意度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受益群众满意度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5、瀑河石桥村至县城界治理工程绩效目标表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7" w:name="_Toc31356111"/>
      <w:r>
        <w:rPr>
          <w:rFonts w:ascii="方正仿宋_GBK" w:eastAsia="方正仿宋_GBK"/>
          <w:b/>
          <w:sz w:val="28"/>
        </w:rPr>
        <w:instrText xml:space="preserve">5、瀑河石桥村至县城界治理工程绩效目标表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332-0401-YXN-5CTM</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瀑河石桥村至县城界治理工程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132.00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132.00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治理瀑河石桥村至县城段河道长度6.004公里，堤防加固11.9公里，清淤6.004公里，险工防护0.71公里。2019年已开始实施。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1、完成河道维修整治养护，有效保障水利工程正常运行。</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治理整治河道数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治理河道的长度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≥6公里</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水利工程维修养护数量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提防加固的长度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≥10公里</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清淤工程量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清淤工程长度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≥6公里</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项目（工程）验收合格率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项目验收的合格率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长期使用性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河流河道长期稳定运行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很好</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受益人口满意度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受益人口满意的程度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6、水库移民后期扶持项目实施方案编制勘测设计、工程监理、第三方服务费绩效目标表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8" w:name="_Toc31356112"/>
      <w:r>
        <w:rPr>
          <w:rFonts w:ascii="方正仿宋_GBK" w:eastAsia="方正仿宋_GBK"/>
          <w:b/>
          <w:sz w:val="28"/>
        </w:rPr>
        <w:instrText xml:space="preserve">6、水库移民后期扶持项目实施方案编制勘测设计、工程监理、第三方服务费绩效目标表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332-0405-YXN-XG2P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水库移民后期扶持项目实施方案编制勘测设计、工程监理、第三方服务费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49.28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49.28</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2018-2019年度水库移民后期扶持项目的方案编制费、技术服务费、监理费共计49.28万元，2020年开始支付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1、按合同规定及时支付水库移民项目监理费、服务费等第三方费用。</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支付合同方项目费用数量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支付给合同方的项目数量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支付的项目在所有项目中的比例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客户影响力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按合同约定及时付款得到广大客户的充分认可。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好</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合同方满意度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合同方满意程度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合同依据</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7、水利局保安保洁经费绩效目标表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9" w:name="_Toc31356113"/>
      <w:r>
        <w:rPr>
          <w:rFonts w:ascii="方正仿宋_GBK" w:eastAsia="方正仿宋_GBK"/>
          <w:b/>
          <w:sz w:val="28"/>
        </w:rPr>
        <w:instrText xml:space="preserve">7、水利局保安保洁经费绩效目标表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332-0702-YXN-1EBN</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水利局保安保洁经费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8.40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8.40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两名保安人员负责水利局大院保安警卫工作及保洁人员负责办公环境保洁工作。保安费用2人年标准48000元，保洁费用1人年标准36000元，共计84000元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1、维护水利局机关正常工作环境秩序，保持工作环境干净整洁。</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保安保洁人数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保安保洁人数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保安保洁人员工作完成质量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保安保洁人员工资完成质量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基本公共卫生服务水平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反映为单位提供基本保安保洁服务的能力和效果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很好</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职工对提供服务的满意程度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8、水利伤残补助绩效目标表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0" w:name="_Toc31356114"/>
      <w:r>
        <w:rPr>
          <w:rFonts w:ascii="方正仿宋_GBK" w:eastAsia="方正仿宋_GBK"/>
          <w:b/>
          <w:sz w:val="28"/>
        </w:rPr>
        <w:instrText xml:space="preserve">8、水利伤残补助绩效目标表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332-0701-YXN-L849</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水利伤残补助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2.45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2.45</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水利伤残人员补助，6级伤残3人，年补助标准每人7080元，8级伤残1人，年补助标准3300元，共计24540，2020年1月开始实施，范围全部伤残人员。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1、保障伤残人员权利,改善伤残人员生活水平.</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伤残人员数量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享受伤残补助人员的数量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伤残人员生活补贴发放完成率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通过伤残人员补助，改善伤残人员生活，促进社会稳定水平逐步提高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持平 提高 </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伤残人员满意度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伤残人员满意数量占总数的比例。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9、水利项目质量保证金绩效目标表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1" w:name="_Toc31356115"/>
      <w:r>
        <w:rPr>
          <w:rFonts w:ascii="方正仿宋_GBK" w:eastAsia="方正仿宋_GBK"/>
          <w:b/>
          <w:sz w:val="28"/>
        </w:rPr>
        <w:instrText xml:space="preserve">9、水利项目质量保证金绩效目标表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332-0401-YXN-QE69</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水利项目质量保证金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13.25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13.25</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非农取水在线监测建设项目质保金16440元、瀑河县城段盛源桥东右岸塌方应急整修项目质保金2875.78元、王马桥应急河道疏浚整理项目质保金1159.98元、赛赛尔俊峰公司污水管道改造项目质保金68173.68元、2017年山洪灾害补充完善项目质保金5400元、2018年山洪灾害补充完善项目质保金4800元、2017年水利工程维修养护项目质保金23346.81元、2018年水利工程维修养护项目质保金10302.87元共8个水利项目共计132499.12元，质保期已满。2020年开始支付质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1、项目质保金到期，及时将质保金支付给合同方。</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完成质保金支付项目数量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完成质保金支付的项目个数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8个项目支付质保金完成率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已建工程是否良性运行</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已建验收工程是否运行良好，安全稳定。</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合同方满意度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质保金到期及时支付，合同方满意度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合同依据</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10、提前下达2020年省级水库移民后期扶持基金绩效目标表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2" w:name="_Toc31356116"/>
      <w:r>
        <w:rPr>
          <w:rFonts w:ascii="方正仿宋_GBK" w:eastAsia="方正仿宋_GBK"/>
          <w:b/>
          <w:sz w:val="28"/>
        </w:rPr>
        <w:instrText xml:space="preserve">10、提前下达2020年省级水库移民后期扶持基金绩效目标表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332-0405-YXN-TI83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提前下达2020年省级水库移民后期扶持基金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6.34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6.34</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省级水库移民后期扶持项目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1、完成水库移民后期项目，改善移民生活。</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项目验收率 </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项目验收合格率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项目支出控制在批复的预算范围内的项目比例 </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项目支出控制在批复的预算范围内的项目比例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移民满意度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移民满意度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在移民中的影响，得到广大受众的充分认可。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认可</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计划依据</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11、提前下达2020年中央水利发展资金（地下水超采治理）预算绩效目标表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3" w:name="_Toc31356117"/>
      <w:r>
        <w:rPr>
          <w:rFonts w:ascii="方正仿宋_GBK" w:eastAsia="方正仿宋_GBK"/>
          <w:b/>
          <w:sz w:val="28"/>
        </w:rPr>
        <w:instrText xml:space="preserve">11、提前下达2020年中央水利发展资金（地下水超采治理）预算绩效目标表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332-0501-JZN-2F4V</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提前下达2020年中央水利发展资金（地下水超采治理）预算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31.50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31.50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非农取水在线计量监控项目建设，保障地下水超采综合治理目标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1、完成计量监控项目建设</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符合条件对象覆盖率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覆盖对象占比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项目（工程）验收合格率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项目验收合格率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项目（工程）完成及时率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项目及时完成率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提高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受益人口满意度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受益人口满意程度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12、提前下达2020年中央水利发展资金预算绩效目标表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4" w:name="_Toc31356118"/>
      <w:r>
        <w:rPr>
          <w:rFonts w:ascii="方正仿宋_GBK" w:eastAsia="方正仿宋_GBK"/>
          <w:b/>
          <w:sz w:val="28"/>
        </w:rPr>
        <w:instrText xml:space="preserve">12、提前下达2020年中央水利发展资金预算绩效目标表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332-0402-YZN-Y5QA</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提前下达2020年中央水利发展资金预算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83.00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83.00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用于农村基层防汛预报预警体系建设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1、完成防汛预报预警体系建设工作。</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完成预警预报工作的地区占比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优良率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项目完成质量优良率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在全区的重要影响，得到广大受众的充分认可。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认可</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接受人群对所提供服务的满意程度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13、支出绩效挂钩经费绩效目标表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5" w:name="_Toc31356119"/>
      <w:r>
        <w:rPr>
          <w:rFonts w:ascii="方正仿宋_GBK" w:eastAsia="方正仿宋_GBK"/>
          <w:b/>
          <w:sz w:val="28"/>
        </w:rPr>
        <w:instrText xml:space="preserve">13、支出绩效挂钩经费绩效目标表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332-0701-YXN-O2NC</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支出绩效挂钩经费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3.03</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根据支出进度考核要求，按时完成支出任务，按照支出进度恢复扣减经费3.03万元。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1、支出绩效挂钩经费，首先用于安排年初未足额列入预算的项目，确保正常业务开展，并按照项目确定的支出时限及时安排支出。</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支出进度完成情况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支出金额占预算金额的百分比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按季度达到进度</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业务开展及时率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业务完成情况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工作人员满意度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保障业务正常开展的满意度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14、钻井队、育苗基地经费绩效目标表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6" w:name="_Toc31356120"/>
      <w:r>
        <w:rPr>
          <w:rFonts w:ascii="方正仿宋_GBK" w:eastAsia="方正仿宋_GBK"/>
          <w:b/>
          <w:sz w:val="28"/>
        </w:rPr>
        <w:instrText xml:space="preserve">14、钻井队、育苗基地经费绩效目标表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332002水利局（行政）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332-0702-YXN-YXA0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钻井队、育苗基地经费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86.60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86.60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井育人员年工资57.73万元、各类保险14.17万元，公积金6.29万元，乡镇补贴2.49万元、物业补贴16.8万元、取暖费4.14万元，共计86.596285万元。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1、保障井育人员日常工资发放及保险公积金等费用的缴纳，稳定人员。</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项目设计人数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项目涉及到的人员人数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按时按月完成人员资金发放情况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得到人员的认可，保障人员安定。</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设计人员满意度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井育人员的满意程度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center"/>
        <w:rPr>
          <w:rFonts w:ascii="Times New Roman" w:eastAsia="方正仿宋_GBK"/>
          <w:sz w:val="28"/>
        </w:r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w:t>
      </w:r>
      <w:r>
        <w:rPr>
          <w:rFonts w:hint="eastAsia" w:ascii="仿宋" w:hAnsi="仿宋" w:eastAsia="仿宋"/>
          <w:sz w:val="32"/>
          <w:szCs w:val="32"/>
        </w:rPr>
        <w:t>13.5</w:t>
      </w:r>
      <w:r>
        <w:rPr>
          <w:rFonts w:ascii="仿宋" w:hAnsi="仿宋" w:eastAsia="仿宋"/>
          <w:sz w:val="32"/>
          <w:szCs w:val="32"/>
        </w:rPr>
        <w:t>万元，具体内容见下表：</w:t>
      </w:r>
    </w:p>
    <w:p>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332保定市徐水区水利局</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709"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13.50</w:t>
            </w: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13.50</w:t>
            </w: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水利局（行政）小计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3.00</w:t>
            </w: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3.00</w:t>
            </w: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50.26</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机动车保险服务</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C15040201</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辆</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水利局（事业）小计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10.50</w:t>
            </w: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10.50</w:t>
            </w: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139.89</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0.45</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4.50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4.50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139.89</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激光打印机</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A0201060102</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0.20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139.89</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空调机</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A0206180203</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1.50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1.50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139.89</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潜水电泵</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A02060111</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139.89</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潜水电泵</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A02060111</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上年末我部门固定资产总金额为507.63万元（详见下表）。</w:t>
      </w:r>
      <w:r>
        <w:rPr>
          <w:rFonts w:ascii="仿宋" w:hAnsi="仿宋" w:eastAsia="仿宋"/>
          <w:sz w:val="32"/>
          <w:szCs w:val="32"/>
        </w:rPr>
        <w:t xml:space="preserve"> 本年度拟购置固定资产总额为</w:t>
      </w:r>
      <w:r>
        <w:rPr>
          <w:rFonts w:hint="eastAsia" w:ascii="仿宋" w:hAnsi="仿宋" w:eastAsia="仿宋"/>
          <w:sz w:val="32"/>
          <w:szCs w:val="32"/>
        </w:rPr>
        <w:t>10.5</w:t>
      </w:r>
      <w:r>
        <w:rPr>
          <w:rFonts w:ascii="仿宋" w:hAnsi="仿宋" w:eastAsia="仿宋"/>
          <w:sz w:val="32"/>
          <w:szCs w:val="32"/>
        </w:rPr>
        <w:t>万元，已列入政府采购预算，详见政府采购预算表。</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507.63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16272</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62.85</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4772</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47.14</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10.41</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434.37</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29</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F1F"/>
    <w:rsid w:val="00013B8A"/>
    <w:rsid w:val="00015639"/>
    <w:rsid w:val="00044FBC"/>
    <w:rsid w:val="00055F1F"/>
    <w:rsid w:val="000577EF"/>
    <w:rsid w:val="00057F18"/>
    <w:rsid w:val="000A445D"/>
    <w:rsid w:val="000C178B"/>
    <w:rsid w:val="000F29B0"/>
    <w:rsid w:val="00131DEC"/>
    <w:rsid w:val="00136AB3"/>
    <w:rsid w:val="00143217"/>
    <w:rsid w:val="001462BD"/>
    <w:rsid w:val="00152380"/>
    <w:rsid w:val="001638BE"/>
    <w:rsid w:val="00172C7A"/>
    <w:rsid w:val="00177335"/>
    <w:rsid w:val="001779F5"/>
    <w:rsid w:val="00181777"/>
    <w:rsid w:val="001B4688"/>
    <w:rsid w:val="001B6235"/>
    <w:rsid w:val="001F4875"/>
    <w:rsid w:val="00212335"/>
    <w:rsid w:val="00232F8A"/>
    <w:rsid w:val="002918C6"/>
    <w:rsid w:val="00296524"/>
    <w:rsid w:val="002E01F6"/>
    <w:rsid w:val="002F1ACB"/>
    <w:rsid w:val="002F530F"/>
    <w:rsid w:val="00302F55"/>
    <w:rsid w:val="00305E97"/>
    <w:rsid w:val="00310532"/>
    <w:rsid w:val="0032782B"/>
    <w:rsid w:val="00340B3D"/>
    <w:rsid w:val="0034253A"/>
    <w:rsid w:val="00367A30"/>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F3C52"/>
    <w:rsid w:val="004F5FC0"/>
    <w:rsid w:val="00510A1E"/>
    <w:rsid w:val="00515432"/>
    <w:rsid w:val="005158E2"/>
    <w:rsid w:val="00524204"/>
    <w:rsid w:val="00550049"/>
    <w:rsid w:val="00570142"/>
    <w:rsid w:val="00586C35"/>
    <w:rsid w:val="005B19F6"/>
    <w:rsid w:val="005B1B6F"/>
    <w:rsid w:val="005B6CCB"/>
    <w:rsid w:val="005C54AA"/>
    <w:rsid w:val="005C7B89"/>
    <w:rsid w:val="005F4D9B"/>
    <w:rsid w:val="0062788A"/>
    <w:rsid w:val="00641F8A"/>
    <w:rsid w:val="0066383B"/>
    <w:rsid w:val="006734F7"/>
    <w:rsid w:val="006B5117"/>
    <w:rsid w:val="006C62DF"/>
    <w:rsid w:val="006F5104"/>
    <w:rsid w:val="006F6549"/>
    <w:rsid w:val="00734A15"/>
    <w:rsid w:val="00735B02"/>
    <w:rsid w:val="007657C8"/>
    <w:rsid w:val="00767A77"/>
    <w:rsid w:val="00771E49"/>
    <w:rsid w:val="00782208"/>
    <w:rsid w:val="00787DE9"/>
    <w:rsid w:val="00791938"/>
    <w:rsid w:val="007C631D"/>
    <w:rsid w:val="007C7FD7"/>
    <w:rsid w:val="007F3746"/>
    <w:rsid w:val="00833132"/>
    <w:rsid w:val="0086454E"/>
    <w:rsid w:val="008672EA"/>
    <w:rsid w:val="00891680"/>
    <w:rsid w:val="008A0099"/>
    <w:rsid w:val="008A0B5F"/>
    <w:rsid w:val="008B5402"/>
    <w:rsid w:val="008D11BC"/>
    <w:rsid w:val="008E2DDB"/>
    <w:rsid w:val="0090527E"/>
    <w:rsid w:val="00905BB7"/>
    <w:rsid w:val="0090620C"/>
    <w:rsid w:val="00912DA4"/>
    <w:rsid w:val="009302B8"/>
    <w:rsid w:val="009305C6"/>
    <w:rsid w:val="009752AE"/>
    <w:rsid w:val="00982F3D"/>
    <w:rsid w:val="009A0313"/>
    <w:rsid w:val="009A278A"/>
    <w:rsid w:val="00A140FA"/>
    <w:rsid w:val="00A16957"/>
    <w:rsid w:val="00A508DD"/>
    <w:rsid w:val="00A6155C"/>
    <w:rsid w:val="00A8079E"/>
    <w:rsid w:val="00A81A9C"/>
    <w:rsid w:val="00A90328"/>
    <w:rsid w:val="00A92D66"/>
    <w:rsid w:val="00AA3893"/>
    <w:rsid w:val="00AA4262"/>
    <w:rsid w:val="00AB5A90"/>
    <w:rsid w:val="00AB7449"/>
    <w:rsid w:val="00AE0A43"/>
    <w:rsid w:val="00AE0E3B"/>
    <w:rsid w:val="00AE4AA5"/>
    <w:rsid w:val="00AE6164"/>
    <w:rsid w:val="00AE7FA9"/>
    <w:rsid w:val="00B147EB"/>
    <w:rsid w:val="00B22155"/>
    <w:rsid w:val="00B31708"/>
    <w:rsid w:val="00B76AA9"/>
    <w:rsid w:val="00B80FAB"/>
    <w:rsid w:val="00B81C88"/>
    <w:rsid w:val="00B95D2B"/>
    <w:rsid w:val="00BA5C83"/>
    <w:rsid w:val="00BB3BF3"/>
    <w:rsid w:val="00BC6A7D"/>
    <w:rsid w:val="00BD11B5"/>
    <w:rsid w:val="00BD4829"/>
    <w:rsid w:val="00BD6002"/>
    <w:rsid w:val="00BD719F"/>
    <w:rsid w:val="00BF5442"/>
    <w:rsid w:val="00C06EAE"/>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17E34"/>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067D1"/>
    <w:rsid w:val="00F10D04"/>
    <w:rsid w:val="00F169E3"/>
    <w:rsid w:val="00F35D4B"/>
    <w:rsid w:val="00F3746B"/>
    <w:rsid w:val="00F4243E"/>
    <w:rsid w:val="00F572CB"/>
    <w:rsid w:val="00F621AF"/>
    <w:rsid w:val="00F8024E"/>
    <w:rsid w:val="00F82447"/>
    <w:rsid w:val="00F868E5"/>
    <w:rsid w:val="00F90553"/>
    <w:rsid w:val="00FB2F32"/>
    <w:rsid w:val="00FE0F1F"/>
    <w:rsid w:val="00FF61F3"/>
    <w:rsid w:val="3E8A02AD"/>
    <w:rsid w:val="573F70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26689-1E1A-45D3-90FB-F7469088F32D}">
  <ds:schemaRefs/>
</ds:datastoreItem>
</file>

<file path=docProps/app.xml><?xml version="1.0" encoding="utf-8"?>
<Properties xmlns="http://schemas.openxmlformats.org/officeDocument/2006/extended-properties" xmlns:vt="http://schemas.openxmlformats.org/officeDocument/2006/docPropsVTypes">
  <Template>Normal</Template>
  <Pages>29</Pages>
  <Words>2231</Words>
  <Characters>12723</Characters>
  <Lines>106</Lines>
  <Paragraphs>29</Paragraphs>
  <TotalTime>734</TotalTime>
  <ScaleCrop>false</ScaleCrop>
  <LinksUpToDate>false</LinksUpToDate>
  <CharactersWithSpaces>14925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Lenovo</cp:lastModifiedBy>
  <cp:lastPrinted>2019-02-19T07:03:00Z</cp:lastPrinted>
  <dcterms:modified xsi:type="dcterms:W3CDTF">2025-11-13T06:50:06Z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603E333F3FC047C28CD3FFB4ADD2504A</vt:lpwstr>
  </property>
</Properties>
</file>