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单位预算公开表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fldChar w:fldCharType="end"/>
      </w:r>
      <w:r>
        <w:rPr>
          <w:rFonts w:hint="eastAsia" w:asciiTheme="minorEastAsia" w:hAnsiTheme="minorEastAsia" w:eastAsiaTheme="minorEastAsia"/>
          <w:lang w:eastAsia="zh-CN"/>
        </w:rPr>
        <w:t>1</w:t>
      </w:r>
    </w:p>
    <w:p>
      <w:pPr>
        <w:pStyle w:val="3"/>
        <w:tabs>
          <w:tab w:val="right" w:leader="dot" w:pos="14562"/>
        </w:tabs>
      </w:pPr>
      <w:r>
        <w:fldChar w:fldCharType="begin"/>
      </w:r>
      <w:r>
        <w:instrText xml:space="preserve"> HYPERLINK \l "_Toc_2_2_0000000002" </w:instrText>
      </w:r>
      <w:r>
        <w:fldChar w:fldCharType="separate"/>
      </w:r>
      <w:r>
        <w:t>单位预算收入总表</w:t>
      </w:r>
      <w:r>
        <w:tab/>
      </w:r>
      <w:r>
        <w:fldChar w:fldCharType="end"/>
      </w:r>
      <w:r>
        <w:rPr>
          <w:rFonts w:hint="eastAsia" w:asciiTheme="minorEastAsia" w:hAnsiTheme="minorEastAsia" w:eastAsiaTheme="minorEastAsia"/>
          <w:lang w:eastAsia="zh-CN"/>
        </w:rPr>
        <w:t>3</w:t>
      </w:r>
    </w:p>
    <w:p>
      <w:pPr>
        <w:pStyle w:val="3"/>
        <w:tabs>
          <w:tab w:val="right" w:leader="dot" w:pos="14562"/>
        </w:tabs>
      </w:pPr>
      <w:r>
        <w:fldChar w:fldCharType="begin"/>
      </w:r>
      <w:r>
        <w:instrText xml:space="preserve"> HYPERLINK \l "_Toc_2_2_0000000003" </w:instrText>
      </w:r>
      <w:r>
        <w:fldChar w:fldCharType="separate"/>
      </w:r>
      <w:r>
        <w:t>单位预算支出总表</w:t>
      </w:r>
      <w:r>
        <w:tab/>
      </w:r>
      <w:r>
        <w:fldChar w:fldCharType="end"/>
      </w:r>
      <w:r>
        <w:rPr>
          <w:rFonts w:hint="eastAsia" w:asciiTheme="minorEastAsia" w:hAnsiTheme="minorEastAsia" w:eastAsiaTheme="minorEastAsia"/>
          <w:lang w:eastAsia="zh-CN"/>
        </w:rPr>
        <w:t>5</w:t>
      </w:r>
    </w:p>
    <w:p>
      <w:pPr>
        <w:pStyle w:val="3"/>
        <w:tabs>
          <w:tab w:val="right" w:leader="dot" w:pos="14562"/>
        </w:tabs>
      </w:pPr>
      <w:r>
        <w:fldChar w:fldCharType="begin"/>
      </w:r>
      <w:r>
        <w:instrText xml:space="preserve"> HYPERLINK \l "_Toc_2_2_0000000004" </w:instrText>
      </w:r>
      <w:r>
        <w:fldChar w:fldCharType="separate"/>
      </w:r>
      <w:r>
        <w:t>单位预算财政拨款收支总表</w:t>
      </w:r>
      <w:r>
        <w:tab/>
      </w:r>
      <w:r>
        <w:fldChar w:fldCharType="end"/>
      </w:r>
      <w:r>
        <w:rPr>
          <w:rFonts w:hint="eastAsia" w:asciiTheme="minorEastAsia" w:hAnsiTheme="minorEastAsia" w:eastAsiaTheme="minorEastAsia"/>
          <w:lang w:eastAsia="zh-CN"/>
        </w:rPr>
        <w:t>7</w:t>
      </w:r>
    </w:p>
    <w:p>
      <w:pPr>
        <w:pStyle w:val="3"/>
        <w:tabs>
          <w:tab w:val="right" w:leader="dot" w:pos="14562"/>
        </w:tabs>
      </w:pPr>
      <w:r>
        <w:fldChar w:fldCharType="begin"/>
      </w:r>
      <w:r>
        <w:instrText xml:space="preserve"> HYPERLINK \l "_Toc_2_2_0000000005" </w:instrText>
      </w:r>
      <w:r>
        <w:fldChar w:fldCharType="separate"/>
      </w:r>
      <w:r>
        <w:t>单位预算一般公共预算财政拨款支出表</w:t>
      </w:r>
      <w:r>
        <w:tab/>
      </w:r>
      <w:r>
        <w:fldChar w:fldCharType="end"/>
      </w:r>
      <w:r>
        <w:rPr>
          <w:rFonts w:hint="eastAsia" w:asciiTheme="minorEastAsia" w:hAnsiTheme="minorEastAsia" w:eastAsiaTheme="minorEastAsia"/>
          <w:lang w:eastAsia="zh-CN"/>
        </w:rPr>
        <w:t>9</w:t>
      </w:r>
    </w:p>
    <w:p>
      <w:pPr>
        <w:pStyle w:val="3"/>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end"/>
      </w:r>
      <w:r>
        <w:rPr>
          <w:rFonts w:hint="eastAsia" w:asciiTheme="minorEastAsia" w:hAnsiTheme="minorEastAsia" w:eastAsiaTheme="minorEastAsia"/>
          <w:lang w:eastAsia="zh-CN"/>
        </w:rPr>
        <w:t>11</w:t>
      </w:r>
    </w:p>
    <w:p>
      <w:pPr>
        <w:pStyle w:val="3"/>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fldChar w:fldCharType="end"/>
      </w:r>
      <w:r>
        <w:rPr>
          <w:rFonts w:hint="eastAsia" w:asciiTheme="minorEastAsia" w:hAnsiTheme="minorEastAsia" w:eastAsiaTheme="minorEastAsia"/>
          <w:lang w:eastAsia="zh-CN"/>
        </w:rPr>
        <w:t>13</w:t>
      </w:r>
    </w:p>
    <w:p>
      <w:pPr>
        <w:pStyle w:val="3"/>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end"/>
      </w:r>
      <w:r>
        <w:rPr>
          <w:rFonts w:hint="eastAsia" w:asciiTheme="minorEastAsia" w:hAnsiTheme="minorEastAsia" w:eastAsiaTheme="minorEastAsia"/>
          <w:lang w:eastAsia="zh-CN"/>
        </w:rPr>
        <w:t>14</w:t>
      </w:r>
    </w:p>
    <w:p>
      <w:pPr>
        <w:pStyle w:val="3"/>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end"/>
      </w:r>
      <w:r>
        <w:rPr>
          <w:rFonts w:hint="eastAsia" w:asciiTheme="minorEastAsia" w:hAnsiTheme="minorEastAsia" w:eastAsiaTheme="minorEastAsia"/>
          <w:lang w:eastAsia="zh-CN"/>
        </w:rPr>
        <w:t>15</w:t>
      </w:r>
    </w:p>
    <w:p>
      <w:r>
        <w:fldChar w:fldCharType="end"/>
      </w:r>
    </w:p>
    <w:p>
      <w:r>
        <w:rPr>
          <w:rFonts w:ascii="方正楷体_GBK" w:hAnsi="方正楷体_GBK" w:eastAsia="方正楷体_GBK" w:cs="方正楷体_GBK"/>
          <w:b/>
          <w:color w:val="000000"/>
          <w:sz w:val="28"/>
        </w:rPr>
        <w:t>单位预算信息公开情况说明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fldChar w:fldCharType="end"/>
      </w:r>
      <w:r>
        <w:rPr>
          <w:rFonts w:hint="eastAsia" w:asciiTheme="minorEastAsia" w:hAnsiTheme="minorEastAsia" w:eastAsiaTheme="minorEastAsia"/>
          <w:lang w:eastAsia="zh-CN"/>
        </w:rPr>
        <w:t>16</w:t>
      </w:r>
    </w:p>
    <w:p>
      <w:pPr>
        <w:pStyle w:val="3"/>
        <w:tabs>
          <w:tab w:val="right" w:leader="dot" w:pos="14562"/>
        </w:tabs>
      </w:pPr>
      <w:r>
        <w:fldChar w:fldCharType="begin"/>
      </w:r>
      <w:r>
        <w:instrText xml:space="preserve"> HYPERLINK \l "_Toc_3_3_0000000011" </w:instrText>
      </w:r>
      <w:r>
        <w:fldChar w:fldCharType="separate"/>
      </w:r>
      <w:r>
        <w:t>二、单位预算安排的总体情况</w:t>
      </w:r>
      <w:r>
        <w:tab/>
      </w:r>
      <w:r>
        <w:fldChar w:fldCharType="end"/>
      </w:r>
      <w:r>
        <w:rPr>
          <w:rFonts w:hint="eastAsia" w:asciiTheme="minorEastAsia" w:hAnsiTheme="minorEastAsia" w:eastAsiaTheme="minorEastAsia"/>
          <w:lang w:eastAsia="zh-CN"/>
        </w:rPr>
        <w:t>17</w:t>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asciiTheme="minorEastAsia" w:hAnsiTheme="minorEastAsia" w:eastAsiaTheme="minorEastAsia"/>
          <w:lang w:eastAsia="zh-CN"/>
        </w:rPr>
        <w:t>18</w:t>
      </w:r>
      <w:r>
        <w:rPr>
          <w:rFonts w:hint="eastAsia" w:asciiTheme="minorEastAsia" w:hAnsiTheme="minorEastAsia" w:eastAsiaTheme="minorEastAsia"/>
          <w:lang w:eastAsia="zh-CN"/>
        </w:rP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asciiTheme="minorEastAsia" w:hAnsiTheme="minorEastAsia" w:eastAsiaTheme="minorEastAsia"/>
          <w:lang w:eastAsia="zh-CN"/>
        </w:rPr>
        <w:t>18</w:t>
      </w:r>
      <w:r>
        <w:rPr>
          <w:rFonts w:hint="eastAsia" w:asciiTheme="minorEastAsia" w:hAnsiTheme="minorEastAsia" w:eastAsiaTheme="minorEastAsia"/>
          <w:lang w:eastAsia="zh-CN"/>
        </w:rPr>
        <w:fldChar w:fldCharType="end"/>
      </w:r>
    </w:p>
    <w:p>
      <w:pPr>
        <w:pStyle w:val="3"/>
        <w:tabs>
          <w:tab w:val="right" w:leader="dot" w:pos="14562"/>
        </w:tabs>
      </w:pPr>
      <w:r>
        <w:fldChar w:fldCharType="begin"/>
      </w:r>
      <w:r>
        <w:instrText xml:space="preserve"> HYPERLINK \l "_Toc_3_3_0000000014" </w:instrText>
      </w:r>
      <w:r>
        <w:fldChar w:fldCharType="separate"/>
      </w:r>
      <w:r>
        <w:t>五、单位整体绩效目标</w:t>
      </w:r>
      <w:r>
        <w:tab/>
      </w:r>
      <w:r>
        <w:rPr>
          <w:rFonts w:hint="eastAsia" w:asciiTheme="minorEastAsia" w:hAnsiTheme="minorEastAsia" w:eastAsiaTheme="minorEastAsia"/>
          <w:lang w:eastAsia="zh-CN"/>
        </w:rPr>
        <w:t>18</w:t>
      </w:r>
      <w:r>
        <w:rPr>
          <w:rFonts w:hint="eastAsia" w:asciiTheme="minorEastAsia" w:hAnsiTheme="minorEastAsia" w:eastAsiaTheme="minorEastAsia"/>
          <w:lang w:eastAsia="zh-CN"/>
        </w:rPr>
        <w:fldChar w:fldCharType="end"/>
      </w:r>
    </w:p>
    <w:p>
      <w:pPr>
        <w:pStyle w:val="3"/>
        <w:tabs>
          <w:tab w:val="right" w:leader="dot" w:pos="14562"/>
        </w:tabs>
      </w:pPr>
      <w:r>
        <w:fldChar w:fldCharType="begin"/>
      </w:r>
      <w:r>
        <w:instrText xml:space="preserve"> HYPERLINK \l "_Toc_3_3_0000000015" </w:instrText>
      </w:r>
      <w:r>
        <w:fldChar w:fldCharType="separate"/>
      </w:r>
      <w:r>
        <w:t>六、单位主管专项资金预算安排情况及绩效目标</w:t>
      </w:r>
      <w:r>
        <w:tab/>
      </w:r>
      <w:r>
        <w:rPr>
          <w:rFonts w:hint="eastAsia" w:asciiTheme="minorEastAsia" w:hAnsiTheme="minorEastAsia" w:eastAsiaTheme="minorEastAsia"/>
          <w:lang w:eastAsia="zh-CN"/>
        </w:rPr>
        <w:t>22</w:t>
      </w:r>
      <w:r>
        <w:rPr>
          <w:rFonts w:hint="eastAsia" w:asciiTheme="minorEastAsia" w:hAnsiTheme="minorEastAsia" w:eastAsiaTheme="minorEastAsia"/>
          <w:lang w:eastAsia="zh-CN"/>
        </w:rPr>
        <w:fldChar w:fldCharType="end"/>
      </w:r>
    </w:p>
    <w:p>
      <w:pPr>
        <w:pStyle w:val="3"/>
        <w:tabs>
          <w:tab w:val="right" w:leader="dot" w:pos="14562"/>
        </w:tabs>
      </w:pPr>
      <w:r>
        <w:fldChar w:fldCharType="begin"/>
      </w:r>
      <w:r>
        <w:instrText xml:space="preserve"> HYPERLINK \l "_Toc_3_3_0000000016" </w:instrText>
      </w:r>
      <w:r>
        <w:fldChar w:fldCharType="separate"/>
      </w:r>
      <w:r>
        <w:t>七、单位项目预算安排情况及绩效目标</w:t>
      </w:r>
      <w:r>
        <w:tab/>
      </w:r>
      <w:r>
        <w:rPr>
          <w:rFonts w:hint="eastAsia" w:asciiTheme="minorEastAsia" w:hAnsiTheme="minorEastAsia" w:eastAsiaTheme="minorEastAsia"/>
          <w:lang w:eastAsia="zh-CN"/>
        </w:rPr>
        <w:t>23</w:t>
      </w:r>
      <w:r>
        <w:rPr>
          <w:rFonts w:hint="eastAsia" w:asciiTheme="minorEastAsia" w:hAnsiTheme="minorEastAsia" w:eastAsiaTheme="minorEastAsia"/>
          <w:lang w:eastAsia="zh-CN"/>
        </w:rP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rPr>
          <w:rFonts w:hint="eastAsia" w:asciiTheme="minorEastAsia" w:hAnsiTheme="minorEastAsia" w:eastAsiaTheme="minorEastAsia"/>
          <w:lang w:eastAsia="zh-CN"/>
        </w:rPr>
        <w:t>33</w:t>
      </w:r>
      <w:r>
        <w:rPr>
          <w:rFonts w:hint="eastAsia" w:asciiTheme="minorEastAsia" w:hAnsiTheme="minorEastAsia" w:eastAsiaTheme="minorEastAsia"/>
          <w:lang w:eastAsia="zh-CN"/>
        </w:rP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rPr>
          <w:rFonts w:hint="eastAsia" w:asciiTheme="minorEastAsia" w:hAnsiTheme="minorEastAsia" w:eastAsiaTheme="minorEastAsia"/>
          <w:lang w:eastAsia="zh-CN"/>
        </w:rPr>
        <w:t>33</w:t>
      </w:r>
      <w:r>
        <w:rPr>
          <w:rFonts w:hint="eastAsia" w:asciiTheme="minorEastAsia" w:hAnsiTheme="minorEastAsia" w:eastAsiaTheme="minorEastAsia"/>
          <w:lang w:eastAsia="zh-CN"/>
        </w:rP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rPr>
          <w:rFonts w:hint="eastAsia" w:asciiTheme="minorEastAsia" w:hAnsiTheme="minorEastAsia" w:eastAsiaTheme="minorEastAsia"/>
          <w:lang w:eastAsia="zh-CN"/>
        </w:rPr>
        <w:t>34</w:t>
      </w:r>
      <w:r>
        <w:rPr>
          <w:rFonts w:hint="eastAsia" w:asciiTheme="minorEastAsia" w:hAnsiTheme="minorEastAsia" w:eastAsiaTheme="minorEastAsia"/>
          <w:lang w:eastAsia="zh-CN"/>
        </w:rP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rPr>
          <w:rFonts w:hint="eastAsia" w:asciiTheme="minorEastAsia" w:hAnsiTheme="minorEastAsia" w:eastAsiaTheme="minorEastAsia"/>
          <w:lang w:eastAsia="zh-CN"/>
        </w:rPr>
        <w:t>35</w:t>
      </w:r>
      <w:r>
        <w:rPr>
          <w:rFonts w:hint="eastAsia" w:asciiTheme="minorEastAsia" w:hAnsiTheme="minorEastAsia" w:eastAsiaTheme="minorEastAsia"/>
          <w:lang w:eastAsia="zh-CN"/>
        </w:rP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4"/>
      </w:pPr>
      <w:r>
        <w:rPr>
          <w:rFonts w:ascii="方正小标宋_GBK" w:hAnsi="方正小标宋_GBK" w:eastAsia="方正小标宋_GBK" w:cs="方正小标宋_GBK"/>
          <w:color w:val="000000"/>
          <w:sz w:val="36"/>
        </w:rPr>
        <w:t>单位预算收支总表</w:t>
      </w:r>
    </w:p>
    <w:tbl>
      <w:tblPr>
        <w:tblStyle w:val="5"/>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450001保定市徐水区医疗保障局本级</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2"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6"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6" w:type="dxa"/>
            <w:vAlign w:val="center"/>
          </w:tcPr>
          <w:p>
            <w:pPr>
              <w:pStyle w:val="13"/>
            </w:pPr>
            <w:r>
              <w:t>一、一般公共预算拨款收入</w:t>
            </w:r>
          </w:p>
        </w:tc>
        <w:tc>
          <w:tcPr>
            <w:tcW w:w="2126" w:type="dxa"/>
            <w:vAlign w:val="center"/>
          </w:tcPr>
          <w:p>
            <w:pPr>
              <w:pStyle w:val="12"/>
            </w:pPr>
            <w:r>
              <w:t>552.12</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6"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6"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6"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6"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475.04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29.75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6" w:type="dxa"/>
            <w:vAlign w:val="center"/>
          </w:tcPr>
          <w:p>
            <w:pPr>
              <w:pStyle w:val="15"/>
            </w:pPr>
            <w:r>
              <w:t>本年收入合计</w:t>
            </w:r>
          </w:p>
        </w:tc>
        <w:tc>
          <w:tcPr>
            <w:tcW w:w="2126" w:type="dxa"/>
            <w:vAlign w:val="center"/>
          </w:tcPr>
          <w:p>
            <w:pPr>
              <w:pStyle w:val="16"/>
            </w:pPr>
            <w:r>
              <w:t>552.12</w:t>
            </w:r>
          </w:p>
        </w:tc>
        <w:tc>
          <w:tcPr>
            <w:tcW w:w="4535" w:type="dxa"/>
            <w:vAlign w:val="center"/>
          </w:tcPr>
          <w:p>
            <w:pPr>
              <w:pStyle w:val="15"/>
            </w:pPr>
            <w:r>
              <w:t>本年支出合计</w:t>
            </w:r>
          </w:p>
        </w:tc>
        <w:tc>
          <w:tcPr>
            <w:tcW w:w="2126" w:type="dxa"/>
            <w:vAlign w:val="center"/>
          </w:tcPr>
          <w:p>
            <w:pPr>
              <w:pStyle w:val="16"/>
            </w:pPr>
            <w:r>
              <w:t>552.12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6"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6" w:type="dxa"/>
            <w:vAlign w:val="center"/>
          </w:tcPr>
          <w:p>
            <w:pPr>
              <w:pStyle w:val="15"/>
            </w:pPr>
            <w:r>
              <w:t>收入总计</w:t>
            </w:r>
          </w:p>
        </w:tc>
        <w:tc>
          <w:tcPr>
            <w:tcW w:w="2126" w:type="dxa"/>
            <w:vAlign w:val="center"/>
          </w:tcPr>
          <w:p>
            <w:pPr>
              <w:pStyle w:val="16"/>
            </w:pPr>
            <w:r>
              <w:t>552.12</w:t>
            </w:r>
          </w:p>
        </w:tc>
        <w:tc>
          <w:tcPr>
            <w:tcW w:w="4535" w:type="dxa"/>
            <w:vAlign w:val="center"/>
          </w:tcPr>
          <w:p>
            <w:pPr>
              <w:pStyle w:val="15"/>
            </w:pPr>
            <w:r>
              <w:t>支出总计</w:t>
            </w:r>
          </w:p>
        </w:tc>
        <w:tc>
          <w:tcPr>
            <w:tcW w:w="2126" w:type="dxa"/>
            <w:vAlign w:val="center"/>
          </w:tcPr>
          <w:p>
            <w:pPr>
              <w:pStyle w:val="16"/>
            </w:pPr>
            <w:r>
              <w:t>552.12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5"/>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450001保定市徐水区医疗保障局本级</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552.12</w:t>
            </w:r>
          </w:p>
        </w:tc>
        <w:tc>
          <w:tcPr>
            <w:tcW w:w="1134" w:type="dxa"/>
            <w:vAlign w:val="center"/>
          </w:tcPr>
          <w:p>
            <w:pPr>
              <w:pStyle w:val="16"/>
            </w:pPr>
            <w:r>
              <w:t>552.12</w:t>
            </w:r>
          </w:p>
        </w:tc>
        <w:tc>
          <w:tcPr>
            <w:tcW w:w="1134" w:type="dxa"/>
            <w:vAlign w:val="center"/>
          </w:tcPr>
          <w:p>
            <w:pPr>
              <w:pStyle w:val="16"/>
            </w:pPr>
            <w:r>
              <w:t>552.12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47.33</w:t>
            </w:r>
          </w:p>
        </w:tc>
        <w:tc>
          <w:tcPr>
            <w:tcW w:w="1134" w:type="dxa"/>
            <w:vAlign w:val="center"/>
          </w:tcPr>
          <w:p>
            <w:pPr>
              <w:pStyle w:val="12"/>
            </w:pPr>
            <w:r>
              <w:t>47.33</w:t>
            </w:r>
          </w:p>
        </w:tc>
        <w:tc>
          <w:tcPr>
            <w:tcW w:w="1134" w:type="dxa"/>
            <w:vAlign w:val="center"/>
          </w:tcPr>
          <w:p>
            <w:pPr>
              <w:pStyle w:val="12"/>
            </w:pPr>
            <w:r>
              <w:t>47.33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46.97</w:t>
            </w:r>
          </w:p>
        </w:tc>
        <w:tc>
          <w:tcPr>
            <w:tcW w:w="1134" w:type="dxa"/>
            <w:vAlign w:val="center"/>
          </w:tcPr>
          <w:p>
            <w:pPr>
              <w:pStyle w:val="12"/>
            </w:pPr>
            <w:r>
              <w:t>46.97</w:t>
            </w:r>
          </w:p>
        </w:tc>
        <w:tc>
          <w:tcPr>
            <w:tcW w:w="1134" w:type="dxa"/>
            <w:vAlign w:val="center"/>
          </w:tcPr>
          <w:p>
            <w:pPr>
              <w:pStyle w:val="12"/>
            </w:pPr>
            <w:r>
              <w:t>46.97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10.13</w:t>
            </w:r>
          </w:p>
        </w:tc>
        <w:tc>
          <w:tcPr>
            <w:tcW w:w="1134" w:type="dxa"/>
            <w:vAlign w:val="center"/>
          </w:tcPr>
          <w:p>
            <w:pPr>
              <w:pStyle w:val="12"/>
            </w:pPr>
            <w:r>
              <w:t>10.13</w:t>
            </w:r>
          </w:p>
        </w:tc>
        <w:tc>
          <w:tcPr>
            <w:tcW w:w="1134" w:type="dxa"/>
            <w:vAlign w:val="center"/>
          </w:tcPr>
          <w:p>
            <w:pPr>
              <w:pStyle w:val="12"/>
            </w:pPr>
            <w:r>
              <w:t>10.13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36.13</w:t>
            </w:r>
          </w:p>
        </w:tc>
        <w:tc>
          <w:tcPr>
            <w:tcW w:w="1134" w:type="dxa"/>
            <w:vAlign w:val="center"/>
          </w:tcPr>
          <w:p>
            <w:pPr>
              <w:pStyle w:val="12"/>
            </w:pPr>
            <w:r>
              <w:t>36.13</w:t>
            </w:r>
          </w:p>
        </w:tc>
        <w:tc>
          <w:tcPr>
            <w:tcW w:w="1134" w:type="dxa"/>
            <w:vAlign w:val="center"/>
          </w:tcPr>
          <w:p>
            <w:pPr>
              <w:pStyle w:val="12"/>
            </w:pPr>
            <w:r>
              <w:t>36.13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0.71</w:t>
            </w:r>
          </w:p>
        </w:tc>
        <w:tc>
          <w:tcPr>
            <w:tcW w:w="1134" w:type="dxa"/>
            <w:vAlign w:val="center"/>
          </w:tcPr>
          <w:p>
            <w:pPr>
              <w:pStyle w:val="12"/>
            </w:pPr>
            <w:r>
              <w:t>0.71</w:t>
            </w:r>
          </w:p>
        </w:tc>
        <w:tc>
          <w:tcPr>
            <w:tcW w:w="1134" w:type="dxa"/>
            <w:vAlign w:val="center"/>
          </w:tcPr>
          <w:p>
            <w:pPr>
              <w:pStyle w:val="12"/>
            </w:pPr>
            <w:r>
              <w:t>0.71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0.36</w:t>
            </w:r>
          </w:p>
        </w:tc>
        <w:tc>
          <w:tcPr>
            <w:tcW w:w="1134" w:type="dxa"/>
            <w:vAlign w:val="center"/>
          </w:tcPr>
          <w:p>
            <w:pPr>
              <w:pStyle w:val="12"/>
            </w:pPr>
            <w:r>
              <w:t>0.36</w:t>
            </w:r>
          </w:p>
        </w:tc>
        <w:tc>
          <w:tcPr>
            <w:tcW w:w="1134" w:type="dxa"/>
            <w:vAlign w:val="center"/>
          </w:tcPr>
          <w:p>
            <w:pPr>
              <w:pStyle w:val="12"/>
            </w:pPr>
            <w:r>
              <w:t>0.36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0.36</w:t>
            </w:r>
          </w:p>
        </w:tc>
        <w:tc>
          <w:tcPr>
            <w:tcW w:w="1134" w:type="dxa"/>
            <w:vAlign w:val="center"/>
          </w:tcPr>
          <w:p>
            <w:pPr>
              <w:pStyle w:val="12"/>
            </w:pPr>
            <w:r>
              <w:t>0.36</w:t>
            </w:r>
          </w:p>
        </w:tc>
        <w:tc>
          <w:tcPr>
            <w:tcW w:w="1134" w:type="dxa"/>
            <w:vAlign w:val="center"/>
          </w:tcPr>
          <w:p>
            <w:pPr>
              <w:pStyle w:val="12"/>
            </w:pPr>
            <w:r>
              <w:t>0.36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475.04</w:t>
            </w:r>
          </w:p>
        </w:tc>
        <w:tc>
          <w:tcPr>
            <w:tcW w:w="1134" w:type="dxa"/>
            <w:vAlign w:val="center"/>
          </w:tcPr>
          <w:p>
            <w:pPr>
              <w:pStyle w:val="12"/>
            </w:pPr>
            <w:r>
              <w:t>475.04</w:t>
            </w:r>
          </w:p>
        </w:tc>
        <w:tc>
          <w:tcPr>
            <w:tcW w:w="1134" w:type="dxa"/>
            <w:vAlign w:val="center"/>
          </w:tcPr>
          <w:p>
            <w:pPr>
              <w:pStyle w:val="12"/>
            </w:pPr>
            <w:r>
              <w:t>475.04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19.04</w:t>
            </w:r>
          </w:p>
        </w:tc>
        <w:tc>
          <w:tcPr>
            <w:tcW w:w="1134" w:type="dxa"/>
            <w:vAlign w:val="center"/>
          </w:tcPr>
          <w:p>
            <w:pPr>
              <w:pStyle w:val="12"/>
            </w:pPr>
            <w:r>
              <w:t>19.04</w:t>
            </w:r>
          </w:p>
        </w:tc>
        <w:tc>
          <w:tcPr>
            <w:tcW w:w="1134" w:type="dxa"/>
            <w:vAlign w:val="center"/>
          </w:tcPr>
          <w:p>
            <w:pPr>
              <w:pStyle w:val="12"/>
            </w:pPr>
            <w:r>
              <w:t>19.04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12.04</w:t>
            </w:r>
          </w:p>
        </w:tc>
        <w:tc>
          <w:tcPr>
            <w:tcW w:w="1134" w:type="dxa"/>
            <w:vAlign w:val="center"/>
          </w:tcPr>
          <w:p>
            <w:pPr>
              <w:pStyle w:val="12"/>
            </w:pPr>
            <w:r>
              <w:t>12.04</w:t>
            </w:r>
          </w:p>
        </w:tc>
        <w:tc>
          <w:tcPr>
            <w:tcW w:w="1134" w:type="dxa"/>
            <w:vAlign w:val="center"/>
          </w:tcPr>
          <w:p>
            <w:pPr>
              <w:pStyle w:val="12"/>
            </w:pPr>
            <w:r>
              <w:t>12.04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21015</w:t>
            </w:r>
          </w:p>
        </w:tc>
        <w:tc>
          <w:tcPr>
            <w:tcW w:w="1559" w:type="dxa"/>
            <w:vAlign w:val="center"/>
          </w:tcPr>
          <w:p>
            <w:pPr>
              <w:pStyle w:val="13"/>
            </w:pPr>
            <w:r>
              <w:t>医疗保障管理事务</w:t>
            </w:r>
          </w:p>
        </w:tc>
        <w:tc>
          <w:tcPr>
            <w:tcW w:w="1134" w:type="dxa"/>
            <w:vAlign w:val="center"/>
          </w:tcPr>
          <w:p>
            <w:pPr>
              <w:pStyle w:val="12"/>
            </w:pPr>
            <w:r>
              <w:t>456.00</w:t>
            </w:r>
          </w:p>
        </w:tc>
        <w:tc>
          <w:tcPr>
            <w:tcW w:w="1134" w:type="dxa"/>
            <w:vAlign w:val="center"/>
          </w:tcPr>
          <w:p>
            <w:pPr>
              <w:pStyle w:val="12"/>
            </w:pPr>
            <w:r>
              <w:t>456.00</w:t>
            </w:r>
          </w:p>
        </w:tc>
        <w:tc>
          <w:tcPr>
            <w:tcW w:w="1134" w:type="dxa"/>
            <w:vAlign w:val="center"/>
          </w:tcPr>
          <w:p>
            <w:pPr>
              <w:pStyle w:val="12"/>
            </w:pPr>
            <w:r>
              <w:t>456.00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2101501</w:t>
            </w:r>
          </w:p>
        </w:tc>
        <w:tc>
          <w:tcPr>
            <w:tcW w:w="1559" w:type="dxa"/>
            <w:vAlign w:val="center"/>
          </w:tcPr>
          <w:p>
            <w:pPr>
              <w:pStyle w:val="13"/>
            </w:pPr>
            <w:r>
              <w:t>行政运行</w:t>
            </w:r>
          </w:p>
        </w:tc>
        <w:tc>
          <w:tcPr>
            <w:tcW w:w="1134" w:type="dxa"/>
            <w:vAlign w:val="center"/>
          </w:tcPr>
          <w:p>
            <w:pPr>
              <w:pStyle w:val="12"/>
            </w:pPr>
            <w:r>
              <w:t>130.39</w:t>
            </w:r>
          </w:p>
        </w:tc>
        <w:tc>
          <w:tcPr>
            <w:tcW w:w="1134" w:type="dxa"/>
            <w:vAlign w:val="center"/>
          </w:tcPr>
          <w:p>
            <w:pPr>
              <w:pStyle w:val="12"/>
            </w:pPr>
            <w:r>
              <w:t>130.39</w:t>
            </w:r>
          </w:p>
        </w:tc>
        <w:tc>
          <w:tcPr>
            <w:tcW w:w="1134" w:type="dxa"/>
            <w:vAlign w:val="center"/>
          </w:tcPr>
          <w:p>
            <w:pPr>
              <w:pStyle w:val="12"/>
            </w:pPr>
            <w:r>
              <w:t>130.39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2101502</w:t>
            </w:r>
          </w:p>
        </w:tc>
        <w:tc>
          <w:tcPr>
            <w:tcW w:w="1559" w:type="dxa"/>
            <w:vAlign w:val="center"/>
          </w:tcPr>
          <w:p>
            <w:pPr>
              <w:pStyle w:val="13"/>
            </w:pPr>
            <w:r>
              <w:t>一般行政管理事务</w:t>
            </w:r>
          </w:p>
        </w:tc>
        <w:tc>
          <w:tcPr>
            <w:tcW w:w="1134" w:type="dxa"/>
            <w:vAlign w:val="center"/>
          </w:tcPr>
          <w:p>
            <w:pPr>
              <w:pStyle w:val="12"/>
            </w:pPr>
            <w:r>
              <w:t>41.31</w:t>
            </w:r>
          </w:p>
        </w:tc>
        <w:tc>
          <w:tcPr>
            <w:tcW w:w="1134" w:type="dxa"/>
            <w:vAlign w:val="center"/>
          </w:tcPr>
          <w:p>
            <w:pPr>
              <w:pStyle w:val="12"/>
            </w:pPr>
            <w:r>
              <w:t>41.31</w:t>
            </w:r>
          </w:p>
        </w:tc>
        <w:tc>
          <w:tcPr>
            <w:tcW w:w="1134" w:type="dxa"/>
            <w:vAlign w:val="center"/>
          </w:tcPr>
          <w:p>
            <w:pPr>
              <w:pStyle w:val="12"/>
            </w:pPr>
            <w:r>
              <w:t>41.31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2101505</w:t>
            </w:r>
          </w:p>
        </w:tc>
        <w:tc>
          <w:tcPr>
            <w:tcW w:w="1559" w:type="dxa"/>
            <w:vAlign w:val="center"/>
          </w:tcPr>
          <w:p>
            <w:pPr>
              <w:pStyle w:val="13"/>
            </w:pPr>
            <w:r>
              <w:t>医疗保障政策管理</w:t>
            </w:r>
          </w:p>
        </w:tc>
        <w:tc>
          <w:tcPr>
            <w:tcW w:w="1134" w:type="dxa"/>
            <w:vAlign w:val="center"/>
          </w:tcPr>
          <w:p>
            <w:pPr>
              <w:pStyle w:val="12"/>
            </w:pPr>
            <w:r>
              <w:t>33.01</w:t>
            </w:r>
          </w:p>
        </w:tc>
        <w:tc>
          <w:tcPr>
            <w:tcW w:w="1134" w:type="dxa"/>
            <w:vAlign w:val="center"/>
          </w:tcPr>
          <w:p>
            <w:pPr>
              <w:pStyle w:val="12"/>
            </w:pPr>
            <w:r>
              <w:t>33.01</w:t>
            </w:r>
          </w:p>
        </w:tc>
        <w:tc>
          <w:tcPr>
            <w:tcW w:w="1134" w:type="dxa"/>
            <w:vAlign w:val="center"/>
          </w:tcPr>
          <w:p>
            <w:pPr>
              <w:pStyle w:val="12"/>
            </w:pPr>
            <w:r>
              <w:t>33.01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2101550</w:t>
            </w:r>
          </w:p>
        </w:tc>
        <w:tc>
          <w:tcPr>
            <w:tcW w:w="1559" w:type="dxa"/>
            <w:vAlign w:val="center"/>
          </w:tcPr>
          <w:p>
            <w:pPr>
              <w:pStyle w:val="13"/>
            </w:pPr>
            <w:r>
              <w:t>事业运行</w:t>
            </w:r>
          </w:p>
        </w:tc>
        <w:tc>
          <w:tcPr>
            <w:tcW w:w="1134" w:type="dxa"/>
            <w:vAlign w:val="center"/>
          </w:tcPr>
          <w:p>
            <w:pPr>
              <w:pStyle w:val="12"/>
            </w:pPr>
            <w:r>
              <w:t>213.29</w:t>
            </w:r>
          </w:p>
        </w:tc>
        <w:tc>
          <w:tcPr>
            <w:tcW w:w="1134" w:type="dxa"/>
            <w:vAlign w:val="center"/>
          </w:tcPr>
          <w:p>
            <w:pPr>
              <w:pStyle w:val="12"/>
            </w:pPr>
            <w:r>
              <w:t>213.29</w:t>
            </w:r>
          </w:p>
        </w:tc>
        <w:tc>
          <w:tcPr>
            <w:tcW w:w="1134" w:type="dxa"/>
            <w:vAlign w:val="center"/>
          </w:tcPr>
          <w:p>
            <w:pPr>
              <w:pStyle w:val="12"/>
            </w:pPr>
            <w:r>
              <w:t>213.29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2101599</w:t>
            </w:r>
          </w:p>
        </w:tc>
        <w:tc>
          <w:tcPr>
            <w:tcW w:w="1559" w:type="dxa"/>
            <w:vAlign w:val="center"/>
          </w:tcPr>
          <w:p>
            <w:pPr>
              <w:pStyle w:val="13"/>
            </w:pPr>
            <w:r>
              <w:t>其他医疗保障管理事务支出</w:t>
            </w:r>
          </w:p>
        </w:tc>
        <w:tc>
          <w:tcPr>
            <w:tcW w:w="1134" w:type="dxa"/>
            <w:vAlign w:val="center"/>
          </w:tcPr>
          <w:p>
            <w:pPr>
              <w:pStyle w:val="12"/>
            </w:pPr>
            <w:r>
              <w:t>38.00</w:t>
            </w:r>
          </w:p>
        </w:tc>
        <w:tc>
          <w:tcPr>
            <w:tcW w:w="1134" w:type="dxa"/>
            <w:vAlign w:val="center"/>
          </w:tcPr>
          <w:p>
            <w:pPr>
              <w:pStyle w:val="12"/>
            </w:pPr>
            <w:r>
              <w:t>38.00</w:t>
            </w:r>
          </w:p>
        </w:tc>
        <w:tc>
          <w:tcPr>
            <w:tcW w:w="1134" w:type="dxa"/>
            <w:vAlign w:val="center"/>
          </w:tcPr>
          <w:p>
            <w:pPr>
              <w:pStyle w:val="12"/>
            </w:pPr>
            <w:r>
              <w:t>38.00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29.75</w:t>
            </w:r>
          </w:p>
        </w:tc>
        <w:tc>
          <w:tcPr>
            <w:tcW w:w="1134" w:type="dxa"/>
            <w:vAlign w:val="center"/>
          </w:tcPr>
          <w:p>
            <w:pPr>
              <w:pStyle w:val="12"/>
            </w:pPr>
            <w:r>
              <w:t>29.75</w:t>
            </w:r>
          </w:p>
        </w:tc>
        <w:tc>
          <w:tcPr>
            <w:tcW w:w="1134" w:type="dxa"/>
            <w:vAlign w:val="center"/>
          </w:tcPr>
          <w:p>
            <w:pPr>
              <w:pStyle w:val="12"/>
            </w:pPr>
            <w:r>
              <w:t>29.75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29.75</w:t>
            </w:r>
          </w:p>
        </w:tc>
        <w:tc>
          <w:tcPr>
            <w:tcW w:w="1134" w:type="dxa"/>
            <w:vAlign w:val="center"/>
          </w:tcPr>
          <w:p>
            <w:pPr>
              <w:pStyle w:val="12"/>
            </w:pPr>
            <w:r>
              <w:t>29.75</w:t>
            </w:r>
          </w:p>
        </w:tc>
        <w:tc>
          <w:tcPr>
            <w:tcW w:w="1134" w:type="dxa"/>
            <w:vAlign w:val="center"/>
          </w:tcPr>
          <w:p>
            <w:pPr>
              <w:pStyle w:val="12"/>
            </w:pPr>
            <w:r>
              <w:t>29.75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29.75</w:t>
            </w:r>
          </w:p>
        </w:tc>
        <w:tc>
          <w:tcPr>
            <w:tcW w:w="1134" w:type="dxa"/>
            <w:vAlign w:val="center"/>
          </w:tcPr>
          <w:p>
            <w:pPr>
              <w:pStyle w:val="12"/>
            </w:pPr>
            <w:r>
              <w:t>29.75</w:t>
            </w:r>
          </w:p>
        </w:tc>
        <w:tc>
          <w:tcPr>
            <w:tcW w:w="1134" w:type="dxa"/>
            <w:vAlign w:val="center"/>
          </w:tcPr>
          <w:p>
            <w:pPr>
              <w:pStyle w:val="12"/>
            </w:pPr>
            <w:r>
              <w:t>29.75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5"/>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450001保定市徐水区医疗保障局本级</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6"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6"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6" w:type="dxa"/>
            <w:vAlign w:val="center"/>
          </w:tcPr>
          <w:p>
            <w:pPr>
              <w:pStyle w:val="15"/>
            </w:pPr>
            <w:r>
              <w:t>合计</w:t>
            </w:r>
          </w:p>
        </w:tc>
        <w:tc>
          <w:tcPr>
            <w:tcW w:w="1361" w:type="dxa"/>
            <w:vAlign w:val="center"/>
          </w:tcPr>
          <w:p>
            <w:pPr>
              <w:pStyle w:val="16"/>
            </w:pPr>
            <w:r>
              <w:t>552.12</w:t>
            </w:r>
          </w:p>
        </w:tc>
        <w:tc>
          <w:tcPr>
            <w:tcW w:w="1361" w:type="dxa"/>
            <w:vAlign w:val="center"/>
          </w:tcPr>
          <w:p>
            <w:pPr>
              <w:pStyle w:val="16"/>
            </w:pPr>
            <w:r>
              <w:t>417.43</w:t>
            </w:r>
          </w:p>
        </w:tc>
        <w:tc>
          <w:tcPr>
            <w:tcW w:w="1361" w:type="dxa"/>
            <w:vAlign w:val="center"/>
          </w:tcPr>
          <w:p>
            <w:pPr>
              <w:pStyle w:val="16"/>
            </w:pPr>
            <w:r>
              <w:t>134.68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6" w:type="dxa"/>
            <w:vAlign w:val="center"/>
          </w:tcPr>
          <w:p>
            <w:pPr>
              <w:pStyle w:val="13"/>
            </w:pPr>
            <w:r>
              <w:t>社会保障和就业支出</w:t>
            </w:r>
          </w:p>
        </w:tc>
        <w:tc>
          <w:tcPr>
            <w:tcW w:w="1361" w:type="dxa"/>
            <w:vAlign w:val="center"/>
          </w:tcPr>
          <w:p>
            <w:pPr>
              <w:pStyle w:val="12"/>
            </w:pPr>
            <w:r>
              <w:t>47.33</w:t>
            </w:r>
          </w:p>
        </w:tc>
        <w:tc>
          <w:tcPr>
            <w:tcW w:w="1361" w:type="dxa"/>
            <w:vAlign w:val="center"/>
          </w:tcPr>
          <w:p>
            <w:pPr>
              <w:pStyle w:val="12"/>
            </w:pPr>
            <w:r>
              <w:t>46.97</w:t>
            </w:r>
          </w:p>
        </w:tc>
        <w:tc>
          <w:tcPr>
            <w:tcW w:w="1361" w:type="dxa"/>
            <w:vAlign w:val="center"/>
          </w:tcPr>
          <w:p>
            <w:pPr>
              <w:pStyle w:val="12"/>
            </w:pPr>
            <w:r>
              <w:t>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6" w:type="dxa"/>
            <w:vAlign w:val="center"/>
          </w:tcPr>
          <w:p>
            <w:pPr>
              <w:pStyle w:val="13"/>
            </w:pPr>
            <w:r>
              <w:t>行政事业单位养老支出</w:t>
            </w:r>
          </w:p>
        </w:tc>
        <w:tc>
          <w:tcPr>
            <w:tcW w:w="1361" w:type="dxa"/>
            <w:vAlign w:val="center"/>
          </w:tcPr>
          <w:p>
            <w:pPr>
              <w:pStyle w:val="12"/>
            </w:pPr>
            <w:r>
              <w:t>46.97</w:t>
            </w:r>
          </w:p>
        </w:tc>
        <w:tc>
          <w:tcPr>
            <w:tcW w:w="1361" w:type="dxa"/>
            <w:vAlign w:val="center"/>
          </w:tcPr>
          <w:p>
            <w:pPr>
              <w:pStyle w:val="12"/>
            </w:pPr>
            <w:r>
              <w:t>46.97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2080502</w:t>
            </w:r>
          </w:p>
        </w:tc>
        <w:tc>
          <w:tcPr>
            <w:tcW w:w="4536" w:type="dxa"/>
            <w:vAlign w:val="center"/>
          </w:tcPr>
          <w:p>
            <w:pPr>
              <w:pStyle w:val="13"/>
            </w:pPr>
            <w:r>
              <w:t>事业单位离退休</w:t>
            </w:r>
          </w:p>
        </w:tc>
        <w:tc>
          <w:tcPr>
            <w:tcW w:w="1361" w:type="dxa"/>
            <w:vAlign w:val="center"/>
          </w:tcPr>
          <w:p>
            <w:pPr>
              <w:pStyle w:val="12"/>
            </w:pPr>
            <w:r>
              <w:t>10.13</w:t>
            </w:r>
          </w:p>
        </w:tc>
        <w:tc>
          <w:tcPr>
            <w:tcW w:w="1361" w:type="dxa"/>
            <w:vAlign w:val="center"/>
          </w:tcPr>
          <w:p>
            <w:pPr>
              <w:pStyle w:val="12"/>
            </w:pPr>
            <w:r>
              <w:t>10.13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6" w:type="dxa"/>
            <w:vAlign w:val="center"/>
          </w:tcPr>
          <w:p>
            <w:pPr>
              <w:pStyle w:val="13"/>
            </w:pPr>
            <w:r>
              <w:t>机关事业单位基本养老保险缴费支出</w:t>
            </w:r>
          </w:p>
        </w:tc>
        <w:tc>
          <w:tcPr>
            <w:tcW w:w="1361" w:type="dxa"/>
            <w:vAlign w:val="center"/>
          </w:tcPr>
          <w:p>
            <w:pPr>
              <w:pStyle w:val="12"/>
            </w:pPr>
            <w:r>
              <w:t>36.13</w:t>
            </w:r>
          </w:p>
        </w:tc>
        <w:tc>
          <w:tcPr>
            <w:tcW w:w="1361" w:type="dxa"/>
            <w:vAlign w:val="center"/>
          </w:tcPr>
          <w:p>
            <w:pPr>
              <w:pStyle w:val="12"/>
            </w:pPr>
            <w:r>
              <w:t>36.13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6" w:type="dxa"/>
            <w:vAlign w:val="center"/>
          </w:tcPr>
          <w:p>
            <w:pPr>
              <w:pStyle w:val="13"/>
            </w:pPr>
            <w:r>
              <w:t>机关事业单位职业年金缴费支出</w:t>
            </w:r>
          </w:p>
        </w:tc>
        <w:tc>
          <w:tcPr>
            <w:tcW w:w="1361" w:type="dxa"/>
            <w:vAlign w:val="center"/>
          </w:tcPr>
          <w:p>
            <w:pPr>
              <w:pStyle w:val="12"/>
            </w:pPr>
            <w:r>
              <w:t>0.71</w:t>
            </w:r>
          </w:p>
        </w:tc>
        <w:tc>
          <w:tcPr>
            <w:tcW w:w="1361" w:type="dxa"/>
            <w:vAlign w:val="center"/>
          </w:tcPr>
          <w:p>
            <w:pPr>
              <w:pStyle w:val="12"/>
            </w:pPr>
            <w:r>
              <w:t>0.71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20809</w:t>
            </w:r>
          </w:p>
        </w:tc>
        <w:tc>
          <w:tcPr>
            <w:tcW w:w="4536" w:type="dxa"/>
            <w:vAlign w:val="center"/>
          </w:tcPr>
          <w:p>
            <w:pPr>
              <w:pStyle w:val="13"/>
            </w:pPr>
            <w:r>
              <w:t>退役安置</w:t>
            </w:r>
          </w:p>
        </w:tc>
        <w:tc>
          <w:tcPr>
            <w:tcW w:w="1361" w:type="dxa"/>
            <w:vAlign w:val="center"/>
          </w:tcPr>
          <w:p>
            <w:pPr>
              <w:pStyle w:val="12"/>
            </w:pPr>
            <w:r>
              <w:t>0.36</w:t>
            </w:r>
          </w:p>
        </w:tc>
        <w:tc>
          <w:tcPr>
            <w:tcW w:w="1361" w:type="dxa"/>
            <w:vAlign w:val="center"/>
          </w:tcPr>
          <w:p>
            <w:pPr>
              <w:pStyle w:val="12"/>
            </w:pPr>
          </w:p>
        </w:tc>
        <w:tc>
          <w:tcPr>
            <w:tcW w:w="1361" w:type="dxa"/>
            <w:vAlign w:val="center"/>
          </w:tcPr>
          <w:p>
            <w:pPr>
              <w:pStyle w:val="12"/>
            </w:pPr>
            <w:r>
              <w:t>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2080901</w:t>
            </w:r>
          </w:p>
        </w:tc>
        <w:tc>
          <w:tcPr>
            <w:tcW w:w="4536" w:type="dxa"/>
            <w:vAlign w:val="center"/>
          </w:tcPr>
          <w:p>
            <w:pPr>
              <w:pStyle w:val="13"/>
            </w:pPr>
            <w:r>
              <w:t>退役士兵安置</w:t>
            </w:r>
          </w:p>
        </w:tc>
        <w:tc>
          <w:tcPr>
            <w:tcW w:w="1361" w:type="dxa"/>
            <w:vAlign w:val="center"/>
          </w:tcPr>
          <w:p>
            <w:pPr>
              <w:pStyle w:val="12"/>
            </w:pPr>
            <w:r>
              <w:t>0.36</w:t>
            </w:r>
          </w:p>
        </w:tc>
        <w:tc>
          <w:tcPr>
            <w:tcW w:w="1361" w:type="dxa"/>
            <w:vAlign w:val="center"/>
          </w:tcPr>
          <w:p>
            <w:pPr>
              <w:pStyle w:val="12"/>
            </w:pPr>
          </w:p>
        </w:tc>
        <w:tc>
          <w:tcPr>
            <w:tcW w:w="1361" w:type="dxa"/>
            <w:vAlign w:val="center"/>
          </w:tcPr>
          <w:p>
            <w:pPr>
              <w:pStyle w:val="12"/>
            </w:pPr>
            <w:r>
              <w:t>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6" w:type="dxa"/>
            <w:vAlign w:val="center"/>
          </w:tcPr>
          <w:p>
            <w:pPr>
              <w:pStyle w:val="13"/>
            </w:pPr>
            <w:r>
              <w:t>卫生健康支出</w:t>
            </w:r>
          </w:p>
        </w:tc>
        <w:tc>
          <w:tcPr>
            <w:tcW w:w="1361" w:type="dxa"/>
            <w:vAlign w:val="center"/>
          </w:tcPr>
          <w:p>
            <w:pPr>
              <w:pStyle w:val="12"/>
            </w:pPr>
            <w:r>
              <w:t>475.04</w:t>
            </w:r>
          </w:p>
        </w:tc>
        <w:tc>
          <w:tcPr>
            <w:tcW w:w="1361" w:type="dxa"/>
            <w:vAlign w:val="center"/>
          </w:tcPr>
          <w:p>
            <w:pPr>
              <w:pStyle w:val="12"/>
            </w:pPr>
            <w:r>
              <w:t>340.71</w:t>
            </w:r>
          </w:p>
        </w:tc>
        <w:tc>
          <w:tcPr>
            <w:tcW w:w="1361" w:type="dxa"/>
            <w:vAlign w:val="center"/>
          </w:tcPr>
          <w:p>
            <w:pPr>
              <w:pStyle w:val="12"/>
            </w:pPr>
            <w:r>
              <w:t>134.32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6" w:type="dxa"/>
            <w:vAlign w:val="center"/>
          </w:tcPr>
          <w:p>
            <w:pPr>
              <w:pStyle w:val="13"/>
            </w:pPr>
            <w:r>
              <w:t>行政事业单位医疗</w:t>
            </w:r>
          </w:p>
        </w:tc>
        <w:tc>
          <w:tcPr>
            <w:tcW w:w="1361" w:type="dxa"/>
            <w:vAlign w:val="center"/>
          </w:tcPr>
          <w:p>
            <w:pPr>
              <w:pStyle w:val="12"/>
            </w:pPr>
            <w:r>
              <w:t>19.04</w:t>
            </w:r>
          </w:p>
        </w:tc>
        <w:tc>
          <w:tcPr>
            <w:tcW w:w="1361" w:type="dxa"/>
            <w:vAlign w:val="center"/>
          </w:tcPr>
          <w:p>
            <w:pPr>
              <w:pStyle w:val="12"/>
            </w:pPr>
            <w:r>
              <w:t>12.04</w:t>
            </w: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2101101</w:t>
            </w:r>
          </w:p>
        </w:tc>
        <w:tc>
          <w:tcPr>
            <w:tcW w:w="4536" w:type="dxa"/>
            <w:vAlign w:val="center"/>
          </w:tcPr>
          <w:p>
            <w:pPr>
              <w:pStyle w:val="13"/>
            </w:pPr>
            <w:r>
              <w:t>行政单位医疗</w:t>
            </w:r>
          </w:p>
        </w:tc>
        <w:tc>
          <w:tcPr>
            <w:tcW w:w="1361" w:type="dxa"/>
            <w:vAlign w:val="center"/>
          </w:tcPr>
          <w:p>
            <w:pPr>
              <w:pStyle w:val="12"/>
            </w:pPr>
            <w:r>
              <w:t>12.04</w:t>
            </w:r>
          </w:p>
        </w:tc>
        <w:tc>
          <w:tcPr>
            <w:tcW w:w="1361" w:type="dxa"/>
            <w:vAlign w:val="center"/>
          </w:tcPr>
          <w:p>
            <w:pPr>
              <w:pStyle w:val="12"/>
            </w:pPr>
            <w:r>
              <w:t>12.04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2101102</w:t>
            </w:r>
          </w:p>
        </w:tc>
        <w:tc>
          <w:tcPr>
            <w:tcW w:w="4536" w:type="dxa"/>
            <w:vAlign w:val="center"/>
          </w:tcPr>
          <w:p>
            <w:pPr>
              <w:pStyle w:val="13"/>
            </w:pPr>
            <w:r>
              <w:t>事业单位医疗</w:t>
            </w: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21015</w:t>
            </w:r>
          </w:p>
        </w:tc>
        <w:tc>
          <w:tcPr>
            <w:tcW w:w="4536" w:type="dxa"/>
            <w:vAlign w:val="center"/>
          </w:tcPr>
          <w:p>
            <w:pPr>
              <w:pStyle w:val="13"/>
            </w:pPr>
            <w:r>
              <w:t>医疗保障管理事务</w:t>
            </w:r>
          </w:p>
        </w:tc>
        <w:tc>
          <w:tcPr>
            <w:tcW w:w="1361" w:type="dxa"/>
            <w:vAlign w:val="center"/>
          </w:tcPr>
          <w:p>
            <w:pPr>
              <w:pStyle w:val="12"/>
            </w:pPr>
            <w:r>
              <w:t>456.00</w:t>
            </w:r>
          </w:p>
        </w:tc>
        <w:tc>
          <w:tcPr>
            <w:tcW w:w="1361" w:type="dxa"/>
            <w:vAlign w:val="center"/>
          </w:tcPr>
          <w:p>
            <w:pPr>
              <w:pStyle w:val="12"/>
            </w:pPr>
            <w:r>
              <w:t>328.68</w:t>
            </w:r>
          </w:p>
        </w:tc>
        <w:tc>
          <w:tcPr>
            <w:tcW w:w="1361" w:type="dxa"/>
            <w:vAlign w:val="center"/>
          </w:tcPr>
          <w:p>
            <w:pPr>
              <w:pStyle w:val="12"/>
            </w:pPr>
            <w:r>
              <w:t>127.32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2101501</w:t>
            </w:r>
          </w:p>
        </w:tc>
        <w:tc>
          <w:tcPr>
            <w:tcW w:w="4536" w:type="dxa"/>
            <w:vAlign w:val="center"/>
          </w:tcPr>
          <w:p>
            <w:pPr>
              <w:pStyle w:val="13"/>
            </w:pPr>
            <w:r>
              <w:t>行政运行</w:t>
            </w:r>
          </w:p>
        </w:tc>
        <w:tc>
          <w:tcPr>
            <w:tcW w:w="1361" w:type="dxa"/>
            <w:vAlign w:val="center"/>
          </w:tcPr>
          <w:p>
            <w:pPr>
              <w:pStyle w:val="12"/>
            </w:pPr>
            <w:r>
              <w:t>130.39</w:t>
            </w:r>
          </w:p>
        </w:tc>
        <w:tc>
          <w:tcPr>
            <w:tcW w:w="1361" w:type="dxa"/>
            <w:vAlign w:val="center"/>
          </w:tcPr>
          <w:p>
            <w:pPr>
              <w:pStyle w:val="12"/>
            </w:pPr>
            <w:r>
              <w:t>115.39</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2101502</w:t>
            </w:r>
          </w:p>
        </w:tc>
        <w:tc>
          <w:tcPr>
            <w:tcW w:w="4536" w:type="dxa"/>
            <w:vAlign w:val="center"/>
          </w:tcPr>
          <w:p>
            <w:pPr>
              <w:pStyle w:val="13"/>
            </w:pPr>
            <w:r>
              <w:t>一般行政管理事务</w:t>
            </w:r>
          </w:p>
        </w:tc>
        <w:tc>
          <w:tcPr>
            <w:tcW w:w="1361" w:type="dxa"/>
            <w:vAlign w:val="center"/>
          </w:tcPr>
          <w:p>
            <w:pPr>
              <w:pStyle w:val="12"/>
            </w:pPr>
            <w:r>
              <w:t>41.31</w:t>
            </w:r>
          </w:p>
        </w:tc>
        <w:tc>
          <w:tcPr>
            <w:tcW w:w="1361" w:type="dxa"/>
            <w:vAlign w:val="center"/>
          </w:tcPr>
          <w:p>
            <w:pPr>
              <w:pStyle w:val="12"/>
            </w:pPr>
          </w:p>
        </w:tc>
        <w:tc>
          <w:tcPr>
            <w:tcW w:w="1361" w:type="dxa"/>
            <w:vAlign w:val="center"/>
          </w:tcPr>
          <w:p>
            <w:pPr>
              <w:pStyle w:val="12"/>
            </w:pPr>
            <w:r>
              <w:t>41.31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2101505</w:t>
            </w:r>
          </w:p>
        </w:tc>
        <w:tc>
          <w:tcPr>
            <w:tcW w:w="4536" w:type="dxa"/>
            <w:vAlign w:val="center"/>
          </w:tcPr>
          <w:p>
            <w:pPr>
              <w:pStyle w:val="13"/>
            </w:pPr>
            <w:r>
              <w:t>医疗保障政策管理</w:t>
            </w:r>
          </w:p>
        </w:tc>
        <w:tc>
          <w:tcPr>
            <w:tcW w:w="1361" w:type="dxa"/>
            <w:vAlign w:val="center"/>
          </w:tcPr>
          <w:p>
            <w:pPr>
              <w:pStyle w:val="12"/>
            </w:pPr>
            <w:r>
              <w:t>33.01</w:t>
            </w:r>
          </w:p>
        </w:tc>
        <w:tc>
          <w:tcPr>
            <w:tcW w:w="1361" w:type="dxa"/>
            <w:vAlign w:val="center"/>
          </w:tcPr>
          <w:p>
            <w:pPr>
              <w:pStyle w:val="12"/>
            </w:pPr>
          </w:p>
        </w:tc>
        <w:tc>
          <w:tcPr>
            <w:tcW w:w="1361" w:type="dxa"/>
            <w:vAlign w:val="center"/>
          </w:tcPr>
          <w:p>
            <w:pPr>
              <w:pStyle w:val="12"/>
            </w:pPr>
            <w:r>
              <w:t>33.01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2101550</w:t>
            </w:r>
          </w:p>
        </w:tc>
        <w:tc>
          <w:tcPr>
            <w:tcW w:w="4536" w:type="dxa"/>
            <w:vAlign w:val="center"/>
          </w:tcPr>
          <w:p>
            <w:pPr>
              <w:pStyle w:val="13"/>
            </w:pPr>
            <w:r>
              <w:t>事业运行</w:t>
            </w:r>
          </w:p>
        </w:tc>
        <w:tc>
          <w:tcPr>
            <w:tcW w:w="1361" w:type="dxa"/>
            <w:vAlign w:val="center"/>
          </w:tcPr>
          <w:p>
            <w:pPr>
              <w:pStyle w:val="12"/>
            </w:pPr>
            <w:r>
              <w:t>213.29</w:t>
            </w:r>
          </w:p>
        </w:tc>
        <w:tc>
          <w:tcPr>
            <w:tcW w:w="1361" w:type="dxa"/>
            <w:vAlign w:val="center"/>
          </w:tcPr>
          <w:p>
            <w:pPr>
              <w:pStyle w:val="12"/>
            </w:pPr>
            <w:r>
              <w:t>213.29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2101599</w:t>
            </w:r>
          </w:p>
        </w:tc>
        <w:tc>
          <w:tcPr>
            <w:tcW w:w="4536" w:type="dxa"/>
            <w:vAlign w:val="center"/>
          </w:tcPr>
          <w:p>
            <w:pPr>
              <w:pStyle w:val="13"/>
            </w:pPr>
            <w:r>
              <w:t>其他医疗保障管理事务支出</w:t>
            </w:r>
          </w:p>
        </w:tc>
        <w:tc>
          <w:tcPr>
            <w:tcW w:w="1361" w:type="dxa"/>
            <w:vAlign w:val="center"/>
          </w:tcPr>
          <w:p>
            <w:pPr>
              <w:pStyle w:val="12"/>
            </w:pPr>
            <w:r>
              <w:t>38.00</w:t>
            </w:r>
          </w:p>
        </w:tc>
        <w:tc>
          <w:tcPr>
            <w:tcW w:w="1361" w:type="dxa"/>
            <w:vAlign w:val="center"/>
          </w:tcPr>
          <w:p>
            <w:pPr>
              <w:pStyle w:val="12"/>
            </w:pPr>
          </w:p>
        </w:tc>
        <w:tc>
          <w:tcPr>
            <w:tcW w:w="1361" w:type="dxa"/>
            <w:vAlign w:val="center"/>
          </w:tcPr>
          <w:p>
            <w:pPr>
              <w:pStyle w:val="12"/>
            </w:pPr>
            <w:r>
              <w:t>38.00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w:t>
            </w:r>
          </w:p>
        </w:tc>
        <w:tc>
          <w:tcPr>
            <w:tcW w:w="4536" w:type="dxa"/>
            <w:vAlign w:val="center"/>
          </w:tcPr>
          <w:p>
            <w:pPr>
              <w:pStyle w:val="13"/>
            </w:pPr>
            <w:r>
              <w:t>住房保障支出</w:t>
            </w:r>
          </w:p>
        </w:tc>
        <w:tc>
          <w:tcPr>
            <w:tcW w:w="1361" w:type="dxa"/>
            <w:vAlign w:val="center"/>
          </w:tcPr>
          <w:p>
            <w:pPr>
              <w:pStyle w:val="12"/>
            </w:pPr>
            <w:r>
              <w:t>29.75</w:t>
            </w:r>
          </w:p>
        </w:tc>
        <w:tc>
          <w:tcPr>
            <w:tcW w:w="1361" w:type="dxa"/>
            <w:vAlign w:val="center"/>
          </w:tcPr>
          <w:p>
            <w:pPr>
              <w:pStyle w:val="12"/>
            </w:pPr>
            <w:r>
              <w:t>29.75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w:t>
            </w:r>
          </w:p>
        </w:tc>
        <w:tc>
          <w:tcPr>
            <w:tcW w:w="4536" w:type="dxa"/>
            <w:vAlign w:val="center"/>
          </w:tcPr>
          <w:p>
            <w:pPr>
              <w:pStyle w:val="13"/>
            </w:pPr>
            <w:r>
              <w:t>住房改革支出</w:t>
            </w:r>
          </w:p>
        </w:tc>
        <w:tc>
          <w:tcPr>
            <w:tcW w:w="1361" w:type="dxa"/>
            <w:vAlign w:val="center"/>
          </w:tcPr>
          <w:p>
            <w:pPr>
              <w:pStyle w:val="12"/>
            </w:pPr>
            <w:r>
              <w:t>29.75</w:t>
            </w:r>
          </w:p>
        </w:tc>
        <w:tc>
          <w:tcPr>
            <w:tcW w:w="1361" w:type="dxa"/>
            <w:vAlign w:val="center"/>
          </w:tcPr>
          <w:p>
            <w:pPr>
              <w:pStyle w:val="12"/>
            </w:pPr>
            <w:r>
              <w:t>29.75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2210201</w:t>
            </w:r>
          </w:p>
        </w:tc>
        <w:tc>
          <w:tcPr>
            <w:tcW w:w="4536" w:type="dxa"/>
            <w:vAlign w:val="center"/>
          </w:tcPr>
          <w:p>
            <w:pPr>
              <w:pStyle w:val="13"/>
            </w:pPr>
            <w:r>
              <w:t>住房公积金</w:t>
            </w:r>
          </w:p>
        </w:tc>
        <w:tc>
          <w:tcPr>
            <w:tcW w:w="1361" w:type="dxa"/>
            <w:vAlign w:val="center"/>
          </w:tcPr>
          <w:p>
            <w:pPr>
              <w:pStyle w:val="12"/>
            </w:pPr>
            <w:r>
              <w:t>29.75</w:t>
            </w:r>
          </w:p>
        </w:tc>
        <w:tc>
          <w:tcPr>
            <w:tcW w:w="1361" w:type="dxa"/>
            <w:vAlign w:val="center"/>
          </w:tcPr>
          <w:p>
            <w:pPr>
              <w:pStyle w:val="12"/>
            </w:pPr>
            <w:r>
              <w:t>29.75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450001保定市徐水区医疗保障局本级</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552.12</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47.33</w:t>
            </w:r>
          </w:p>
        </w:tc>
        <w:tc>
          <w:tcPr>
            <w:tcW w:w="1474" w:type="dxa"/>
            <w:vAlign w:val="center"/>
          </w:tcPr>
          <w:p>
            <w:pPr>
              <w:pStyle w:val="12"/>
            </w:pPr>
            <w:r>
              <w:t>47.33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475.04</w:t>
            </w:r>
          </w:p>
        </w:tc>
        <w:tc>
          <w:tcPr>
            <w:tcW w:w="1474" w:type="dxa"/>
            <w:vAlign w:val="center"/>
          </w:tcPr>
          <w:p>
            <w:pPr>
              <w:pStyle w:val="12"/>
            </w:pPr>
            <w:r>
              <w:t>475.04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29.75</w:t>
            </w:r>
          </w:p>
        </w:tc>
        <w:tc>
          <w:tcPr>
            <w:tcW w:w="1474" w:type="dxa"/>
            <w:vAlign w:val="center"/>
          </w:tcPr>
          <w:p>
            <w:pPr>
              <w:pStyle w:val="12"/>
            </w:pPr>
            <w:r>
              <w:t>29.75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552.12</w:t>
            </w:r>
          </w:p>
        </w:tc>
        <w:tc>
          <w:tcPr>
            <w:tcW w:w="3402" w:type="dxa"/>
            <w:vAlign w:val="center"/>
          </w:tcPr>
          <w:p>
            <w:pPr>
              <w:pStyle w:val="15"/>
            </w:pPr>
            <w:r>
              <w:t>本年支出合计</w:t>
            </w:r>
          </w:p>
        </w:tc>
        <w:tc>
          <w:tcPr>
            <w:tcW w:w="1474" w:type="dxa"/>
            <w:vAlign w:val="center"/>
          </w:tcPr>
          <w:p>
            <w:pPr>
              <w:pStyle w:val="16"/>
            </w:pPr>
            <w:r>
              <w:t>552.12</w:t>
            </w:r>
          </w:p>
        </w:tc>
        <w:tc>
          <w:tcPr>
            <w:tcW w:w="1474" w:type="dxa"/>
            <w:vAlign w:val="center"/>
          </w:tcPr>
          <w:p>
            <w:pPr>
              <w:pStyle w:val="16"/>
            </w:pPr>
            <w:r>
              <w:t>552.12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552.12</w:t>
            </w:r>
          </w:p>
        </w:tc>
        <w:tc>
          <w:tcPr>
            <w:tcW w:w="3402" w:type="dxa"/>
            <w:vAlign w:val="center"/>
          </w:tcPr>
          <w:p>
            <w:pPr>
              <w:pStyle w:val="15"/>
            </w:pPr>
            <w:r>
              <w:t>支出总计</w:t>
            </w:r>
          </w:p>
        </w:tc>
        <w:tc>
          <w:tcPr>
            <w:tcW w:w="1474" w:type="dxa"/>
            <w:vAlign w:val="center"/>
          </w:tcPr>
          <w:p>
            <w:pPr>
              <w:pStyle w:val="16"/>
            </w:pPr>
            <w:r>
              <w:t>552.12</w:t>
            </w:r>
          </w:p>
        </w:tc>
        <w:tc>
          <w:tcPr>
            <w:tcW w:w="1474" w:type="dxa"/>
            <w:vAlign w:val="center"/>
          </w:tcPr>
          <w:p>
            <w:pPr>
              <w:pStyle w:val="16"/>
            </w:pPr>
            <w:r>
              <w:t>552.12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552.12</w:t>
            </w:r>
          </w:p>
        </w:tc>
        <w:tc>
          <w:tcPr>
            <w:tcW w:w="2551" w:type="dxa"/>
            <w:vAlign w:val="center"/>
          </w:tcPr>
          <w:p>
            <w:pPr>
              <w:pStyle w:val="16"/>
            </w:pPr>
            <w:r>
              <w:t>417.43</w:t>
            </w:r>
          </w:p>
        </w:tc>
        <w:tc>
          <w:tcPr>
            <w:tcW w:w="2551" w:type="dxa"/>
            <w:vAlign w:val="center"/>
          </w:tcPr>
          <w:p>
            <w:pPr>
              <w:pStyle w:val="16"/>
            </w:pPr>
            <w:r>
              <w:t>134.68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47.33</w:t>
            </w:r>
          </w:p>
        </w:tc>
        <w:tc>
          <w:tcPr>
            <w:tcW w:w="2551" w:type="dxa"/>
            <w:vAlign w:val="center"/>
          </w:tcPr>
          <w:p>
            <w:pPr>
              <w:pStyle w:val="12"/>
            </w:pPr>
            <w:r>
              <w:t>46.97</w:t>
            </w:r>
          </w:p>
        </w:tc>
        <w:tc>
          <w:tcPr>
            <w:tcW w:w="2551"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46.97</w:t>
            </w:r>
          </w:p>
        </w:tc>
        <w:tc>
          <w:tcPr>
            <w:tcW w:w="2551" w:type="dxa"/>
            <w:vAlign w:val="center"/>
          </w:tcPr>
          <w:p>
            <w:pPr>
              <w:pStyle w:val="12"/>
            </w:pPr>
            <w:r>
              <w:t>46.97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10.13</w:t>
            </w:r>
          </w:p>
        </w:tc>
        <w:tc>
          <w:tcPr>
            <w:tcW w:w="2551" w:type="dxa"/>
            <w:vAlign w:val="center"/>
          </w:tcPr>
          <w:p>
            <w:pPr>
              <w:pStyle w:val="12"/>
            </w:pPr>
            <w:r>
              <w:t>10.13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36.13</w:t>
            </w:r>
          </w:p>
        </w:tc>
        <w:tc>
          <w:tcPr>
            <w:tcW w:w="2551" w:type="dxa"/>
            <w:vAlign w:val="center"/>
          </w:tcPr>
          <w:p>
            <w:pPr>
              <w:pStyle w:val="12"/>
            </w:pPr>
            <w:r>
              <w:t>36.13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0.71</w:t>
            </w:r>
          </w:p>
        </w:tc>
        <w:tc>
          <w:tcPr>
            <w:tcW w:w="2551" w:type="dxa"/>
            <w:vAlign w:val="center"/>
          </w:tcPr>
          <w:p>
            <w:pPr>
              <w:pStyle w:val="12"/>
            </w:pPr>
            <w:r>
              <w:t>0.71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0.36</w:t>
            </w:r>
          </w:p>
        </w:tc>
        <w:tc>
          <w:tcPr>
            <w:tcW w:w="2551" w:type="dxa"/>
            <w:vAlign w:val="center"/>
          </w:tcPr>
          <w:p>
            <w:pPr>
              <w:pStyle w:val="12"/>
            </w:pPr>
          </w:p>
        </w:tc>
        <w:tc>
          <w:tcPr>
            <w:tcW w:w="2551"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0.36</w:t>
            </w:r>
          </w:p>
        </w:tc>
        <w:tc>
          <w:tcPr>
            <w:tcW w:w="2551" w:type="dxa"/>
            <w:vAlign w:val="center"/>
          </w:tcPr>
          <w:p>
            <w:pPr>
              <w:pStyle w:val="12"/>
            </w:pPr>
          </w:p>
        </w:tc>
        <w:tc>
          <w:tcPr>
            <w:tcW w:w="2551"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475.04</w:t>
            </w:r>
          </w:p>
        </w:tc>
        <w:tc>
          <w:tcPr>
            <w:tcW w:w="2551" w:type="dxa"/>
            <w:vAlign w:val="center"/>
          </w:tcPr>
          <w:p>
            <w:pPr>
              <w:pStyle w:val="12"/>
            </w:pPr>
            <w:r>
              <w:t>340.71</w:t>
            </w:r>
          </w:p>
        </w:tc>
        <w:tc>
          <w:tcPr>
            <w:tcW w:w="2551" w:type="dxa"/>
            <w:vAlign w:val="center"/>
          </w:tcPr>
          <w:p>
            <w:pPr>
              <w:pStyle w:val="12"/>
            </w:pPr>
            <w:r>
              <w:t>134.32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19.04</w:t>
            </w:r>
          </w:p>
        </w:tc>
        <w:tc>
          <w:tcPr>
            <w:tcW w:w="2551" w:type="dxa"/>
            <w:vAlign w:val="center"/>
          </w:tcPr>
          <w:p>
            <w:pPr>
              <w:pStyle w:val="12"/>
            </w:pPr>
            <w:r>
              <w:t>12.04</w:t>
            </w:r>
          </w:p>
        </w:tc>
        <w:tc>
          <w:tcPr>
            <w:tcW w:w="2551"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12.04</w:t>
            </w:r>
          </w:p>
        </w:tc>
        <w:tc>
          <w:tcPr>
            <w:tcW w:w="2551" w:type="dxa"/>
            <w:vAlign w:val="center"/>
          </w:tcPr>
          <w:p>
            <w:pPr>
              <w:pStyle w:val="12"/>
            </w:pPr>
            <w:r>
              <w:t>12.04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21015</w:t>
            </w:r>
          </w:p>
        </w:tc>
        <w:tc>
          <w:tcPr>
            <w:tcW w:w="4535" w:type="dxa"/>
            <w:vAlign w:val="center"/>
          </w:tcPr>
          <w:p>
            <w:pPr>
              <w:pStyle w:val="13"/>
            </w:pPr>
            <w:r>
              <w:t>医疗保障管理事务</w:t>
            </w:r>
          </w:p>
        </w:tc>
        <w:tc>
          <w:tcPr>
            <w:tcW w:w="2551" w:type="dxa"/>
            <w:vAlign w:val="center"/>
          </w:tcPr>
          <w:p>
            <w:pPr>
              <w:pStyle w:val="12"/>
            </w:pPr>
            <w:r>
              <w:t>456.00</w:t>
            </w:r>
          </w:p>
        </w:tc>
        <w:tc>
          <w:tcPr>
            <w:tcW w:w="2551" w:type="dxa"/>
            <w:vAlign w:val="center"/>
          </w:tcPr>
          <w:p>
            <w:pPr>
              <w:pStyle w:val="12"/>
            </w:pPr>
            <w:r>
              <w:t>328.68</w:t>
            </w:r>
          </w:p>
        </w:tc>
        <w:tc>
          <w:tcPr>
            <w:tcW w:w="2551" w:type="dxa"/>
            <w:vAlign w:val="center"/>
          </w:tcPr>
          <w:p>
            <w:pPr>
              <w:pStyle w:val="12"/>
            </w:pPr>
            <w:r>
              <w:t>127.32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2101501</w:t>
            </w:r>
          </w:p>
        </w:tc>
        <w:tc>
          <w:tcPr>
            <w:tcW w:w="4535" w:type="dxa"/>
            <w:vAlign w:val="center"/>
          </w:tcPr>
          <w:p>
            <w:pPr>
              <w:pStyle w:val="13"/>
            </w:pPr>
            <w:r>
              <w:t>行政运行</w:t>
            </w:r>
          </w:p>
        </w:tc>
        <w:tc>
          <w:tcPr>
            <w:tcW w:w="2551" w:type="dxa"/>
            <w:vAlign w:val="center"/>
          </w:tcPr>
          <w:p>
            <w:pPr>
              <w:pStyle w:val="12"/>
            </w:pPr>
            <w:r>
              <w:t>130.39</w:t>
            </w:r>
          </w:p>
        </w:tc>
        <w:tc>
          <w:tcPr>
            <w:tcW w:w="2551" w:type="dxa"/>
            <w:vAlign w:val="center"/>
          </w:tcPr>
          <w:p>
            <w:pPr>
              <w:pStyle w:val="12"/>
            </w:pPr>
            <w:r>
              <w:t>115.39</w:t>
            </w: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2101502</w:t>
            </w:r>
          </w:p>
        </w:tc>
        <w:tc>
          <w:tcPr>
            <w:tcW w:w="4535" w:type="dxa"/>
            <w:vAlign w:val="center"/>
          </w:tcPr>
          <w:p>
            <w:pPr>
              <w:pStyle w:val="13"/>
            </w:pPr>
            <w:r>
              <w:t>一般行政管理事务</w:t>
            </w:r>
          </w:p>
        </w:tc>
        <w:tc>
          <w:tcPr>
            <w:tcW w:w="2551" w:type="dxa"/>
            <w:vAlign w:val="center"/>
          </w:tcPr>
          <w:p>
            <w:pPr>
              <w:pStyle w:val="12"/>
            </w:pPr>
            <w:r>
              <w:t>41.31</w:t>
            </w:r>
          </w:p>
        </w:tc>
        <w:tc>
          <w:tcPr>
            <w:tcW w:w="2551" w:type="dxa"/>
            <w:vAlign w:val="center"/>
          </w:tcPr>
          <w:p>
            <w:pPr>
              <w:pStyle w:val="12"/>
            </w:pPr>
          </w:p>
        </w:tc>
        <w:tc>
          <w:tcPr>
            <w:tcW w:w="2551" w:type="dxa"/>
            <w:vAlign w:val="center"/>
          </w:tcPr>
          <w:p>
            <w:pPr>
              <w:pStyle w:val="12"/>
            </w:pPr>
            <w:r>
              <w:t>41.31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2101505</w:t>
            </w:r>
          </w:p>
        </w:tc>
        <w:tc>
          <w:tcPr>
            <w:tcW w:w="4535" w:type="dxa"/>
            <w:vAlign w:val="center"/>
          </w:tcPr>
          <w:p>
            <w:pPr>
              <w:pStyle w:val="13"/>
            </w:pPr>
            <w:r>
              <w:t>医疗保障政策管理</w:t>
            </w:r>
          </w:p>
        </w:tc>
        <w:tc>
          <w:tcPr>
            <w:tcW w:w="2551" w:type="dxa"/>
            <w:vAlign w:val="center"/>
          </w:tcPr>
          <w:p>
            <w:pPr>
              <w:pStyle w:val="12"/>
            </w:pPr>
            <w:r>
              <w:t>33.01</w:t>
            </w:r>
          </w:p>
        </w:tc>
        <w:tc>
          <w:tcPr>
            <w:tcW w:w="2551" w:type="dxa"/>
            <w:vAlign w:val="center"/>
          </w:tcPr>
          <w:p>
            <w:pPr>
              <w:pStyle w:val="12"/>
            </w:pPr>
          </w:p>
        </w:tc>
        <w:tc>
          <w:tcPr>
            <w:tcW w:w="2551" w:type="dxa"/>
            <w:vAlign w:val="center"/>
          </w:tcPr>
          <w:p>
            <w:pPr>
              <w:pStyle w:val="12"/>
            </w:pPr>
            <w:r>
              <w:t>33.01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2101550</w:t>
            </w:r>
          </w:p>
        </w:tc>
        <w:tc>
          <w:tcPr>
            <w:tcW w:w="4535" w:type="dxa"/>
            <w:vAlign w:val="center"/>
          </w:tcPr>
          <w:p>
            <w:pPr>
              <w:pStyle w:val="13"/>
            </w:pPr>
            <w:r>
              <w:t>事业运行</w:t>
            </w:r>
          </w:p>
        </w:tc>
        <w:tc>
          <w:tcPr>
            <w:tcW w:w="2551" w:type="dxa"/>
            <w:vAlign w:val="center"/>
          </w:tcPr>
          <w:p>
            <w:pPr>
              <w:pStyle w:val="12"/>
            </w:pPr>
            <w:r>
              <w:t>213.29</w:t>
            </w:r>
          </w:p>
        </w:tc>
        <w:tc>
          <w:tcPr>
            <w:tcW w:w="2551" w:type="dxa"/>
            <w:vAlign w:val="center"/>
          </w:tcPr>
          <w:p>
            <w:pPr>
              <w:pStyle w:val="12"/>
            </w:pPr>
            <w:r>
              <w:t>213.29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2101599</w:t>
            </w:r>
          </w:p>
        </w:tc>
        <w:tc>
          <w:tcPr>
            <w:tcW w:w="4535" w:type="dxa"/>
            <w:vAlign w:val="center"/>
          </w:tcPr>
          <w:p>
            <w:pPr>
              <w:pStyle w:val="13"/>
            </w:pPr>
            <w:r>
              <w:t>其他医疗保障管理事务支出</w:t>
            </w:r>
          </w:p>
        </w:tc>
        <w:tc>
          <w:tcPr>
            <w:tcW w:w="2551" w:type="dxa"/>
            <w:vAlign w:val="center"/>
          </w:tcPr>
          <w:p>
            <w:pPr>
              <w:pStyle w:val="12"/>
            </w:pPr>
            <w:r>
              <w:t>38.00</w:t>
            </w:r>
          </w:p>
        </w:tc>
        <w:tc>
          <w:tcPr>
            <w:tcW w:w="2551" w:type="dxa"/>
            <w:vAlign w:val="center"/>
          </w:tcPr>
          <w:p>
            <w:pPr>
              <w:pStyle w:val="12"/>
            </w:pPr>
          </w:p>
        </w:tc>
        <w:tc>
          <w:tcPr>
            <w:tcW w:w="2551" w:type="dxa"/>
            <w:vAlign w:val="center"/>
          </w:tcPr>
          <w:p>
            <w:pPr>
              <w:pStyle w:val="12"/>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29.75</w:t>
            </w:r>
          </w:p>
        </w:tc>
        <w:tc>
          <w:tcPr>
            <w:tcW w:w="2551" w:type="dxa"/>
            <w:vAlign w:val="center"/>
          </w:tcPr>
          <w:p>
            <w:pPr>
              <w:pStyle w:val="12"/>
            </w:pPr>
            <w:r>
              <w:t>29.75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29.75</w:t>
            </w:r>
          </w:p>
        </w:tc>
        <w:tc>
          <w:tcPr>
            <w:tcW w:w="2551" w:type="dxa"/>
            <w:vAlign w:val="center"/>
          </w:tcPr>
          <w:p>
            <w:pPr>
              <w:pStyle w:val="12"/>
            </w:pPr>
            <w:r>
              <w:t>29.75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29.75</w:t>
            </w:r>
          </w:p>
        </w:tc>
        <w:tc>
          <w:tcPr>
            <w:tcW w:w="2551" w:type="dxa"/>
            <w:vAlign w:val="center"/>
          </w:tcPr>
          <w:p>
            <w:pPr>
              <w:pStyle w:val="12"/>
            </w:pPr>
            <w:r>
              <w:t>29.75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3"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支出单位经济分类科目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2"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2"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417.43</w:t>
            </w:r>
          </w:p>
        </w:tc>
        <w:tc>
          <w:tcPr>
            <w:tcW w:w="2551" w:type="dxa"/>
            <w:vAlign w:val="center"/>
          </w:tcPr>
          <w:p>
            <w:pPr>
              <w:pStyle w:val="16"/>
            </w:pPr>
            <w:r>
              <w:t>390.71</w:t>
            </w:r>
          </w:p>
        </w:tc>
        <w:tc>
          <w:tcPr>
            <w:tcW w:w="2552" w:type="dxa"/>
            <w:vAlign w:val="center"/>
          </w:tcPr>
          <w:p>
            <w:pPr>
              <w:pStyle w:val="16"/>
            </w:pPr>
            <w:r>
              <w:t>26.73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380.73</w:t>
            </w:r>
          </w:p>
        </w:tc>
        <w:tc>
          <w:tcPr>
            <w:tcW w:w="2551" w:type="dxa"/>
            <w:vAlign w:val="center"/>
          </w:tcPr>
          <w:p>
            <w:pPr>
              <w:pStyle w:val="12"/>
            </w:pPr>
            <w:r>
              <w:t>380.73</w:t>
            </w:r>
          </w:p>
        </w:tc>
        <w:tc>
          <w:tcPr>
            <w:tcW w:w="25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97.10</w:t>
            </w:r>
          </w:p>
        </w:tc>
        <w:tc>
          <w:tcPr>
            <w:tcW w:w="2551" w:type="dxa"/>
            <w:vAlign w:val="center"/>
          </w:tcPr>
          <w:p>
            <w:pPr>
              <w:pStyle w:val="12"/>
            </w:pPr>
            <w:r>
              <w:t>97.10</w:t>
            </w:r>
          </w:p>
        </w:tc>
        <w:tc>
          <w:tcPr>
            <w:tcW w:w="25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44.81</w:t>
            </w:r>
          </w:p>
        </w:tc>
        <w:tc>
          <w:tcPr>
            <w:tcW w:w="2551" w:type="dxa"/>
            <w:vAlign w:val="center"/>
          </w:tcPr>
          <w:p>
            <w:pPr>
              <w:pStyle w:val="12"/>
            </w:pPr>
            <w:r>
              <w:t>44.81</w:t>
            </w:r>
          </w:p>
        </w:tc>
        <w:tc>
          <w:tcPr>
            <w:tcW w:w="25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24.34</w:t>
            </w:r>
          </w:p>
        </w:tc>
        <w:tc>
          <w:tcPr>
            <w:tcW w:w="2551" w:type="dxa"/>
            <w:vAlign w:val="center"/>
          </w:tcPr>
          <w:p>
            <w:pPr>
              <w:pStyle w:val="12"/>
            </w:pPr>
            <w:r>
              <w:t>24.34</w:t>
            </w:r>
          </w:p>
        </w:tc>
        <w:tc>
          <w:tcPr>
            <w:tcW w:w="25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102.31</w:t>
            </w:r>
          </w:p>
        </w:tc>
        <w:tc>
          <w:tcPr>
            <w:tcW w:w="2551" w:type="dxa"/>
            <w:vAlign w:val="center"/>
          </w:tcPr>
          <w:p>
            <w:pPr>
              <w:pStyle w:val="12"/>
            </w:pPr>
            <w:r>
              <w:t>102.31</w:t>
            </w:r>
          </w:p>
        </w:tc>
        <w:tc>
          <w:tcPr>
            <w:tcW w:w="25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36.13</w:t>
            </w:r>
          </w:p>
        </w:tc>
        <w:tc>
          <w:tcPr>
            <w:tcW w:w="2551" w:type="dxa"/>
            <w:vAlign w:val="center"/>
          </w:tcPr>
          <w:p>
            <w:pPr>
              <w:pStyle w:val="12"/>
            </w:pPr>
            <w:r>
              <w:t>36.13</w:t>
            </w:r>
          </w:p>
        </w:tc>
        <w:tc>
          <w:tcPr>
            <w:tcW w:w="25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0.71</w:t>
            </w:r>
          </w:p>
        </w:tc>
        <w:tc>
          <w:tcPr>
            <w:tcW w:w="2551" w:type="dxa"/>
            <w:vAlign w:val="center"/>
          </w:tcPr>
          <w:p>
            <w:pPr>
              <w:pStyle w:val="12"/>
            </w:pPr>
            <w:r>
              <w:t>0.71</w:t>
            </w:r>
          </w:p>
        </w:tc>
        <w:tc>
          <w:tcPr>
            <w:tcW w:w="25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12.04</w:t>
            </w:r>
          </w:p>
        </w:tc>
        <w:tc>
          <w:tcPr>
            <w:tcW w:w="2551" w:type="dxa"/>
            <w:vAlign w:val="center"/>
          </w:tcPr>
          <w:p>
            <w:pPr>
              <w:pStyle w:val="12"/>
            </w:pPr>
            <w:r>
              <w:t>12.04</w:t>
            </w:r>
          </w:p>
        </w:tc>
        <w:tc>
          <w:tcPr>
            <w:tcW w:w="25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1.74</w:t>
            </w:r>
          </w:p>
        </w:tc>
        <w:tc>
          <w:tcPr>
            <w:tcW w:w="2551" w:type="dxa"/>
            <w:vAlign w:val="center"/>
          </w:tcPr>
          <w:p>
            <w:pPr>
              <w:pStyle w:val="12"/>
            </w:pPr>
            <w:r>
              <w:t>1.74</w:t>
            </w:r>
          </w:p>
        </w:tc>
        <w:tc>
          <w:tcPr>
            <w:tcW w:w="25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29.75</w:t>
            </w:r>
          </w:p>
        </w:tc>
        <w:tc>
          <w:tcPr>
            <w:tcW w:w="2551" w:type="dxa"/>
            <w:vAlign w:val="center"/>
          </w:tcPr>
          <w:p>
            <w:pPr>
              <w:pStyle w:val="12"/>
            </w:pPr>
            <w:r>
              <w:t>29.75</w:t>
            </w:r>
          </w:p>
        </w:tc>
        <w:tc>
          <w:tcPr>
            <w:tcW w:w="25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31.80</w:t>
            </w:r>
          </w:p>
        </w:tc>
        <w:tc>
          <w:tcPr>
            <w:tcW w:w="2551" w:type="dxa"/>
            <w:vAlign w:val="center"/>
          </w:tcPr>
          <w:p>
            <w:pPr>
              <w:pStyle w:val="12"/>
            </w:pPr>
            <w:r>
              <w:t>31.80</w:t>
            </w:r>
          </w:p>
        </w:tc>
        <w:tc>
          <w:tcPr>
            <w:tcW w:w="25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26.73</w:t>
            </w:r>
          </w:p>
        </w:tc>
        <w:tc>
          <w:tcPr>
            <w:tcW w:w="2551" w:type="dxa"/>
            <w:vAlign w:val="center"/>
          </w:tcPr>
          <w:p>
            <w:pPr>
              <w:pStyle w:val="12"/>
            </w:pPr>
          </w:p>
        </w:tc>
        <w:tc>
          <w:tcPr>
            <w:tcW w:w="2552" w:type="dxa"/>
            <w:vAlign w:val="center"/>
          </w:tcPr>
          <w:p>
            <w:pPr>
              <w:pStyle w:val="12"/>
            </w:pPr>
            <w:r>
              <w:t>26.73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8.10</w:t>
            </w:r>
          </w:p>
        </w:tc>
        <w:tc>
          <w:tcPr>
            <w:tcW w:w="2551" w:type="dxa"/>
            <w:vAlign w:val="center"/>
          </w:tcPr>
          <w:p>
            <w:pPr>
              <w:pStyle w:val="12"/>
            </w:pPr>
          </w:p>
        </w:tc>
        <w:tc>
          <w:tcPr>
            <w:tcW w:w="2552" w:type="dxa"/>
            <w:vAlign w:val="center"/>
          </w:tcPr>
          <w:p>
            <w:pPr>
              <w:pStyle w:val="12"/>
            </w:pPr>
            <w: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4.39</w:t>
            </w:r>
          </w:p>
        </w:tc>
        <w:tc>
          <w:tcPr>
            <w:tcW w:w="2551" w:type="dxa"/>
            <w:vAlign w:val="center"/>
          </w:tcPr>
          <w:p>
            <w:pPr>
              <w:pStyle w:val="12"/>
            </w:pPr>
          </w:p>
        </w:tc>
        <w:tc>
          <w:tcPr>
            <w:tcW w:w="2552" w:type="dxa"/>
            <w:vAlign w:val="center"/>
          </w:tcPr>
          <w:p>
            <w:pPr>
              <w:pStyle w:val="12"/>
            </w:pPr>
            <w:r>
              <w:t>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3.61</w:t>
            </w:r>
          </w:p>
        </w:tc>
        <w:tc>
          <w:tcPr>
            <w:tcW w:w="2551" w:type="dxa"/>
            <w:vAlign w:val="center"/>
          </w:tcPr>
          <w:p>
            <w:pPr>
              <w:pStyle w:val="12"/>
            </w:pPr>
          </w:p>
        </w:tc>
        <w:tc>
          <w:tcPr>
            <w:tcW w:w="2552" w:type="dxa"/>
            <w:vAlign w:val="center"/>
          </w:tcPr>
          <w:p>
            <w:pPr>
              <w:pStyle w:val="12"/>
            </w:pPr>
            <w:r>
              <w:t>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2.54</w:t>
            </w:r>
          </w:p>
        </w:tc>
        <w:tc>
          <w:tcPr>
            <w:tcW w:w="2551" w:type="dxa"/>
            <w:vAlign w:val="center"/>
          </w:tcPr>
          <w:p>
            <w:pPr>
              <w:pStyle w:val="12"/>
            </w:pPr>
          </w:p>
        </w:tc>
        <w:tc>
          <w:tcPr>
            <w:tcW w:w="2552" w:type="dxa"/>
            <w:vAlign w:val="center"/>
          </w:tcPr>
          <w:p>
            <w:pPr>
              <w:pStyle w:val="12"/>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2.43</w:t>
            </w:r>
          </w:p>
        </w:tc>
        <w:tc>
          <w:tcPr>
            <w:tcW w:w="2551" w:type="dxa"/>
            <w:vAlign w:val="center"/>
          </w:tcPr>
          <w:p>
            <w:pPr>
              <w:pStyle w:val="12"/>
            </w:pPr>
          </w:p>
        </w:tc>
        <w:tc>
          <w:tcPr>
            <w:tcW w:w="2552" w:type="dxa"/>
            <w:vAlign w:val="center"/>
          </w:tcPr>
          <w:p>
            <w:pPr>
              <w:pStyle w:val="12"/>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5.28</w:t>
            </w:r>
          </w:p>
        </w:tc>
        <w:tc>
          <w:tcPr>
            <w:tcW w:w="2551" w:type="dxa"/>
            <w:vAlign w:val="center"/>
          </w:tcPr>
          <w:p>
            <w:pPr>
              <w:pStyle w:val="12"/>
            </w:pPr>
          </w:p>
        </w:tc>
        <w:tc>
          <w:tcPr>
            <w:tcW w:w="2552" w:type="dxa"/>
            <w:vAlign w:val="center"/>
          </w:tcPr>
          <w:p>
            <w:pPr>
              <w:pStyle w:val="12"/>
            </w:pPr>
            <w:r>
              <w:t>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0.38</w:t>
            </w:r>
          </w:p>
        </w:tc>
        <w:tc>
          <w:tcPr>
            <w:tcW w:w="2551" w:type="dxa"/>
            <w:vAlign w:val="center"/>
          </w:tcPr>
          <w:p>
            <w:pPr>
              <w:pStyle w:val="12"/>
            </w:pPr>
          </w:p>
        </w:tc>
        <w:tc>
          <w:tcPr>
            <w:tcW w:w="2552" w:type="dxa"/>
            <w:vAlign w:val="center"/>
          </w:tcPr>
          <w:p>
            <w:pPr>
              <w:pStyle w:val="12"/>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9.97</w:t>
            </w:r>
          </w:p>
        </w:tc>
        <w:tc>
          <w:tcPr>
            <w:tcW w:w="2551" w:type="dxa"/>
            <w:vAlign w:val="center"/>
          </w:tcPr>
          <w:p>
            <w:pPr>
              <w:pStyle w:val="12"/>
            </w:pPr>
            <w:r>
              <w:t>9.97</w:t>
            </w:r>
          </w:p>
        </w:tc>
        <w:tc>
          <w:tcPr>
            <w:tcW w:w="25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9.95</w:t>
            </w:r>
          </w:p>
        </w:tc>
        <w:tc>
          <w:tcPr>
            <w:tcW w:w="2551" w:type="dxa"/>
            <w:vAlign w:val="center"/>
          </w:tcPr>
          <w:p>
            <w:pPr>
              <w:pStyle w:val="12"/>
            </w:pPr>
            <w:r>
              <w:t>9.95</w:t>
            </w:r>
          </w:p>
        </w:tc>
        <w:tc>
          <w:tcPr>
            <w:tcW w:w="25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0.02</w:t>
            </w:r>
          </w:p>
        </w:tc>
        <w:tc>
          <w:tcPr>
            <w:tcW w:w="2551" w:type="dxa"/>
            <w:vAlign w:val="center"/>
          </w:tcPr>
          <w:p>
            <w:pPr>
              <w:pStyle w:val="12"/>
            </w:pPr>
            <w:r>
              <w:t>0.02</w:t>
            </w:r>
          </w:p>
        </w:tc>
        <w:tc>
          <w:tcPr>
            <w:tcW w:w="2552"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450001保定市徐水区医疗保障局本级</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5"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2"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2" w:type="dxa"/>
            <w:vAlign w:val="center"/>
          </w:tcPr>
          <w:p>
            <w:pPr>
              <w:pStyle w:val="16"/>
            </w:pPr>
            <w:r>
              <w:t>2.43</w:t>
            </w:r>
          </w:p>
        </w:tc>
        <w:tc>
          <w:tcPr>
            <w:tcW w:w="2381" w:type="dxa"/>
            <w:vAlign w:val="center"/>
          </w:tcPr>
          <w:p>
            <w:pPr>
              <w:pStyle w:val="16"/>
            </w:pPr>
            <w:r>
              <w:t>2.43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2" w:type="dxa"/>
            <w:vAlign w:val="center"/>
          </w:tcPr>
          <w:p>
            <w:pPr>
              <w:pStyle w:val="12"/>
            </w:pPr>
            <w:r>
              <w:t>2.43</w:t>
            </w:r>
          </w:p>
        </w:tc>
        <w:tc>
          <w:tcPr>
            <w:tcW w:w="2381" w:type="dxa"/>
            <w:vAlign w:val="center"/>
          </w:tcPr>
          <w:p>
            <w:pPr>
              <w:pStyle w:val="12"/>
            </w:pPr>
            <w:r>
              <w:t>2.43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2"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2"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2"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2" w:type="dxa"/>
            <w:vAlign w:val="center"/>
          </w:tcPr>
          <w:p>
            <w:pPr>
              <w:pStyle w:val="12"/>
            </w:pPr>
            <w:r>
              <w:t>2.43</w:t>
            </w:r>
          </w:p>
        </w:tc>
        <w:tc>
          <w:tcPr>
            <w:tcW w:w="2381" w:type="dxa"/>
            <w:vAlign w:val="center"/>
          </w:tcPr>
          <w:p>
            <w:pPr>
              <w:pStyle w:val="12"/>
            </w:pPr>
            <w:r>
              <w:t>2.43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2"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2" w:type="dxa"/>
            <w:vAlign w:val="center"/>
          </w:tcPr>
          <w:p>
            <w:pPr>
              <w:pStyle w:val="12"/>
            </w:pPr>
            <w:r>
              <w:t>2.43</w:t>
            </w:r>
          </w:p>
        </w:tc>
        <w:tc>
          <w:tcPr>
            <w:tcW w:w="2381" w:type="dxa"/>
            <w:vAlign w:val="center"/>
          </w:tcPr>
          <w:p>
            <w:pPr>
              <w:pStyle w:val="12"/>
            </w:pPr>
            <w:r>
              <w:t>2.43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2"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保定市徐水区医疗保障局本级2024年单位预算信息公开情况说明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按照《中华人民共和国预算法》、《地方预决算公开操作规程》和《关于进一步推进预算公开工作的实施意见》规定，现将保定市徐水区医疗保障局本级2024年单位预算公开如下：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8"/>
      </w:pPr>
      <w:r>
        <w:t>根据《保定市徐水区医疗保障局职能配置、内设机构和人员编制规定》，保定市徐水区医疗保障局的主要职责是：</w:t>
      </w:r>
    </w:p>
    <w:p>
      <w:pPr>
        <w:pStyle w:val="18"/>
      </w:pPr>
      <w:r>
        <w:t>（一）落实城镇职工和城乡居民</w:t>
      </w:r>
      <w:r>
        <w:rPr>
          <w:rFonts w:hint="eastAsia"/>
          <w:lang w:val="en-US" w:eastAsia="zh-CN"/>
        </w:rPr>
        <w:t>基本</w:t>
      </w:r>
      <w:bookmarkStart w:id="0" w:name="_GoBack"/>
      <w:bookmarkEnd w:id="0"/>
      <w:r>
        <w:t>医疗保险、生育保险、医疗救助等医疗保障制度、地方性法规、政策、规划和标准。</w:t>
      </w:r>
    </w:p>
    <w:p>
      <w:pPr>
        <w:pStyle w:val="18"/>
      </w:pPr>
      <w:r>
        <w:t>（二）落实完善医疗保障基金监督管理办法，建立健全医疗保障基金安全防控机制，组织建设只能监控平台，推进医疗保障基金支付方式改革，并组织实施。</w:t>
      </w:r>
    </w:p>
    <w:p>
      <w:pPr>
        <w:pStyle w:val="18"/>
      </w:pPr>
      <w:r>
        <w:t>（三）落实城镇职工、城乡居民参保筹资和保障待遇政策，统筹城乡医疗保障政策标准，执行与筹资水平相适应的待遇调整机制；组织实施长期护理保险制度方案及政策标准。</w:t>
      </w:r>
    </w:p>
    <w:p>
      <w:pPr>
        <w:pStyle w:val="18"/>
      </w:pPr>
      <w:r>
        <w:t>（四）落实城乡统一的药品、医用耗材、医疗服务项目、医疗服务设施等医保目录和支付标准，建立动态调整机制，贯彻落实医保目录准入谈判规则并组织实施。</w:t>
      </w:r>
    </w:p>
    <w:p>
      <w:pPr>
        <w:pStyle w:val="18"/>
      </w:pPr>
      <w:r>
        <w:t>（五）落实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pPr>
        <w:pStyle w:val="18"/>
      </w:pPr>
      <w:r>
        <w:t>（六）落实药品、医用耗材的招标采购政策并监督实施，指导药品、医用耗材招标采购平台建设。</w:t>
      </w:r>
    </w:p>
    <w:p>
      <w:pPr>
        <w:pStyle w:val="18"/>
      </w:pPr>
      <w:r>
        <w:t>（七）落实定点医药机构协议和支付管理办法，并组织实施；建立健全医疗保障信用评价体系和信息披露制度，监督管理定点医药机构的医疗服务行为、医疗费用和医药价格，依法查处医疗保障领域违法违规行为。</w:t>
      </w:r>
    </w:p>
    <w:p>
      <w:pPr>
        <w:pStyle w:val="18"/>
      </w:pPr>
      <w:r>
        <w:t>（八）负责医疗保障经办管理、公共服务体系和信息化建设；组织实施异地就医管理和费用结算政策；落实医疗保障关系转移接续制度。</w:t>
      </w:r>
    </w:p>
    <w:p>
      <w:pPr>
        <w:pStyle w:val="18"/>
      </w:pPr>
      <w:r>
        <w:t>（九）完成区委、区政府交办的其他任务。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5"/>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保定市徐水区医疗保障局本级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9"/>
      </w:pPr>
      <w:r>
        <w:rPr>
          <w:rFonts w:hint="eastAsia"/>
          <w:lang w:eastAsia="zh-CN"/>
        </w:rPr>
        <w:t>（</w:t>
      </w:r>
      <w:r>
        <w:t>一</w:t>
      </w:r>
      <w:r>
        <w:rPr>
          <w:rFonts w:hint="eastAsia"/>
          <w:lang w:eastAsia="zh-CN"/>
        </w:rPr>
        <w:t>）</w:t>
      </w:r>
      <w:r>
        <w:t>收入说明</w:t>
      </w:r>
    </w:p>
    <w:p>
      <w:pPr>
        <w:pStyle w:val="19"/>
      </w:pPr>
      <w:r>
        <w:t>反映本单位全部收入。2024年预算收入552.12万元，其中：一般公共预算收入552.12万元，基金预算收入0万元，国有资本经营预算收入0万元，财政专户核拨收入0万元，单位资金收入0万元，上年结转结余0万元。</w:t>
      </w:r>
    </w:p>
    <w:p>
      <w:pPr>
        <w:pStyle w:val="19"/>
      </w:pPr>
      <w:r>
        <w:rPr>
          <w:rFonts w:hint="eastAsia"/>
          <w:lang w:eastAsia="zh-CN"/>
        </w:rPr>
        <w:t>（</w:t>
      </w:r>
      <w:r>
        <w:t>二</w:t>
      </w:r>
      <w:r>
        <w:rPr>
          <w:rFonts w:hint="eastAsia"/>
          <w:lang w:eastAsia="zh-CN"/>
        </w:rPr>
        <w:t>）</w:t>
      </w:r>
      <w:r>
        <w:t>支出说明</w:t>
      </w:r>
    </w:p>
    <w:p>
      <w:pPr>
        <w:pStyle w:val="19"/>
      </w:pPr>
      <w:r>
        <w:t>收支预算总表支出栏、基本支出表、项目支出表按经济分类和支出功能分类科目编制，反映保定市徐水区医疗保障局本年度单位中支出预算的总体情况。2024年支出预算552.12万元，其中基本支出417.43万元，包括人员经费390.71万元和日常公用经费26.73万元；项目支出134.68万元，主要为本级支出。</w:t>
      </w:r>
    </w:p>
    <w:p>
      <w:pPr>
        <w:pStyle w:val="19"/>
      </w:pPr>
      <w:r>
        <w:rPr>
          <w:rFonts w:hint="eastAsia"/>
          <w:lang w:eastAsia="zh-CN"/>
        </w:rPr>
        <w:t>（</w:t>
      </w:r>
      <w:r>
        <w:t>三</w:t>
      </w:r>
      <w:r>
        <w:rPr>
          <w:rFonts w:hint="eastAsia"/>
          <w:lang w:eastAsia="zh-CN"/>
        </w:rPr>
        <w:t>）</w:t>
      </w:r>
      <w:r>
        <w:t>比上年增减情况</w:t>
      </w:r>
    </w:p>
    <w:p>
      <w:pPr>
        <w:pStyle w:val="19"/>
      </w:pPr>
      <w:r>
        <w:t>本年度预算收支安排552.12万元，较上年增加43.59万元。其中：基本支出减少18.7万元，主要原因是减少劳务派遣人员经费；项目支出增加62.28万元，主要原因是增加劳务派遣人员经费和医保网络经费预算安排。</w:t>
      </w:r>
    </w:p>
    <w:p>
      <w:pPr>
        <w:spacing w:before="10" w:after="10"/>
        <w:ind w:firstLine="640"/>
        <w:outlineLvl w:val="5"/>
      </w:pPr>
      <w:r>
        <w:rPr>
          <w:rFonts w:ascii="黑体" w:hAnsi="黑体" w:eastAsia="黑体" w:cs="黑体"/>
          <w:color w:val="000000"/>
          <w:sz w:val="32"/>
        </w:rPr>
        <w:t>三、机关运行经费安排情况</w:t>
      </w:r>
    </w:p>
    <w:p>
      <w:pPr>
        <w:pStyle w:val="20"/>
      </w:pPr>
      <w:r>
        <w:t>2024年我单位机关运行经费安排26.73万元，其中办公费8.1万元，邮电费4.39万元，工会经费、福利费</w:t>
      </w:r>
      <w:r>
        <w:rPr>
          <w:rFonts w:hint="eastAsia"/>
          <w:lang w:val="en-US" w:eastAsia="zh-CN"/>
        </w:rPr>
        <w:t>6.15</w:t>
      </w:r>
      <w:r>
        <w:t>万元，公务用车运行维护费2.43万元，其他支出</w:t>
      </w:r>
      <w:r>
        <w:rPr>
          <w:rFonts w:hint="eastAsia"/>
          <w:lang w:val="en-US" w:eastAsia="zh-CN"/>
        </w:rPr>
        <w:t>5.66</w:t>
      </w:r>
      <w:r>
        <w:t>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1"/>
      </w:pPr>
      <w:r>
        <w:t>2024年，我单位财政拨款“三公”经费预算安排2.43万元，其中因公出国（境）费0万元；公务用车购置及运维费2.43万元（其中：公务用车购置费为0万元，公务用车运维费2.43万元)；公务接待费0万元。与 2023年相比无变化。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1、劳务派遣人员经费绩效目标表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13062524P00001510302M</w:t>
            </w:r>
          </w:p>
        </w:tc>
        <w:tc>
          <w:tcPr>
            <w:tcW w:w="2835" w:type="dxa"/>
            <w:vAlign w:val="center"/>
          </w:tcPr>
          <w:p>
            <w:pPr>
              <w:pStyle w:val="11"/>
            </w:pPr>
            <w:r>
              <w:t>项目名称</w:t>
            </w:r>
          </w:p>
        </w:tc>
        <w:tc>
          <w:tcPr>
            <w:tcW w:w="6095" w:type="dxa"/>
            <w:gridSpan w:val="3"/>
            <w:vAlign w:val="center"/>
          </w:tcPr>
          <w:p>
            <w:pPr>
              <w:pStyle w:val="13"/>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24.83</w:t>
            </w:r>
          </w:p>
        </w:tc>
        <w:tc>
          <w:tcPr>
            <w:tcW w:w="2835" w:type="dxa"/>
            <w:vAlign w:val="center"/>
          </w:tcPr>
          <w:p>
            <w:pPr>
              <w:pStyle w:val="11"/>
            </w:pPr>
            <w:r>
              <w:t>其中：财政    资金</w:t>
            </w:r>
          </w:p>
        </w:tc>
        <w:tc>
          <w:tcPr>
            <w:tcW w:w="2551" w:type="dxa"/>
            <w:vAlign w:val="center"/>
          </w:tcPr>
          <w:p>
            <w:pPr>
              <w:pStyle w:val="13"/>
            </w:pPr>
            <w:r>
              <w:t>24.83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通过开展劳务派遣工作，保障机关正常运转。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24%</w:t>
            </w:r>
          </w:p>
        </w:tc>
        <w:tc>
          <w:tcPr>
            <w:tcW w:w="2835" w:type="dxa"/>
            <w:vAlign w:val="center"/>
          </w:tcPr>
          <w:p>
            <w:pPr>
              <w:pStyle w:val="14"/>
            </w:pPr>
            <w:r>
              <w:t>49%</w:t>
            </w:r>
          </w:p>
        </w:tc>
        <w:tc>
          <w:tcPr>
            <w:tcW w:w="2551" w:type="dxa"/>
            <w:vAlign w:val="center"/>
          </w:tcPr>
          <w:p>
            <w:pPr>
              <w:pStyle w:val="14"/>
            </w:pPr>
            <w:r>
              <w:t>74%</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1.通过开展劳务派遣工作，保障机关正常运转。</w:t>
            </w:r>
          </w:p>
          <w:p>
            <w:pPr>
              <w:pStyle w:val="13"/>
            </w:pPr>
            <w:r>
              <w:t>2.招聘劳务派遣人员5名，人员工资180000元/年，各类保险62340.6元/年，管理费6000元/年，共计248341元。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劳务派遣人数（人）</w:t>
            </w:r>
          </w:p>
        </w:tc>
        <w:tc>
          <w:tcPr>
            <w:tcW w:w="5386" w:type="dxa"/>
            <w:vAlign w:val="center"/>
          </w:tcPr>
          <w:p>
            <w:pPr>
              <w:pStyle w:val="13"/>
            </w:pPr>
            <w:r>
              <w:t>劳务派遣人数（人）</w:t>
            </w:r>
          </w:p>
        </w:tc>
        <w:tc>
          <w:tcPr>
            <w:tcW w:w="2268" w:type="dxa"/>
            <w:vAlign w:val="center"/>
          </w:tcPr>
          <w:p>
            <w:pPr>
              <w:pStyle w:val="13"/>
            </w:pPr>
            <w:r>
              <w:t>5人</w:t>
            </w:r>
          </w:p>
        </w:tc>
        <w:tc>
          <w:tcPr>
            <w:tcW w:w="1276" w:type="dxa"/>
            <w:vAlign w:val="center"/>
          </w:tcPr>
          <w:p>
            <w:pPr>
              <w:pStyle w:val="13"/>
            </w:pPr>
            <w:r>
              <w:t>保定市徐水区医疗保障局关于拨付劳务派遣工作人员等所需费用的请示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人员经费执行率</w:t>
            </w:r>
          </w:p>
        </w:tc>
        <w:tc>
          <w:tcPr>
            <w:tcW w:w="5386" w:type="dxa"/>
            <w:vAlign w:val="center"/>
          </w:tcPr>
          <w:p>
            <w:pPr>
              <w:pStyle w:val="13"/>
            </w:pPr>
            <w:r>
              <w:t>人员经费执行率</w:t>
            </w:r>
          </w:p>
        </w:tc>
        <w:tc>
          <w:tcPr>
            <w:tcW w:w="2268" w:type="dxa"/>
            <w:vAlign w:val="center"/>
          </w:tcPr>
          <w:p>
            <w:pPr>
              <w:pStyle w:val="13"/>
            </w:pPr>
            <w:r>
              <w:t>≥90%</w:t>
            </w:r>
          </w:p>
        </w:tc>
        <w:tc>
          <w:tcPr>
            <w:tcW w:w="1276" w:type="dxa"/>
            <w:vAlign w:val="center"/>
          </w:tcPr>
          <w:p>
            <w:pPr>
              <w:pStyle w:val="13"/>
            </w:pPr>
            <w:r>
              <w:t>劳务派遣人员经费实施计划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人员工资支付及时性</w:t>
            </w:r>
          </w:p>
        </w:tc>
        <w:tc>
          <w:tcPr>
            <w:tcW w:w="5386" w:type="dxa"/>
            <w:vAlign w:val="center"/>
          </w:tcPr>
          <w:p>
            <w:pPr>
              <w:pStyle w:val="13"/>
            </w:pPr>
            <w:r>
              <w:t>按照合同约定及时支付人员工资费用</w:t>
            </w:r>
          </w:p>
        </w:tc>
        <w:tc>
          <w:tcPr>
            <w:tcW w:w="2268" w:type="dxa"/>
            <w:vAlign w:val="center"/>
          </w:tcPr>
          <w:p>
            <w:pPr>
              <w:pStyle w:val="13"/>
            </w:pPr>
            <w:r>
              <w:t>≥90%</w:t>
            </w:r>
          </w:p>
        </w:tc>
        <w:tc>
          <w:tcPr>
            <w:tcW w:w="1276" w:type="dxa"/>
            <w:vAlign w:val="center"/>
          </w:tcPr>
          <w:p>
            <w:pPr>
              <w:pStyle w:val="13"/>
            </w:pPr>
            <w:r>
              <w:t>劳务派遣合同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全年支付派遣人员工资额</w:t>
            </w:r>
          </w:p>
        </w:tc>
        <w:tc>
          <w:tcPr>
            <w:tcW w:w="5386" w:type="dxa"/>
            <w:vAlign w:val="center"/>
          </w:tcPr>
          <w:p>
            <w:pPr>
              <w:pStyle w:val="13"/>
            </w:pPr>
            <w:r>
              <w:t>全年支付派遣人员工资额</w:t>
            </w:r>
          </w:p>
        </w:tc>
        <w:tc>
          <w:tcPr>
            <w:tcW w:w="2268" w:type="dxa"/>
            <w:vAlign w:val="center"/>
          </w:tcPr>
          <w:p>
            <w:pPr>
              <w:pStyle w:val="13"/>
            </w:pPr>
            <w:r>
              <w:t>≥24.83万元</w:t>
            </w:r>
          </w:p>
        </w:tc>
        <w:tc>
          <w:tcPr>
            <w:tcW w:w="1276" w:type="dxa"/>
            <w:vAlign w:val="center"/>
          </w:tcPr>
          <w:p>
            <w:pPr>
              <w:pStyle w:val="13"/>
            </w:pPr>
            <w:r>
              <w:t>劳务派遣人员经费实施计划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派遣人员上岗后，服务质量提升度</w:t>
            </w:r>
          </w:p>
        </w:tc>
        <w:tc>
          <w:tcPr>
            <w:tcW w:w="5386" w:type="dxa"/>
            <w:vAlign w:val="center"/>
          </w:tcPr>
          <w:p>
            <w:pPr>
              <w:pStyle w:val="13"/>
            </w:pPr>
            <w:r>
              <w:t>派遣人员上岗后，服务质量提升度</w:t>
            </w:r>
          </w:p>
        </w:tc>
        <w:tc>
          <w:tcPr>
            <w:tcW w:w="2268" w:type="dxa"/>
            <w:vAlign w:val="center"/>
          </w:tcPr>
          <w:p>
            <w:pPr>
              <w:pStyle w:val="13"/>
            </w:pPr>
            <w:r>
              <w:t>≥90%</w:t>
            </w:r>
          </w:p>
        </w:tc>
        <w:tc>
          <w:tcPr>
            <w:tcW w:w="1276" w:type="dxa"/>
            <w:vAlign w:val="center"/>
          </w:tcPr>
          <w:p>
            <w:pPr>
              <w:pStyle w:val="13"/>
            </w:pPr>
            <w:r>
              <w:t>劳务派遣人员经费实施计划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机关对劳务派遣人员满意度</w:t>
            </w:r>
          </w:p>
        </w:tc>
        <w:tc>
          <w:tcPr>
            <w:tcW w:w="5386" w:type="dxa"/>
            <w:vAlign w:val="center"/>
          </w:tcPr>
          <w:p>
            <w:pPr>
              <w:pStyle w:val="13"/>
            </w:pPr>
            <w:r>
              <w:t>机关对劳务派遣人员满意情况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2、离休药费统筹区级配套资金绩效目标表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13062524P00001510300E</w:t>
            </w:r>
          </w:p>
        </w:tc>
        <w:tc>
          <w:tcPr>
            <w:tcW w:w="2835" w:type="dxa"/>
            <w:vAlign w:val="center"/>
          </w:tcPr>
          <w:p>
            <w:pPr>
              <w:pStyle w:val="11"/>
            </w:pPr>
            <w:r>
              <w:t>项目名称</w:t>
            </w:r>
          </w:p>
        </w:tc>
        <w:tc>
          <w:tcPr>
            <w:tcW w:w="6095" w:type="dxa"/>
            <w:gridSpan w:val="3"/>
            <w:vAlign w:val="center"/>
          </w:tcPr>
          <w:p>
            <w:pPr>
              <w:pStyle w:val="13"/>
            </w:pPr>
            <w:r>
              <w:t>离休药费统筹区级配套资金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为徐水区离休老干部提供医疗费用报销及药费包干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离休人员保障人数</w:t>
            </w:r>
          </w:p>
        </w:tc>
        <w:tc>
          <w:tcPr>
            <w:tcW w:w="5386" w:type="dxa"/>
            <w:vAlign w:val="center"/>
          </w:tcPr>
          <w:p>
            <w:pPr>
              <w:pStyle w:val="13"/>
            </w:pPr>
            <w:r>
              <w:t>反映离休人员保障人数</w:t>
            </w:r>
          </w:p>
        </w:tc>
        <w:tc>
          <w:tcPr>
            <w:tcW w:w="2268" w:type="dxa"/>
            <w:vAlign w:val="center"/>
          </w:tcPr>
          <w:p>
            <w:pPr>
              <w:pStyle w:val="13"/>
            </w:pPr>
            <w:r>
              <w:t>≥1人</w:t>
            </w:r>
          </w:p>
        </w:tc>
        <w:tc>
          <w:tcPr>
            <w:tcW w:w="1276" w:type="dxa"/>
            <w:vAlign w:val="center"/>
          </w:tcPr>
          <w:p>
            <w:pPr>
              <w:pStyle w:val="13"/>
            </w:pPr>
            <w:r>
              <w:t>离休药费统筹区级配套资金项目实施计划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应保尽保率</w:t>
            </w:r>
          </w:p>
        </w:tc>
        <w:tc>
          <w:tcPr>
            <w:tcW w:w="5386" w:type="dxa"/>
            <w:vAlign w:val="center"/>
          </w:tcPr>
          <w:p>
            <w:pPr>
              <w:pStyle w:val="13"/>
            </w:pPr>
            <w:r>
              <w:t>反映资金应保尽保情况</w:t>
            </w:r>
          </w:p>
        </w:tc>
        <w:tc>
          <w:tcPr>
            <w:tcW w:w="2268" w:type="dxa"/>
            <w:vAlign w:val="center"/>
          </w:tcPr>
          <w:p>
            <w:pPr>
              <w:pStyle w:val="13"/>
            </w:pPr>
            <w:r>
              <w:t>≥90%</w:t>
            </w:r>
          </w:p>
        </w:tc>
        <w:tc>
          <w:tcPr>
            <w:tcW w:w="1276" w:type="dxa"/>
            <w:vAlign w:val="center"/>
          </w:tcPr>
          <w:p>
            <w:pPr>
              <w:pStyle w:val="13"/>
            </w:pPr>
            <w:r>
              <w:t>离休药费统筹区级配套资金项目实施计划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反映医疗保障资金发放及时情况</w:t>
            </w:r>
          </w:p>
        </w:tc>
        <w:tc>
          <w:tcPr>
            <w:tcW w:w="2268" w:type="dxa"/>
            <w:vAlign w:val="center"/>
          </w:tcPr>
          <w:p>
            <w:pPr>
              <w:pStyle w:val="13"/>
            </w:pPr>
            <w:r>
              <w:t>≥90%</w:t>
            </w:r>
          </w:p>
        </w:tc>
        <w:tc>
          <w:tcPr>
            <w:tcW w:w="1276" w:type="dxa"/>
            <w:vAlign w:val="center"/>
          </w:tcPr>
          <w:p>
            <w:pPr>
              <w:pStyle w:val="13"/>
            </w:pPr>
            <w:r>
              <w:t>离休药费统筹区级配套资金项目实施计划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反映项目支出金额不高于预算数</w:t>
            </w:r>
          </w:p>
        </w:tc>
        <w:tc>
          <w:tcPr>
            <w:tcW w:w="2268" w:type="dxa"/>
            <w:vAlign w:val="center"/>
          </w:tcPr>
          <w:p>
            <w:pPr>
              <w:pStyle w:val="13"/>
            </w:pPr>
            <w:r>
              <w:t>≤7万元</w:t>
            </w:r>
          </w:p>
        </w:tc>
        <w:tc>
          <w:tcPr>
            <w:tcW w:w="1276" w:type="dxa"/>
            <w:vAlign w:val="center"/>
          </w:tcPr>
          <w:p>
            <w:pPr>
              <w:pStyle w:val="13"/>
            </w:pPr>
            <w:r>
              <w:t>保定市徐水区医疗保障局关于提高离休干部医药费预算标准的请示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减轻离休人员医药费支出负担程度</w:t>
            </w:r>
          </w:p>
        </w:tc>
        <w:tc>
          <w:tcPr>
            <w:tcW w:w="5386" w:type="dxa"/>
            <w:vAlign w:val="center"/>
          </w:tcPr>
          <w:p>
            <w:pPr>
              <w:pStyle w:val="13"/>
            </w:pPr>
            <w:r>
              <w:t>减轻离休人员医药费支出负担情况</w:t>
            </w:r>
          </w:p>
        </w:tc>
        <w:tc>
          <w:tcPr>
            <w:tcW w:w="2268" w:type="dxa"/>
            <w:vAlign w:val="center"/>
          </w:tcPr>
          <w:p>
            <w:pPr>
              <w:pStyle w:val="13"/>
            </w:pPr>
            <w:r>
              <w:t>≥85%</w:t>
            </w:r>
          </w:p>
        </w:tc>
        <w:tc>
          <w:tcPr>
            <w:tcW w:w="1276" w:type="dxa"/>
            <w:vAlign w:val="center"/>
          </w:tcPr>
          <w:p>
            <w:pPr>
              <w:pStyle w:val="13"/>
            </w:pPr>
            <w:r>
              <w:t>离休药费统筹区级配套资金项目实施计划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离休老干部满意度</w:t>
            </w:r>
          </w:p>
        </w:tc>
        <w:tc>
          <w:tcPr>
            <w:tcW w:w="5386" w:type="dxa"/>
            <w:vAlign w:val="center"/>
          </w:tcPr>
          <w:p>
            <w:pPr>
              <w:pStyle w:val="13"/>
            </w:pPr>
            <w:r>
              <w:t>反映享受待遇的离休老干部满意度</w:t>
            </w:r>
          </w:p>
        </w:tc>
        <w:tc>
          <w:tcPr>
            <w:tcW w:w="2268" w:type="dxa"/>
            <w:vAlign w:val="center"/>
          </w:tcPr>
          <w:p>
            <w:pPr>
              <w:pStyle w:val="13"/>
            </w:pPr>
            <w:r>
              <w:t>≥85%</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3、提前下达2024年中央财政医疗服务与保障能力提升补助资金绩效目标表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13062524P000017102427</w:t>
            </w:r>
          </w:p>
        </w:tc>
        <w:tc>
          <w:tcPr>
            <w:tcW w:w="2835" w:type="dxa"/>
            <w:vAlign w:val="center"/>
          </w:tcPr>
          <w:p>
            <w:pPr>
              <w:pStyle w:val="11"/>
            </w:pPr>
            <w:r>
              <w:t>项目名称</w:t>
            </w:r>
          </w:p>
        </w:tc>
        <w:tc>
          <w:tcPr>
            <w:tcW w:w="6095" w:type="dxa"/>
            <w:gridSpan w:val="3"/>
            <w:vAlign w:val="center"/>
          </w:tcPr>
          <w:p>
            <w:pPr>
              <w:pStyle w:val="13"/>
            </w:pPr>
            <w:r>
              <w:t>提前下达2024年中央财政医疗服务与保障能力提升补助资金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38.00</w:t>
            </w:r>
          </w:p>
        </w:tc>
        <w:tc>
          <w:tcPr>
            <w:tcW w:w="2835" w:type="dxa"/>
            <w:vAlign w:val="center"/>
          </w:tcPr>
          <w:p>
            <w:pPr>
              <w:pStyle w:val="11"/>
            </w:pPr>
            <w:r>
              <w:t>其中：财政    资金</w:t>
            </w:r>
          </w:p>
        </w:tc>
        <w:tc>
          <w:tcPr>
            <w:tcW w:w="2551" w:type="dxa"/>
            <w:vAlign w:val="center"/>
          </w:tcPr>
          <w:p>
            <w:pPr>
              <w:pStyle w:val="13"/>
            </w:pPr>
            <w:r>
              <w:t>38.00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用于2024年医疗服务与保障能力提升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1.国家统一医保信息平台正常运行</w:t>
            </w:r>
          </w:p>
          <w:p>
            <w:pPr>
              <w:pStyle w:val="13"/>
            </w:pPr>
            <w:r>
              <w:t>2.安装远程监控设备的药店≤50家，远程监控设备运行时间不晚于12月底，业务预算资金使用金额38万元，参保人员对医保服务的满意度85%。</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安装监控设备的药店情况</w:t>
            </w:r>
          </w:p>
        </w:tc>
        <w:tc>
          <w:tcPr>
            <w:tcW w:w="5386" w:type="dxa"/>
            <w:vAlign w:val="center"/>
          </w:tcPr>
          <w:p>
            <w:pPr>
              <w:pStyle w:val="13"/>
            </w:pPr>
            <w:r>
              <w:t>安装监控设备的药店数量</w:t>
            </w:r>
          </w:p>
        </w:tc>
        <w:tc>
          <w:tcPr>
            <w:tcW w:w="2268" w:type="dxa"/>
            <w:vAlign w:val="center"/>
          </w:tcPr>
          <w:p>
            <w:pPr>
              <w:pStyle w:val="13"/>
            </w:pPr>
            <w:r>
              <w:t>≤50家</w:t>
            </w:r>
          </w:p>
        </w:tc>
        <w:tc>
          <w:tcPr>
            <w:tcW w:w="1276" w:type="dxa"/>
            <w:vAlign w:val="center"/>
          </w:tcPr>
          <w:p>
            <w:pPr>
              <w:pStyle w:val="13"/>
            </w:pPr>
            <w:r>
              <w:t>提前下达2024年中央财政医疗服务与保障能力提升补助资金实施计划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医保信息系统正常运行率</w:t>
            </w:r>
          </w:p>
        </w:tc>
        <w:tc>
          <w:tcPr>
            <w:tcW w:w="5386" w:type="dxa"/>
            <w:vAlign w:val="center"/>
          </w:tcPr>
          <w:p>
            <w:pPr>
              <w:pStyle w:val="13"/>
            </w:pPr>
            <w:r>
              <w:t>反映医保信息的正常运行情况</w:t>
            </w:r>
          </w:p>
        </w:tc>
        <w:tc>
          <w:tcPr>
            <w:tcW w:w="2268" w:type="dxa"/>
            <w:vAlign w:val="center"/>
          </w:tcPr>
          <w:p>
            <w:pPr>
              <w:pStyle w:val="13"/>
            </w:pPr>
            <w:r>
              <w:t>≥90%</w:t>
            </w:r>
          </w:p>
        </w:tc>
        <w:tc>
          <w:tcPr>
            <w:tcW w:w="1276" w:type="dxa"/>
            <w:vAlign w:val="center"/>
          </w:tcPr>
          <w:p>
            <w:pPr>
              <w:pStyle w:val="13"/>
            </w:pPr>
            <w:r>
              <w:t>提前下达2024年中央财政医疗服务与保障能力提升补助资金实施计划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远程监控设备运行情况</w:t>
            </w:r>
          </w:p>
        </w:tc>
        <w:tc>
          <w:tcPr>
            <w:tcW w:w="5386" w:type="dxa"/>
            <w:vAlign w:val="center"/>
          </w:tcPr>
          <w:p>
            <w:pPr>
              <w:pStyle w:val="13"/>
            </w:pPr>
            <w:r>
              <w:t>远程监控设备运行时间</w:t>
            </w:r>
          </w:p>
        </w:tc>
        <w:tc>
          <w:tcPr>
            <w:tcW w:w="2268" w:type="dxa"/>
            <w:vAlign w:val="center"/>
          </w:tcPr>
          <w:p>
            <w:pPr>
              <w:pStyle w:val="13"/>
            </w:pPr>
            <w:r>
              <w:t>≤12月</w:t>
            </w:r>
          </w:p>
        </w:tc>
        <w:tc>
          <w:tcPr>
            <w:tcW w:w="1276" w:type="dxa"/>
            <w:vAlign w:val="center"/>
          </w:tcPr>
          <w:p>
            <w:pPr>
              <w:pStyle w:val="13"/>
            </w:pPr>
            <w:r>
              <w:t>提前下达2024年中央财政医疗服务与保障能力提升补助资金实施计划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业务预算资金使用情况</w:t>
            </w:r>
          </w:p>
        </w:tc>
        <w:tc>
          <w:tcPr>
            <w:tcW w:w="5386" w:type="dxa"/>
            <w:vAlign w:val="center"/>
          </w:tcPr>
          <w:p>
            <w:pPr>
              <w:pStyle w:val="13"/>
            </w:pPr>
            <w:r>
              <w:t>业务预算资金使用金额</w:t>
            </w:r>
          </w:p>
        </w:tc>
        <w:tc>
          <w:tcPr>
            <w:tcW w:w="2268" w:type="dxa"/>
            <w:vAlign w:val="center"/>
          </w:tcPr>
          <w:p>
            <w:pPr>
              <w:pStyle w:val="13"/>
            </w:pPr>
            <w:r>
              <w:t>≤38万元</w:t>
            </w:r>
          </w:p>
        </w:tc>
        <w:tc>
          <w:tcPr>
            <w:tcW w:w="1276" w:type="dxa"/>
            <w:vAlign w:val="center"/>
          </w:tcPr>
          <w:p>
            <w:pPr>
              <w:pStyle w:val="13"/>
            </w:pPr>
            <w:r>
              <w:t>冀财社【2023】208号河北省财政厅  河北省医保局  关于提前下达2024年中央财政医疗服务与保障能力提升补助资金预算的通知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保障基金运行安全率</w:t>
            </w:r>
          </w:p>
        </w:tc>
        <w:tc>
          <w:tcPr>
            <w:tcW w:w="5386" w:type="dxa"/>
            <w:vAlign w:val="center"/>
          </w:tcPr>
          <w:p>
            <w:pPr>
              <w:pStyle w:val="13"/>
            </w:pPr>
            <w:r>
              <w:t>保障基金运行安全情况</w:t>
            </w:r>
          </w:p>
        </w:tc>
        <w:tc>
          <w:tcPr>
            <w:tcW w:w="2268" w:type="dxa"/>
            <w:vAlign w:val="center"/>
          </w:tcPr>
          <w:p>
            <w:pPr>
              <w:pStyle w:val="13"/>
            </w:pPr>
            <w:r>
              <w:t>100%</w:t>
            </w:r>
          </w:p>
        </w:tc>
        <w:tc>
          <w:tcPr>
            <w:tcW w:w="1276" w:type="dxa"/>
            <w:vAlign w:val="center"/>
          </w:tcPr>
          <w:p>
            <w:pPr>
              <w:pStyle w:val="13"/>
            </w:pPr>
            <w:r>
              <w:t>提前下达2024年中央财政医疗服务与保障能力提升补助资金实施计划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参保人员对医保服务 的满意度</w:t>
            </w:r>
          </w:p>
        </w:tc>
        <w:tc>
          <w:tcPr>
            <w:tcW w:w="5386" w:type="dxa"/>
            <w:vAlign w:val="center"/>
          </w:tcPr>
          <w:p>
            <w:pPr>
              <w:pStyle w:val="13"/>
            </w:pPr>
            <w:r>
              <w:t>反映参保人员对医保服务的满意度</w:t>
            </w:r>
          </w:p>
        </w:tc>
        <w:tc>
          <w:tcPr>
            <w:tcW w:w="2268" w:type="dxa"/>
            <w:vAlign w:val="center"/>
          </w:tcPr>
          <w:p>
            <w:pPr>
              <w:pStyle w:val="13"/>
            </w:pPr>
            <w:r>
              <w:t>≥85%</w:t>
            </w:r>
          </w:p>
        </w:tc>
        <w:tc>
          <w:tcPr>
            <w:tcW w:w="1276" w:type="dxa"/>
            <w:vAlign w:val="center"/>
          </w:tcPr>
          <w:p>
            <w:pPr>
              <w:pStyle w:val="13"/>
            </w:pPr>
            <w:r>
              <w:t>提前下达2024年中央财政医疗服务与保障能力提升补助资金实施计划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4、退役军人专岗人员提高待遇资金绩效目标表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13062524P000015103012</w:t>
            </w:r>
          </w:p>
        </w:tc>
        <w:tc>
          <w:tcPr>
            <w:tcW w:w="2835" w:type="dxa"/>
            <w:vAlign w:val="center"/>
          </w:tcPr>
          <w:p>
            <w:pPr>
              <w:pStyle w:val="11"/>
            </w:pPr>
            <w:r>
              <w:t>项目名称</w:t>
            </w:r>
          </w:p>
        </w:tc>
        <w:tc>
          <w:tcPr>
            <w:tcW w:w="6095" w:type="dxa"/>
            <w:gridSpan w:val="3"/>
            <w:vAlign w:val="center"/>
          </w:tcPr>
          <w:p>
            <w:pPr>
              <w:pStyle w:val="13"/>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0.36</w:t>
            </w:r>
          </w:p>
        </w:tc>
        <w:tc>
          <w:tcPr>
            <w:tcW w:w="2835" w:type="dxa"/>
            <w:vAlign w:val="center"/>
          </w:tcPr>
          <w:p>
            <w:pPr>
              <w:pStyle w:val="11"/>
            </w:pPr>
            <w:r>
              <w:t>其中：财政    资金</w:t>
            </w:r>
          </w:p>
        </w:tc>
        <w:tc>
          <w:tcPr>
            <w:tcW w:w="2551" w:type="dxa"/>
            <w:vAlign w:val="center"/>
          </w:tcPr>
          <w:p>
            <w:pPr>
              <w:pStyle w:val="13"/>
            </w:pPr>
            <w:r>
              <w:t>0.36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确保全区稳定，保障退役军人专岗人员更好发挥作用。项目资金0.36万元，发放人数1人。资金年初分配到各单位，由各单位具体组织实施。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w:t>
            </w:r>
          </w:p>
        </w:tc>
        <w:tc>
          <w:tcPr>
            <w:tcW w:w="2835" w:type="dxa"/>
            <w:vAlign w:val="center"/>
          </w:tcPr>
          <w:p>
            <w:pPr>
              <w:pStyle w:val="14"/>
            </w:pPr>
            <w:r>
              <w:t>41%</w:t>
            </w:r>
          </w:p>
        </w:tc>
        <w:tc>
          <w:tcPr>
            <w:tcW w:w="2551" w:type="dxa"/>
            <w:vAlign w:val="center"/>
          </w:tcPr>
          <w:p>
            <w:pPr>
              <w:pStyle w:val="14"/>
            </w:pPr>
            <w:r>
              <w:t>66%</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1.确保全区稳定，保障退役军人专岗人员更好发挥作用。</w:t>
            </w:r>
          </w:p>
          <w:p>
            <w:pPr>
              <w:pStyle w:val="13"/>
            </w:pPr>
            <w:r>
              <w:t>2.退役军人专岗提高待遇资金发放人数1人，每月300元按标准拨付资金。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专岗人员人数</w:t>
            </w:r>
          </w:p>
        </w:tc>
        <w:tc>
          <w:tcPr>
            <w:tcW w:w="5386" w:type="dxa"/>
            <w:vAlign w:val="center"/>
          </w:tcPr>
          <w:p>
            <w:pPr>
              <w:pStyle w:val="13"/>
            </w:pPr>
            <w:r>
              <w:t>专岗人员人数反映</w:t>
            </w:r>
          </w:p>
        </w:tc>
        <w:tc>
          <w:tcPr>
            <w:tcW w:w="2268" w:type="dxa"/>
            <w:vAlign w:val="center"/>
          </w:tcPr>
          <w:p>
            <w:pPr>
              <w:pStyle w:val="13"/>
            </w:pPr>
            <w:r>
              <w:t>1人</w:t>
            </w:r>
          </w:p>
        </w:tc>
        <w:tc>
          <w:tcPr>
            <w:tcW w:w="1276" w:type="dxa"/>
            <w:vAlign w:val="center"/>
          </w:tcPr>
          <w:p>
            <w:pPr>
              <w:pStyle w:val="13"/>
            </w:pPr>
            <w:r>
              <w:t>保定市徐水区退役军人事务所《关于徐水区退役军人专岗人员提高待遇的请示》及区政府2021年6月17日的批示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保定市徐水区退役军人事务所《关于徐水区退役军人专岗人员提高待遇的请示》及区政府2021年6月17日的批示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按月发放到位</w:t>
            </w:r>
          </w:p>
        </w:tc>
        <w:tc>
          <w:tcPr>
            <w:tcW w:w="2268" w:type="dxa"/>
            <w:vAlign w:val="center"/>
          </w:tcPr>
          <w:p>
            <w:pPr>
              <w:pStyle w:val="13"/>
            </w:pPr>
            <w:r>
              <w:t>100%</w:t>
            </w:r>
          </w:p>
        </w:tc>
        <w:tc>
          <w:tcPr>
            <w:tcW w:w="1276" w:type="dxa"/>
            <w:vAlign w:val="center"/>
          </w:tcPr>
          <w:p>
            <w:pPr>
              <w:pStyle w:val="13"/>
            </w:pPr>
            <w:r>
              <w:t>保定市徐水区退役军人事务所《关于徐水区退役军人专岗人员提高待遇的请示》及区政府2021年6月17日的批示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≤0.36万元</w:t>
            </w:r>
          </w:p>
        </w:tc>
        <w:tc>
          <w:tcPr>
            <w:tcW w:w="1276" w:type="dxa"/>
            <w:vAlign w:val="center"/>
          </w:tcPr>
          <w:p>
            <w:pPr>
              <w:pStyle w:val="13"/>
            </w:pPr>
            <w:r>
              <w:t>1.保定市徐水区退役军人事务所《关于徐水区退役军人专岗人员提高待遇的请示》及区政府2021年6月17日的批示2.退役军人专岗人员提高待遇资金项目实施计划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专岗人员上访次数</w:t>
            </w:r>
          </w:p>
        </w:tc>
        <w:tc>
          <w:tcPr>
            <w:tcW w:w="5386" w:type="dxa"/>
            <w:vAlign w:val="center"/>
          </w:tcPr>
          <w:p>
            <w:pPr>
              <w:pStyle w:val="13"/>
            </w:pPr>
            <w:r>
              <w:t>专岗人员因为生活补贴上访的次数</w:t>
            </w:r>
          </w:p>
        </w:tc>
        <w:tc>
          <w:tcPr>
            <w:tcW w:w="2268" w:type="dxa"/>
            <w:vAlign w:val="center"/>
          </w:tcPr>
          <w:p>
            <w:pPr>
              <w:pStyle w:val="13"/>
            </w:pPr>
            <w:r>
              <w:t>≤2次</w:t>
            </w:r>
          </w:p>
        </w:tc>
        <w:tc>
          <w:tcPr>
            <w:tcW w:w="1276" w:type="dxa"/>
            <w:vAlign w:val="center"/>
          </w:tcPr>
          <w:p>
            <w:pPr>
              <w:pStyle w:val="13"/>
            </w:pPr>
            <w:r>
              <w:t>保定市徐水区退役军人事务所《关于徐水区退役军人专岗人员提高待遇的请示》及区政府2021年6月17日的批示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退役军人专岗人员满意度</w:t>
            </w:r>
          </w:p>
        </w:tc>
        <w:tc>
          <w:tcPr>
            <w:tcW w:w="5386" w:type="dxa"/>
            <w:vAlign w:val="center"/>
          </w:tcPr>
          <w:p>
            <w:pPr>
              <w:pStyle w:val="13"/>
            </w:pPr>
            <w:r>
              <w:t>项目相关的退役军人专岗人员满意度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5、医保基金监管核查专项资金（含专家费）绩效目标表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13062524P00001510696T</w:t>
            </w:r>
          </w:p>
        </w:tc>
        <w:tc>
          <w:tcPr>
            <w:tcW w:w="2835" w:type="dxa"/>
            <w:vAlign w:val="center"/>
          </w:tcPr>
          <w:p>
            <w:pPr>
              <w:pStyle w:val="11"/>
            </w:pPr>
            <w:r>
              <w:t>项目名称</w:t>
            </w:r>
          </w:p>
        </w:tc>
        <w:tc>
          <w:tcPr>
            <w:tcW w:w="6095" w:type="dxa"/>
            <w:gridSpan w:val="3"/>
            <w:vAlign w:val="center"/>
          </w:tcPr>
          <w:p>
            <w:pPr>
              <w:pStyle w:val="13"/>
            </w:pPr>
            <w:r>
              <w:t>医保基金监管核查专项资金（含专家费）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13.02</w:t>
            </w:r>
          </w:p>
        </w:tc>
        <w:tc>
          <w:tcPr>
            <w:tcW w:w="2835" w:type="dxa"/>
            <w:vAlign w:val="center"/>
          </w:tcPr>
          <w:p>
            <w:pPr>
              <w:pStyle w:val="11"/>
            </w:pPr>
            <w:r>
              <w:t>其中：财政    资金</w:t>
            </w:r>
          </w:p>
        </w:tc>
        <w:tc>
          <w:tcPr>
            <w:tcW w:w="2551" w:type="dxa"/>
            <w:vAlign w:val="center"/>
          </w:tcPr>
          <w:p>
            <w:pPr>
              <w:pStyle w:val="13"/>
            </w:pPr>
            <w:r>
              <w:t>13.02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通过开展基金专项监督检查活动，保障基金应用合法合理，通过此经费的支出，保障基金监管工作顺利进行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1.通过开展基金专项监督检查活动，保障基金应用合法合理，通过此经费的支出，保障基金监管工作顺利进行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监督检查次数</w:t>
            </w:r>
          </w:p>
        </w:tc>
        <w:tc>
          <w:tcPr>
            <w:tcW w:w="5386" w:type="dxa"/>
            <w:vAlign w:val="center"/>
          </w:tcPr>
          <w:p>
            <w:pPr>
              <w:pStyle w:val="13"/>
            </w:pPr>
            <w:r>
              <w:t>反映监督检查次数完成情况</w:t>
            </w:r>
          </w:p>
        </w:tc>
        <w:tc>
          <w:tcPr>
            <w:tcW w:w="2268" w:type="dxa"/>
            <w:vAlign w:val="center"/>
          </w:tcPr>
          <w:p>
            <w:pPr>
              <w:pStyle w:val="13"/>
            </w:pPr>
            <w:r>
              <w:t>≥2次</w:t>
            </w:r>
          </w:p>
        </w:tc>
        <w:tc>
          <w:tcPr>
            <w:tcW w:w="1276" w:type="dxa"/>
            <w:vAlign w:val="center"/>
          </w:tcPr>
          <w:p>
            <w:pPr>
              <w:pStyle w:val="13"/>
            </w:pPr>
            <w:r>
              <w:t>冀政字【2019】28号河北省医疗保障基金监管办法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报告质量合格率</w:t>
            </w:r>
          </w:p>
        </w:tc>
        <w:tc>
          <w:tcPr>
            <w:tcW w:w="5386" w:type="dxa"/>
            <w:vAlign w:val="center"/>
          </w:tcPr>
          <w:p>
            <w:pPr>
              <w:pStyle w:val="13"/>
            </w:pPr>
            <w:r>
              <w:t>反映整改报告质量情况</w:t>
            </w:r>
          </w:p>
        </w:tc>
        <w:tc>
          <w:tcPr>
            <w:tcW w:w="2268" w:type="dxa"/>
            <w:vAlign w:val="center"/>
          </w:tcPr>
          <w:p>
            <w:pPr>
              <w:pStyle w:val="13"/>
            </w:pPr>
            <w:r>
              <w:t>≥90%</w:t>
            </w:r>
          </w:p>
        </w:tc>
        <w:tc>
          <w:tcPr>
            <w:tcW w:w="1276" w:type="dxa"/>
            <w:vAlign w:val="center"/>
          </w:tcPr>
          <w:p>
            <w:pPr>
              <w:pStyle w:val="13"/>
            </w:pPr>
            <w:r>
              <w:t>医保基金监管核查专项资金（含专家费）实施计划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监督检查及时率</w:t>
            </w:r>
          </w:p>
        </w:tc>
        <w:tc>
          <w:tcPr>
            <w:tcW w:w="5386" w:type="dxa"/>
            <w:vAlign w:val="center"/>
          </w:tcPr>
          <w:p>
            <w:pPr>
              <w:pStyle w:val="13"/>
            </w:pPr>
            <w:r>
              <w:t>反映监督检查完成程度</w:t>
            </w:r>
          </w:p>
        </w:tc>
        <w:tc>
          <w:tcPr>
            <w:tcW w:w="2268" w:type="dxa"/>
            <w:vAlign w:val="center"/>
          </w:tcPr>
          <w:p>
            <w:pPr>
              <w:pStyle w:val="13"/>
            </w:pPr>
            <w:r>
              <w:t>100%</w:t>
            </w:r>
          </w:p>
        </w:tc>
        <w:tc>
          <w:tcPr>
            <w:tcW w:w="1276" w:type="dxa"/>
            <w:vAlign w:val="center"/>
          </w:tcPr>
          <w:p>
            <w:pPr>
              <w:pStyle w:val="13"/>
            </w:pPr>
            <w:r>
              <w:t>医保基金监管核查专项资金（含专家费）实施计划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反映项目支出金额控制情况</w:t>
            </w:r>
          </w:p>
        </w:tc>
        <w:tc>
          <w:tcPr>
            <w:tcW w:w="2268" w:type="dxa"/>
            <w:vAlign w:val="center"/>
          </w:tcPr>
          <w:p>
            <w:pPr>
              <w:pStyle w:val="13"/>
            </w:pPr>
            <w:r>
              <w:t>≤13.02万元</w:t>
            </w:r>
          </w:p>
        </w:tc>
        <w:tc>
          <w:tcPr>
            <w:tcW w:w="1276" w:type="dxa"/>
            <w:vAlign w:val="center"/>
          </w:tcPr>
          <w:p>
            <w:pPr>
              <w:pStyle w:val="13"/>
            </w:pPr>
            <w:r>
              <w:t>徐水区医疗保障局宣传制作合同，定点医药机构基金监管第三方服务合同书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监督检查问题整改率</w:t>
            </w:r>
          </w:p>
        </w:tc>
        <w:tc>
          <w:tcPr>
            <w:tcW w:w="5386" w:type="dxa"/>
            <w:vAlign w:val="center"/>
          </w:tcPr>
          <w:p>
            <w:pPr>
              <w:pStyle w:val="13"/>
            </w:pPr>
            <w:r>
              <w:t>监督检查基金问题整改率</w:t>
            </w:r>
          </w:p>
        </w:tc>
        <w:tc>
          <w:tcPr>
            <w:tcW w:w="2268" w:type="dxa"/>
            <w:vAlign w:val="center"/>
          </w:tcPr>
          <w:p>
            <w:pPr>
              <w:pStyle w:val="13"/>
            </w:pPr>
            <w:r>
              <w:t>≥85%</w:t>
            </w:r>
          </w:p>
        </w:tc>
        <w:tc>
          <w:tcPr>
            <w:tcW w:w="1276" w:type="dxa"/>
            <w:vAlign w:val="center"/>
          </w:tcPr>
          <w:p>
            <w:pPr>
              <w:pStyle w:val="13"/>
            </w:pPr>
            <w:r>
              <w:t>医保基金监管核查专项资金（含专家费）实施计划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核查人员满意度</w:t>
            </w:r>
          </w:p>
        </w:tc>
        <w:tc>
          <w:tcPr>
            <w:tcW w:w="5386" w:type="dxa"/>
            <w:vAlign w:val="center"/>
          </w:tcPr>
          <w:p>
            <w:pPr>
              <w:pStyle w:val="13"/>
            </w:pPr>
            <w:r>
              <w:t>反映核查人员对项目保障的满意程度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6、医保经办业务经费绩效目标表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13062524P00001510638T</w:t>
            </w:r>
          </w:p>
        </w:tc>
        <w:tc>
          <w:tcPr>
            <w:tcW w:w="2835" w:type="dxa"/>
            <w:vAlign w:val="center"/>
          </w:tcPr>
          <w:p>
            <w:pPr>
              <w:pStyle w:val="11"/>
            </w:pPr>
            <w:r>
              <w:t>项目名称</w:t>
            </w:r>
          </w:p>
        </w:tc>
        <w:tc>
          <w:tcPr>
            <w:tcW w:w="6095" w:type="dxa"/>
            <w:gridSpan w:val="3"/>
            <w:vAlign w:val="center"/>
          </w:tcPr>
          <w:p>
            <w:pPr>
              <w:pStyle w:val="13"/>
            </w:pPr>
            <w:r>
              <w:t>医保经办业务经费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由于医保中心为窗口单位，有对外经办业务，所需日常公用经费较多，，仅凭局机关日常公用经费不足以支撑医保中心经办业务使用，故需额外申请项目经费。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1.通过该项目经费保障，保障医保中心日常业务正常开展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保障医保大厅人员正常办公</w:t>
            </w:r>
          </w:p>
        </w:tc>
        <w:tc>
          <w:tcPr>
            <w:tcW w:w="5386" w:type="dxa"/>
            <w:vAlign w:val="center"/>
          </w:tcPr>
          <w:p>
            <w:pPr>
              <w:pStyle w:val="13"/>
            </w:pPr>
            <w:r>
              <w:t>保障医保大厅人员正常办公人数</w:t>
            </w:r>
          </w:p>
        </w:tc>
        <w:tc>
          <w:tcPr>
            <w:tcW w:w="2268" w:type="dxa"/>
            <w:vAlign w:val="center"/>
          </w:tcPr>
          <w:p>
            <w:pPr>
              <w:pStyle w:val="13"/>
            </w:pPr>
            <w:r>
              <w:t>≥15人</w:t>
            </w:r>
          </w:p>
        </w:tc>
        <w:tc>
          <w:tcPr>
            <w:tcW w:w="1276" w:type="dxa"/>
            <w:vAlign w:val="center"/>
          </w:tcPr>
          <w:p>
            <w:pPr>
              <w:pStyle w:val="13"/>
            </w:pPr>
            <w:r>
              <w:t>医保中心经办业务实施计划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一站式服务工作完成达标率</w:t>
            </w:r>
          </w:p>
        </w:tc>
        <w:tc>
          <w:tcPr>
            <w:tcW w:w="5386" w:type="dxa"/>
            <w:vAlign w:val="center"/>
          </w:tcPr>
          <w:p>
            <w:pPr>
              <w:pStyle w:val="13"/>
            </w:pPr>
            <w:r>
              <w:t>反映一站式服务工作完成达标情况</w:t>
            </w:r>
          </w:p>
        </w:tc>
        <w:tc>
          <w:tcPr>
            <w:tcW w:w="2268" w:type="dxa"/>
            <w:vAlign w:val="center"/>
          </w:tcPr>
          <w:p>
            <w:pPr>
              <w:pStyle w:val="13"/>
            </w:pPr>
            <w:r>
              <w:t>≥90%</w:t>
            </w:r>
          </w:p>
        </w:tc>
        <w:tc>
          <w:tcPr>
            <w:tcW w:w="1276" w:type="dxa"/>
            <w:vAlign w:val="center"/>
          </w:tcPr>
          <w:p>
            <w:pPr>
              <w:pStyle w:val="13"/>
            </w:pPr>
            <w:r>
              <w:t>关于申请编报医保中心专项工作经费的请示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业务处理及时率</w:t>
            </w:r>
          </w:p>
        </w:tc>
        <w:tc>
          <w:tcPr>
            <w:tcW w:w="5386" w:type="dxa"/>
            <w:vAlign w:val="center"/>
          </w:tcPr>
          <w:p>
            <w:pPr>
              <w:pStyle w:val="13"/>
            </w:pPr>
            <w:r>
              <w:t>反映业务处理及时情况</w:t>
            </w:r>
          </w:p>
        </w:tc>
        <w:tc>
          <w:tcPr>
            <w:tcW w:w="2268" w:type="dxa"/>
            <w:vAlign w:val="center"/>
          </w:tcPr>
          <w:p>
            <w:pPr>
              <w:pStyle w:val="13"/>
            </w:pPr>
            <w:r>
              <w:t>≥85%</w:t>
            </w:r>
          </w:p>
        </w:tc>
        <w:tc>
          <w:tcPr>
            <w:tcW w:w="1276" w:type="dxa"/>
            <w:vAlign w:val="center"/>
          </w:tcPr>
          <w:p>
            <w:pPr>
              <w:pStyle w:val="13"/>
            </w:pPr>
            <w:r>
              <w:t>医保中心经办业务实施计划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项目预算成本</w:t>
            </w:r>
          </w:p>
        </w:tc>
        <w:tc>
          <w:tcPr>
            <w:tcW w:w="5386" w:type="dxa"/>
            <w:vAlign w:val="center"/>
          </w:tcPr>
          <w:p>
            <w:pPr>
              <w:pStyle w:val="13"/>
            </w:pPr>
            <w:r>
              <w:t>反映项目支出金额不高于预算数</w:t>
            </w:r>
          </w:p>
        </w:tc>
        <w:tc>
          <w:tcPr>
            <w:tcW w:w="2268" w:type="dxa"/>
            <w:vAlign w:val="center"/>
          </w:tcPr>
          <w:p>
            <w:pPr>
              <w:pStyle w:val="13"/>
            </w:pPr>
            <w:r>
              <w:t>≤15万元</w:t>
            </w:r>
          </w:p>
        </w:tc>
        <w:tc>
          <w:tcPr>
            <w:tcW w:w="1276" w:type="dxa"/>
            <w:vAlign w:val="center"/>
          </w:tcPr>
          <w:p>
            <w:pPr>
              <w:pStyle w:val="13"/>
            </w:pPr>
            <w:r>
              <w:t>医保中心经办业务实施计划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医保中心“停摆”情况发生数</w:t>
            </w:r>
          </w:p>
        </w:tc>
        <w:tc>
          <w:tcPr>
            <w:tcW w:w="5386" w:type="dxa"/>
            <w:vAlign w:val="center"/>
          </w:tcPr>
          <w:p>
            <w:pPr>
              <w:pStyle w:val="13"/>
            </w:pPr>
            <w:r>
              <w:t>反映医保经办业务正常开展的保障程度</w:t>
            </w:r>
          </w:p>
        </w:tc>
        <w:tc>
          <w:tcPr>
            <w:tcW w:w="2268" w:type="dxa"/>
            <w:vAlign w:val="center"/>
          </w:tcPr>
          <w:p>
            <w:pPr>
              <w:pStyle w:val="13"/>
            </w:pPr>
            <w:r>
              <w:t>0次</w:t>
            </w:r>
          </w:p>
        </w:tc>
        <w:tc>
          <w:tcPr>
            <w:tcW w:w="1276" w:type="dxa"/>
            <w:vAlign w:val="center"/>
          </w:tcPr>
          <w:p>
            <w:pPr>
              <w:pStyle w:val="13"/>
            </w:pPr>
            <w:r>
              <w:t>医保中心经办业务实施计划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反映办事群众对经办业务的满意度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7、医保网络经费（运转保障）绩效目标表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13062524P00001510636K</w:t>
            </w:r>
          </w:p>
        </w:tc>
        <w:tc>
          <w:tcPr>
            <w:tcW w:w="2835" w:type="dxa"/>
            <w:vAlign w:val="center"/>
          </w:tcPr>
          <w:p>
            <w:pPr>
              <w:pStyle w:val="11"/>
            </w:pPr>
            <w:r>
              <w:t>项目名称</w:t>
            </w:r>
          </w:p>
        </w:tc>
        <w:tc>
          <w:tcPr>
            <w:tcW w:w="6095" w:type="dxa"/>
            <w:gridSpan w:val="3"/>
            <w:vAlign w:val="center"/>
          </w:tcPr>
          <w:p>
            <w:pPr>
              <w:pStyle w:val="13"/>
            </w:pPr>
            <w:r>
              <w:t>医保网络经费（运转保障）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16.48</w:t>
            </w:r>
          </w:p>
        </w:tc>
        <w:tc>
          <w:tcPr>
            <w:tcW w:w="2835" w:type="dxa"/>
            <w:vAlign w:val="center"/>
          </w:tcPr>
          <w:p>
            <w:pPr>
              <w:pStyle w:val="11"/>
            </w:pPr>
            <w:r>
              <w:t>其中：财政    资金</w:t>
            </w:r>
          </w:p>
        </w:tc>
        <w:tc>
          <w:tcPr>
            <w:tcW w:w="2551" w:type="dxa"/>
            <w:vAlign w:val="center"/>
          </w:tcPr>
          <w:p>
            <w:pPr>
              <w:pStyle w:val="13"/>
            </w:pPr>
            <w:r>
              <w:t>16.48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进行医保信息化建设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1.进行医保信息化建设</w:t>
            </w:r>
          </w:p>
          <w:p>
            <w:pPr>
              <w:pStyle w:val="13"/>
            </w:pPr>
            <w:r>
              <w:t>2.与网络公司签订网络租赁协议，租赁网络线数51条，保障医保网络运行。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网络和线路租赁数量</w:t>
            </w:r>
          </w:p>
        </w:tc>
        <w:tc>
          <w:tcPr>
            <w:tcW w:w="5386" w:type="dxa"/>
            <w:vAlign w:val="center"/>
          </w:tcPr>
          <w:p>
            <w:pPr>
              <w:pStyle w:val="13"/>
            </w:pPr>
            <w:r>
              <w:t>租赁移动、联通、电信三大运营商网络和线路数量</w:t>
            </w:r>
          </w:p>
        </w:tc>
        <w:tc>
          <w:tcPr>
            <w:tcW w:w="2268" w:type="dxa"/>
            <w:vAlign w:val="center"/>
          </w:tcPr>
          <w:p>
            <w:pPr>
              <w:pStyle w:val="13"/>
            </w:pPr>
            <w:r>
              <w:t>51条</w:t>
            </w:r>
          </w:p>
        </w:tc>
        <w:tc>
          <w:tcPr>
            <w:tcW w:w="1276" w:type="dxa"/>
            <w:vAlign w:val="center"/>
          </w:tcPr>
          <w:p>
            <w:pPr>
              <w:pStyle w:val="13"/>
            </w:pPr>
            <w:r>
              <w:t>医保网络经费（运转保障）项目实施计划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网络故障率</w:t>
            </w:r>
          </w:p>
        </w:tc>
        <w:tc>
          <w:tcPr>
            <w:tcW w:w="5386" w:type="dxa"/>
            <w:vAlign w:val="center"/>
          </w:tcPr>
          <w:p>
            <w:pPr>
              <w:pStyle w:val="13"/>
            </w:pPr>
            <w:r>
              <w:t>反映网络故障情况</w:t>
            </w:r>
          </w:p>
        </w:tc>
        <w:tc>
          <w:tcPr>
            <w:tcW w:w="2268" w:type="dxa"/>
            <w:vAlign w:val="center"/>
          </w:tcPr>
          <w:p>
            <w:pPr>
              <w:pStyle w:val="13"/>
            </w:pPr>
            <w:r>
              <w:t>≤10次</w:t>
            </w:r>
          </w:p>
        </w:tc>
        <w:tc>
          <w:tcPr>
            <w:tcW w:w="1276" w:type="dxa"/>
            <w:vAlign w:val="center"/>
          </w:tcPr>
          <w:p>
            <w:pPr>
              <w:pStyle w:val="13"/>
            </w:pPr>
            <w:r>
              <w:t>医保网络经费（运转保障）项目实施计划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全年网络可用率</w:t>
            </w:r>
          </w:p>
        </w:tc>
        <w:tc>
          <w:tcPr>
            <w:tcW w:w="5386" w:type="dxa"/>
            <w:vAlign w:val="center"/>
          </w:tcPr>
          <w:p>
            <w:pPr>
              <w:pStyle w:val="13"/>
            </w:pPr>
            <w:r>
              <w:t>全年网络可用率</w:t>
            </w:r>
          </w:p>
        </w:tc>
        <w:tc>
          <w:tcPr>
            <w:tcW w:w="2268" w:type="dxa"/>
            <w:vAlign w:val="center"/>
          </w:tcPr>
          <w:p>
            <w:pPr>
              <w:pStyle w:val="13"/>
            </w:pPr>
            <w:r>
              <w:t>≥95%</w:t>
            </w:r>
          </w:p>
        </w:tc>
        <w:tc>
          <w:tcPr>
            <w:tcW w:w="1276" w:type="dxa"/>
            <w:vAlign w:val="center"/>
          </w:tcPr>
          <w:p>
            <w:pPr>
              <w:pStyle w:val="13"/>
            </w:pPr>
            <w:r>
              <w:t>医保网络经费（运转保障）项目实施计划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反映项目支出金额不高于预算数</w:t>
            </w:r>
          </w:p>
        </w:tc>
        <w:tc>
          <w:tcPr>
            <w:tcW w:w="2268" w:type="dxa"/>
            <w:vAlign w:val="center"/>
          </w:tcPr>
          <w:p>
            <w:pPr>
              <w:pStyle w:val="13"/>
            </w:pPr>
            <w:r>
              <w:t>≤16.48万元</w:t>
            </w:r>
          </w:p>
        </w:tc>
        <w:tc>
          <w:tcPr>
            <w:tcW w:w="1276" w:type="dxa"/>
            <w:vAlign w:val="center"/>
          </w:tcPr>
          <w:p>
            <w:pPr>
              <w:pStyle w:val="13"/>
            </w:pPr>
            <w:r>
              <w:t>中国电信集团有限公司保定分公司互联网专线业务登记单，保定市徐水区医疗保障局电路租用合同，保定市徐水区医疗保障局光纤电路租用合同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网络瘫痪次数</w:t>
            </w:r>
          </w:p>
        </w:tc>
        <w:tc>
          <w:tcPr>
            <w:tcW w:w="5386" w:type="dxa"/>
            <w:vAlign w:val="center"/>
          </w:tcPr>
          <w:p>
            <w:pPr>
              <w:pStyle w:val="13"/>
            </w:pPr>
            <w:r>
              <w:t>网络瘫痪次数</w:t>
            </w:r>
          </w:p>
        </w:tc>
        <w:tc>
          <w:tcPr>
            <w:tcW w:w="2268" w:type="dxa"/>
            <w:vAlign w:val="center"/>
          </w:tcPr>
          <w:p>
            <w:pPr>
              <w:pStyle w:val="13"/>
            </w:pPr>
            <w:r>
              <w:t>≤3次</w:t>
            </w:r>
          </w:p>
        </w:tc>
        <w:tc>
          <w:tcPr>
            <w:tcW w:w="1276" w:type="dxa"/>
            <w:vAlign w:val="center"/>
          </w:tcPr>
          <w:p>
            <w:pPr>
              <w:pStyle w:val="13"/>
            </w:pPr>
            <w:r>
              <w:t>医保网络经费（运转保障）项目实施计划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网络使用人员满意度</w:t>
            </w:r>
          </w:p>
        </w:tc>
        <w:tc>
          <w:tcPr>
            <w:tcW w:w="5386" w:type="dxa"/>
            <w:vAlign w:val="center"/>
          </w:tcPr>
          <w:p>
            <w:pPr>
              <w:pStyle w:val="13"/>
            </w:pPr>
            <w:r>
              <w:t>网络使用人员满意度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8、意外伤害核查经费绩效目标表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13062524P00001510299G</w:t>
            </w:r>
          </w:p>
        </w:tc>
        <w:tc>
          <w:tcPr>
            <w:tcW w:w="2835" w:type="dxa"/>
            <w:vAlign w:val="center"/>
          </w:tcPr>
          <w:p>
            <w:pPr>
              <w:pStyle w:val="11"/>
            </w:pPr>
            <w:r>
              <w:t>项目名称</w:t>
            </w:r>
          </w:p>
        </w:tc>
        <w:tc>
          <w:tcPr>
            <w:tcW w:w="6095" w:type="dxa"/>
            <w:gridSpan w:val="3"/>
            <w:vAlign w:val="center"/>
          </w:tcPr>
          <w:p>
            <w:pPr>
              <w:pStyle w:val="13"/>
            </w:pPr>
            <w:r>
              <w:t>意外伤害核查经费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19.99</w:t>
            </w:r>
          </w:p>
        </w:tc>
        <w:tc>
          <w:tcPr>
            <w:tcW w:w="2835" w:type="dxa"/>
            <w:vAlign w:val="center"/>
          </w:tcPr>
          <w:p>
            <w:pPr>
              <w:pStyle w:val="11"/>
            </w:pPr>
            <w:r>
              <w:t>其中：财政    资金</w:t>
            </w:r>
          </w:p>
        </w:tc>
        <w:tc>
          <w:tcPr>
            <w:tcW w:w="2551" w:type="dxa"/>
            <w:vAlign w:val="center"/>
          </w:tcPr>
          <w:p>
            <w:pPr>
              <w:pStyle w:val="13"/>
            </w:pPr>
            <w:r>
              <w:t>19.99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与第三方保险公司合作对因意外伤害发生医疗费用的参保人员进行认定，确保其符合享受待遇的条件，保障基金使用合规合理，保障居民权利。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1.与第三方保险公司合作对因意外伤害发生医疗费用的参保人员进行认定，确保其符合享受待遇的条件，保障基金使用合规合理，保障居民权利。</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鉴定人次</w:t>
            </w:r>
          </w:p>
        </w:tc>
        <w:tc>
          <w:tcPr>
            <w:tcW w:w="5386" w:type="dxa"/>
            <w:vAlign w:val="center"/>
          </w:tcPr>
          <w:p>
            <w:pPr>
              <w:pStyle w:val="13"/>
            </w:pPr>
            <w:r>
              <w:t>鉴定人次完成数量情况</w:t>
            </w:r>
          </w:p>
        </w:tc>
        <w:tc>
          <w:tcPr>
            <w:tcW w:w="2268" w:type="dxa"/>
            <w:vAlign w:val="center"/>
          </w:tcPr>
          <w:p>
            <w:pPr>
              <w:pStyle w:val="13"/>
            </w:pPr>
            <w:r>
              <w:t>≤1694人</w:t>
            </w:r>
          </w:p>
        </w:tc>
        <w:tc>
          <w:tcPr>
            <w:tcW w:w="1276" w:type="dxa"/>
            <w:vAlign w:val="center"/>
          </w:tcPr>
          <w:p>
            <w:pPr>
              <w:pStyle w:val="13"/>
            </w:pPr>
            <w:r>
              <w:t>意外伤害核查经费实施计划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鉴定程序规范率</w:t>
            </w:r>
          </w:p>
        </w:tc>
        <w:tc>
          <w:tcPr>
            <w:tcW w:w="5386" w:type="dxa"/>
            <w:vAlign w:val="center"/>
          </w:tcPr>
          <w:p>
            <w:pPr>
              <w:pStyle w:val="13"/>
            </w:pPr>
            <w:r>
              <w:t>鉴定程序规范情况</w:t>
            </w:r>
          </w:p>
        </w:tc>
        <w:tc>
          <w:tcPr>
            <w:tcW w:w="2268" w:type="dxa"/>
            <w:vAlign w:val="center"/>
          </w:tcPr>
          <w:p>
            <w:pPr>
              <w:pStyle w:val="13"/>
            </w:pPr>
            <w:r>
              <w:t>100%</w:t>
            </w:r>
          </w:p>
        </w:tc>
        <w:tc>
          <w:tcPr>
            <w:tcW w:w="1276" w:type="dxa"/>
            <w:vAlign w:val="center"/>
          </w:tcPr>
          <w:p>
            <w:pPr>
              <w:pStyle w:val="13"/>
            </w:pPr>
            <w:r>
              <w:t>意外伤害核查经费实施计划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鉴定完成时间</w:t>
            </w:r>
          </w:p>
        </w:tc>
        <w:tc>
          <w:tcPr>
            <w:tcW w:w="5386" w:type="dxa"/>
            <w:vAlign w:val="center"/>
          </w:tcPr>
          <w:p>
            <w:pPr>
              <w:pStyle w:val="13"/>
            </w:pPr>
            <w:r>
              <w:t>鉴定完成时间是否及时</w:t>
            </w:r>
          </w:p>
        </w:tc>
        <w:tc>
          <w:tcPr>
            <w:tcW w:w="2268" w:type="dxa"/>
            <w:vAlign w:val="center"/>
          </w:tcPr>
          <w:p>
            <w:pPr>
              <w:pStyle w:val="13"/>
            </w:pPr>
            <w:r>
              <w:t>≤5天</w:t>
            </w:r>
          </w:p>
        </w:tc>
        <w:tc>
          <w:tcPr>
            <w:tcW w:w="1276" w:type="dxa"/>
            <w:vAlign w:val="center"/>
          </w:tcPr>
          <w:p>
            <w:pPr>
              <w:pStyle w:val="13"/>
            </w:pPr>
            <w:r>
              <w:t>意外伤害核查经费实施计划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鉴定人均标准</w:t>
            </w:r>
          </w:p>
        </w:tc>
        <w:tc>
          <w:tcPr>
            <w:tcW w:w="5386" w:type="dxa"/>
            <w:vAlign w:val="center"/>
          </w:tcPr>
          <w:p>
            <w:pPr>
              <w:pStyle w:val="13"/>
            </w:pPr>
            <w:r>
              <w:t>鉴定人均标准是否符合标准</w:t>
            </w:r>
          </w:p>
        </w:tc>
        <w:tc>
          <w:tcPr>
            <w:tcW w:w="2268" w:type="dxa"/>
            <w:vAlign w:val="center"/>
          </w:tcPr>
          <w:p>
            <w:pPr>
              <w:pStyle w:val="13"/>
            </w:pPr>
            <w:r>
              <w:t>118元</w:t>
            </w:r>
          </w:p>
        </w:tc>
        <w:tc>
          <w:tcPr>
            <w:tcW w:w="1276" w:type="dxa"/>
            <w:vAlign w:val="center"/>
          </w:tcPr>
          <w:p>
            <w:pPr>
              <w:pStyle w:val="13"/>
            </w:pPr>
            <w:r>
              <w:t>保定市徐水区城乡居民及城镇职工意外伤害调查界定工作合同书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保障医疗保险基金平稳运行</w:t>
            </w:r>
          </w:p>
        </w:tc>
        <w:tc>
          <w:tcPr>
            <w:tcW w:w="5386" w:type="dxa"/>
            <w:vAlign w:val="center"/>
          </w:tcPr>
          <w:p>
            <w:pPr>
              <w:pStyle w:val="13"/>
            </w:pPr>
            <w:r>
              <w:t>保障医疗保险基金平稳运行情况</w:t>
            </w:r>
          </w:p>
        </w:tc>
        <w:tc>
          <w:tcPr>
            <w:tcW w:w="2268" w:type="dxa"/>
            <w:vAlign w:val="center"/>
          </w:tcPr>
          <w:p>
            <w:pPr>
              <w:pStyle w:val="13"/>
            </w:pPr>
            <w:r>
              <w:t>≥90%</w:t>
            </w:r>
          </w:p>
        </w:tc>
        <w:tc>
          <w:tcPr>
            <w:tcW w:w="1276" w:type="dxa"/>
            <w:vAlign w:val="center"/>
          </w:tcPr>
          <w:p>
            <w:pPr>
              <w:pStyle w:val="13"/>
            </w:pPr>
            <w:r>
              <w:t>意外伤害核查经费实施计划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鉴定当事人满意度</w:t>
            </w:r>
          </w:p>
        </w:tc>
        <w:tc>
          <w:tcPr>
            <w:tcW w:w="5386" w:type="dxa"/>
            <w:vAlign w:val="center"/>
          </w:tcPr>
          <w:p>
            <w:pPr>
              <w:pStyle w:val="13"/>
            </w:pPr>
            <w:r>
              <w:t>考察鉴定当事人对本项目的满意度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5"/>
        <w:tblW w:w="1505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450001保定市徐水区医疗保障局本级</w:t>
            </w:r>
          </w:p>
        </w:tc>
        <w:tc>
          <w:tcPr>
            <w:tcW w:w="7712"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政府采购金额（当年单位预算安排资金）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3.76</w:t>
            </w:r>
          </w:p>
        </w:tc>
        <w:tc>
          <w:tcPr>
            <w:tcW w:w="964" w:type="dxa"/>
            <w:vAlign w:val="center"/>
          </w:tcPr>
          <w:p>
            <w:pPr>
              <w:pStyle w:val="16"/>
            </w:pPr>
            <w:r>
              <w:t>3.76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5"/>
            </w:pPr>
            <w:r>
              <w:t>保定市徐水区医疗保障局本级小计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3.76</w:t>
            </w:r>
          </w:p>
        </w:tc>
        <w:tc>
          <w:tcPr>
            <w:tcW w:w="964" w:type="dxa"/>
            <w:vAlign w:val="center"/>
          </w:tcPr>
          <w:p>
            <w:pPr>
              <w:pStyle w:val="16"/>
            </w:pPr>
            <w:r>
              <w:t>3.76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3"/>
            </w:pPr>
            <w:r>
              <w:t>公用经费项目二（三保）</w:t>
            </w:r>
          </w:p>
        </w:tc>
        <w:tc>
          <w:tcPr>
            <w:tcW w:w="964" w:type="dxa"/>
            <w:vAlign w:val="center"/>
          </w:tcPr>
          <w:p>
            <w:pPr>
              <w:pStyle w:val="12"/>
            </w:pPr>
            <w:r>
              <w:t>5.80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20</w:t>
            </w:r>
          </w:p>
        </w:tc>
        <w:tc>
          <w:tcPr>
            <w:tcW w:w="850" w:type="dxa"/>
            <w:vAlign w:val="center"/>
          </w:tcPr>
          <w:p>
            <w:pPr>
              <w:pStyle w:val="12"/>
            </w:pPr>
            <w:r>
              <w:t>0.02</w:t>
            </w:r>
          </w:p>
        </w:tc>
        <w:tc>
          <w:tcPr>
            <w:tcW w:w="964" w:type="dxa"/>
            <w:vAlign w:val="center"/>
          </w:tcPr>
          <w:p>
            <w:pPr>
              <w:pStyle w:val="12"/>
            </w:pPr>
            <w:r>
              <w:t>0.44</w:t>
            </w:r>
          </w:p>
        </w:tc>
        <w:tc>
          <w:tcPr>
            <w:tcW w:w="964" w:type="dxa"/>
            <w:vAlign w:val="center"/>
          </w:tcPr>
          <w:p>
            <w:pPr>
              <w:pStyle w:val="12"/>
            </w:pPr>
            <w:r>
              <w:t>0.44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3"/>
            </w:pPr>
            <w:r>
              <w:t>公用经费项目一（三保）</w:t>
            </w:r>
          </w:p>
        </w:tc>
        <w:tc>
          <w:tcPr>
            <w:tcW w:w="964" w:type="dxa"/>
            <w:vAlign w:val="center"/>
          </w:tcPr>
          <w:p>
            <w:pPr>
              <w:pStyle w:val="12"/>
            </w:pPr>
            <w:r>
              <w:t>6.26</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30</w:t>
            </w:r>
          </w:p>
        </w:tc>
        <w:tc>
          <w:tcPr>
            <w:tcW w:w="850" w:type="dxa"/>
            <w:vAlign w:val="center"/>
          </w:tcPr>
          <w:p>
            <w:pPr>
              <w:pStyle w:val="12"/>
            </w:pPr>
            <w:r>
              <w:t>0.02</w:t>
            </w:r>
          </w:p>
        </w:tc>
        <w:tc>
          <w:tcPr>
            <w:tcW w:w="964" w:type="dxa"/>
            <w:vAlign w:val="center"/>
          </w:tcPr>
          <w:p>
            <w:pPr>
              <w:pStyle w:val="12"/>
            </w:pPr>
            <w:r>
              <w:t>0.66</w:t>
            </w:r>
          </w:p>
        </w:tc>
        <w:tc>
          <w:tcPr>
            <w:tcW w:w="964" w:type="dxa"/>
            <w:vAlign w:val="center"/>
          </w:tcPr>
          <w:p>
            <w:pPr>
              <w:pStyle w:val="12"/>
            </w:pPr>
            <w:r>
              <w:t>0.66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3"/>
            </w:pPr>
            <w:r>
              <w:t>公用经费项目一（三保）</w:t>
            </w:r>
          </w:p>
        </w:tc>
        <w:tc>
          <w:tcPr>
            <w:tcW w:w="964" w:type="dxa"/>
            <w:vAlign w:val="center"/>
          </w:tcPr>
          <w:p>
            <w:pPr>
              <w:pStyle w:val="12"/>
            </w:pPr>
            <w:r>
              <w:t>6.26</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3</w:t>
            </w:r>
          </w:p>
        </w:tc>
        <w:tc>
          <w:tcPr>
            <w:tcW w:w="850" w:type="dxa"/>
            <w:vAlign w:val="center"/>
          </w:tcPr>
          <w:p>
            <w:pPr>
              <w:pStyle w:val="12"/>
            </w:pPr>
            <w:r>
              <w:t>0.10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3"/>
            </w:pPr>
            <w:r>
              <w:t>公用经费项目一（三保）</w:t>
            </w:r>
          </w:p>
        </w:tc>
        <w:tc>
          <w:tcPr>
            <w:tcW w:w="964" w:type="dxa"/>
            <w:vAlign w:val="center"/>
          </w:tcPr>
          <w:p>
            <w:pPr>
              <w:pStyle w:val="12"/>
            </w:pPr>
            <w:r>
              <w:t>6.26</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次</w:t>
            </w:r>
          </w:p>
        </w:tc>
        <w:tc>
          <w:tcPr>
            <w:tcW w:w="850" w:type="dxa"/>
            <w:vAlign w:val="center"/>
          </w:tcPr>
          <w:p>
            <w:pPr>
              <w:pStyle w:val="12"/>
            </w:pPr>
            <w:r>
              <w:t>12</w:t>
            </w:r>
          </w:p>
        </w:tc>
        <w:tc>
          <w:tcPr>
            <w:tcW w:w="850" w:type="dxa"/>
            <w:vAlign w:val="center"/>
          </w:tcPr>
          <w:p>
            <w:pPr>
              <w:pStyle w:val="12"/>
            </w:pPr>
            <w:r>
              <w:t>0.03</w:t>
            </w:r>
          </w:p>
        </w:tc>
        <w:tc>
          <w:tcPr>
            <w:tcW w:w="964" w:type="dxa"/>
            <w:vAlign w:val="center"/>
          </w:tcPr>
          <w:p>
            <w:pPr>
              <w:pStyle w:val="12"/>
            </w:pPr>
            <w:r>
              <w:t>0.36</w:t>
            </w:r>
          </w:p>
        </w:tc>
        <w:tc>
          <w:tcPr>
            <w:tcW w:w="964" w:type="dxa"/>
            <w:vAlign w:val="center"/>
          </w:tcPr>
          <w:p>
            <w:pPr>
              <w:pStyle w:val="12"/>
            </w:pPr>
            <w:r>
              <w:t>0.36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3"/>
            </w:pPr>
            <w:r>
              <w:t>医保经办业务经费</w:t>
            </w:r>
          </w:p>
        </w:tc>
        <w:tc>
          <w:tcPr>
            <w:tcW w:w="964" w:type="dxa"/>
            <w:vAlign w:val="center"/>
          </w:tcPr>
          <w:p>
            <w:pPr>
              <w:pStyle w:val="12"/>
            </w:pPr>
            <w:r>
              <w:t>15.00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0.50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保定市徐水区医疗保障局本级上年末固定资产金额为0.00万元（详见下表）。本年度拟购置固定资产总额为2.00万元，已按要求列入政府采购预算，详见政府采购预算表。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5"/>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450001保定市徐水区医疗保障局本级</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单位预算中的基本支出；运转类项目中的其他运转类项目支出和特定目标类项目支出对应单位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单位（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单位（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4YWMxZmE2Yjg0OWY4M2NjNzM0YzdlY2I3NDQxODEifQ=="/>
  </w:docVars>
  <w:rsids>
    <w:rsidRoot w:val="00F15438"/>
    <w:rsid w:val="000569D3"/>
    <w:rsid w:val="002E6A72"/>
    <w:rsid w:val="00866929"/>
    <w:rsid w:val="00AC2945"/>
    <w:rsid w:val="00F15438"/>
    <w:rsid w:val="1B79458F"/>
    <w:rsid w:val="29FF38B3"/>
    <w:rsid w:val="33EC4A8A"/>
    <w:rsid w:val="509C18AD"/>
    <w:rsid w:val="5C3F445D"/>
    <w:rsid w:val="64032214"/>
    <w:rsid w:val="6A833A8E"/>
    <w:rsid w:val="6E7837FF"/>
    <w:rsid w:val="70F27898"/>
    <w:rsid w:val="7C870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23"/>
    <w:semiHidden/>
    <w:unhideWhenUsed/>
    <w:uiPriority w:val="99"/>
    <w:rPr>
      <w:sz w:val="18"/>
      <w:szCs w:val="18"/>
    </w:r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4"/>
    <w:basedOn w:val="1"/>
    <w:next w:val="1"/>
    <w:qFormat/>
    <w:uiPriority w:val="0"/>
    <w:pPr>
      <w:ind w:left="72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单位职责文件"/>
    <w:basedOn w:val="1"/>
    <w:qFormat/>
    <w:uiPriority w:val="0"/>
    <w:pPr>
      <w:spacing w:line="500" w:lineRule="exact"/>
      <w:ind w:firstLine="560"/>
    </w:pPr>
    <w:rPr>
      <w:rFonts w:eastAsia="方正仿宋_GBK"/>
      <w:sz w:val="28"/>
    </w:rPr>
  </w:style>
  <w:style w:type="paragraph" w:customStyle="1" w:styleId="19">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character" w:customStyle="1" w:styleId="23">
    <w:name w:val="批注框文本 Char"/>
    <w:basedOn w:val="7"/>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2024-02-26T10:53:12Z</dcterms:created>
  <dcterms:modified xsi:type="dcterms:W3CDTF">2024-02-26T02:53:12Z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2024-02-26T10:53:13Z</dcterms:created>
  <dcterms:modified xsi:type="dcterms:W3CDTF">2024-02-26T02:53:13Z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2024-02-26T10:53:11Z</dcterms:created>
  <dcterms:modified xsi:type="dcterms:W3CDTF">2024-02-26T02:53:11Z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2024-02-26T10:53:12Z</dcterms:created>
  <dcterms:modified xsi:type="dcterms:W3CDTF">2024-02-26T02:53:12Z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2024-02-26T10:53:08Z</dcterms:created>
  <dcterms:modified xsi:type="dcterms:W3CDTF">2024-02-26T02:53:08Z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2024-02-26T10:53:12Z</dcterms:created>
  <dcterms:modified xsi:type="dcterms:W3CDTF">2024-02-26T02:53:12Z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2024-02-26T10:53:11Z</dcterms:created>
  <dcterms:modified xsi:type="dcterms:W3CDTF">2024-02-26T02:53:11Z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2024-02-26T10:53:12Z</dcterms:created>
  <dcterms:modified xsi:type="dcterms:W3CDTF">2024-02-26T02:53:12Z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2024-02-26T10:53:12Z</dcterms:created>
  <dcterms:modified xsi:type="dcterms:W3CDTF">2024-02-26T02:53:12Z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2024-02-26T10:53:13Z</dcterms:created>
  <dcterms:modified xsi:type="dcterms:W3CDTF">2024-02-26T02:53:13Z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2024-02-26T10:53:12Z</dcterms:created>
  <dcterms:modified xsi:type="dcterms:W3CDTF">2024-02-26T02:53:12Z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15E37ED-D4D9-4EB6-962F-667EC6807928}">
  <ds:schemaRefs/>
</ds:datastoreItem>
</file>

<file path=customXml/itemProps11.xml><?xml version="1.0" encoding="utf-8"?>
<ds:datastoreItem xmlns:ds="http://schemas.openxmlformats.org/officeDocument/2006/customXml" ds:itemID="{9358D084-0E97-4F18-B50A-12FB9EC2427B}">
  <ds:schemaRefs/>
</ds:datastoreItem>
</file>

<file path=customXml/itemProps12.xml><?xml version="1.0" encoding="utf-8"?>
<ds:datastoreItem xmlns:ds="http://schemas.openxmlformats.org/officeDocument/2006/customXml" ds:itemID="{A1EF059E-5DBF-4EC8-9756-938B7E0DDBDB}">
  <ds:schemaRefs/>
</ds:datastoreItem>
</file>

<file path=customXml/itemProps13.xml><?xml version="1.0" encoding="utf-8"?>
<ds:datastoreItem xmlns:ds="http://schemas.openxmlformats.org/officeDocument/2006/customXml" ds:itemID="{E653CEAA-3C0B-44A7-AA18-25BA381C30F5}">
  <ds:schemaRefs/>
</ds:datastoreItem>
</file>

<file path=customXml/itemProps14.xml><?xml version="1.0" encoding="utf-8"?>
<ds:datastoreItem xmlns:ds="http://schemas.openxmlformats.org/officeDocument/2006/customXml" ds:itemID="{6AA2566F-7320-4799-8C62-04C08B494C2B}">
  <ds:schemaRefs/>
</ds:datastoreItem>
</file>

<file path=customXml/itemProps15.xml><?xml version="1.0" encoding="utf-8"?>
<ds:datastoreItem xmlns:ds="http://schemas.openxmlformats.org/officeDocument/2006/customXml" ds:itemID="{B0D00D28-3301-41A4-BD6C-1AA2612044C1}">
  <ds:schemaRefs/>
</ds:datastoreItem>
</file>

<file path=customXml/itemProps16.xml><?xml version="1.0" encoding="utf-8"?>
<ds:datastoreItem xmlns:ds="http://schemas.openxmlformats.org/officeDocument/2006/customXml" ds:itemID="{2AA7923A-1BB8-4037-B56B-1458985ED220}">
  <ds:schemaRefs/>
</ds:datastoreItem>
</file>

<file path=customXml/itemProps17.xml><?xml version="1.0" encoding="utf-8"?>
<ds:datastoreItem xmlns:ds="http://schemas.openxmlformats.org/officeDocument/2006/customXml" ds:itemID="{D35EAC4A-B009-4BAD-A9B6-6E6FD6C34EFA}">
  <ds:schemaRefs/>
</ds:datastoreItem>
</file>

<file path=customXml/itemProps18.xml><?xml version="1.0" encoding="utf-8"?>
<ds:datastoreItem xmlns:ds="http://schemas.openxmlformats.org/officeDocument/2006/customXml" ds:itemID="{AEEDE77D-2362-4F5B-A5B4-255A7F06B771}">
  <ds:schemaRefs/>
</ds:datastoreItem>
</file>

<file path=customXml/itemProps19.xml><?xml version="1.0" encoding="utf-8"?>
<ds:datastoreItem xmlns:ds="http://schemas.openxmlformats.org/officeDocument/2006/customXml" ds:itemID="{C3E55ED4-0EBE-4EB6-B6AB-9117D4E27657}">
  <ds:schemaRefs/>
</ds:datastoreItem>
</file>

<file path=customXml/itemProps2.xml><?xml version="1.0" encoding="utf-8"?>
<ds:datastoreItem xmlns:ds="http://schemas.openxmlformats.org/officeDocument/2006/customXml" ds:itemID="{29EDE614-795D-45A4-AED2-8748B9BCECCD}">
  <ds:schemaRefs/>
</ds:datastoreItem>
</file>

<file path=customXml/itemProps20.xml><?xml version="1.0" encoding="utf-8"?>
<ds:datastoreItem xmlns:ds="http://schemas.openxmlformats.org/officeDocument/2006/customXml" ds:itemID="{A529A411-539F-48C4-88E5-BBD38F8C5296}">
  <ds:schemaRefs/>
</ds:datastoreItem>
</file>

<file path=customXml/itemProps21.xml><?xml version="1.0" encoding="utf-8"?>
<ds:datastoreItem xmlns:ds="http://schemas.openxmlformats.org/officeDocument/2006/customXml" ds:itemID="{1BE5F2B8-DD5C-4EB2-9146-045B0B7DD96F}">
  <ds:schemaRefs/>
</ds:datastoreItem>
</file>

<file path=customXml/itemProps22.xml><?xml version="1.0" encoding="utf-8"?>
<ds:datastoreItem xmlns:ds="http://schemas.openxmlformats.org/officeDocument/2006/customXml" ds:itemID="{0892ED43-E28C-4803-83CD-0DB1DF8AFACD}">
  <ds:schemaRefs/>
</ds:datastoreItem>
</file>

<file path=customXml/itemProps23.xml><?xml version="1.0" encoding="utf-8"?>
<ds:datastoreItem xmlns:ds="http://schemas.openxmlformats.org/officeDocument/2006/customXml" ds:itemID="{C3FBC710-B0D6-4E97-A058-BD78B3BE022A}">
  <ds:schemaRefs/>
</ds:datastoreItem>
</file>

<file path=customXml/itemProps3.xml><?xml version="1.0" encoding="utf-8"?>
<ds:datastoreItem xmlns:ds="http://schemas.openxmlformats.org/officeDocument/2006/customXml" ds:itemID="{D7CD309B-25BF-4230-9338-E86DA6DDF998}">
  <ds:schemaRefs/>
</ds:datastoreItem>
</file>

<file path=customXml/itemProps4.xml><?xml version="1.0" encoding="utf-8"?>
<ds:datastoreItem xmlns:ds="http://schemas.openxmlformats.org/officeDocument/2006/customXml" ds:itemID="{960DB9A5-59DC-4F6B-B6D1-62CDF8CF4645}">
  <ds:schemaRefs/>
</ds:datastoreItem>
</file>

<file path=customXml/itemProps5.xml><?xml version="1.0" encoding="utf-8"?>
<ds:datastoreItem xmlns:ds="http://schemas.openxmlformats.org/officeDocument/2006/customXml" ds:itemID="{FEA4EC4A-59E2-4853-8065-A4D7769936AE}">
  <ds:schemaRefs/>
</ds:datastoreItem>
</file>

<file path=customXml/itemProps6.xml><?xml version="1.0" encoding="utf-8"?>
<ds:datastoreItem xmlns:ds="http://schemas.openxmlformats.org/officeDocument/2006/customXml" ds:itemID="{0DDBBB0D-C39B-4CC1-A21C-0AE369FEAED0}">
  <ds:schemaRefs/>
</ds:datastoreItem>
</file>

<file path=customXml/itemProps7.xml><?xml version="1.0" encoding="utf-8"?>
<ds:datastoreItem xmlns:ds="http://schemas.openxmlformats.org/officeDocument/2006/customXml" ds:itemID="{8958EAD1-85DB-45D6-BF52-AD242A403C5E}">
  <ds:schemaRefs/>
</ds:datastoreItem>
</file>

<file path=customXml/itemProps8.xml><?xml version="1.0" encoding="utf-8"?>
<ds:datastoreItem xmlns:ds="http://schemas.openxmlformats.org/officeDocument/2006/customXml" ds:itemID="{28AE8145-6236-4D93-8DDA-60C89E95A1F7}">
  <ds:schemaRefs/>
</ds:datastoreItem>
</file>

<file path=customXml/itemProps9.xml><?xml version="1.0" encoding="utf-8"?>
<ds:datastoreItem xmlns:ds="http://schemas.openxmlformats.org/officeDocument/2006/customXml" ds:itemID="{1893B325-00AC-4FE6-ACE4-078DE830E063}">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37</Pages>
  <Words>2389</Words>
  <Characters>13619</Characters>
  <Lines>113</Lines>
  <Paragraphs>31</Paragraphs>
  <TotalTime>3</TotalTime>
  <ScaleCrop>false</ScaleCrop>
  <LinksUpToDate>false</LinksUpToDate>
  <CharactersWithSpaces>15977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2024-02-26T02:49:00Z</dcterms:created>
  <dc:creator>Administrator</dc:creator>
  <cp:lastModifiedBy>Administrator</cp:lastModifiedBy>
  <cp:lastPrinted>2024-02-26T02:56:00Z</cp:lastPrinted>
  <dcterms:modified xsi:type="dcterms:W3CDTF">2025-11-13T03:27:57Z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CB4FD0924C0F4D308476418A82DEF5AE_13</vt:lpwstr>
  </property>
</Properties>
</file>