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8AAA8">
      <w:pPr>
        <w:spacing w:line="360" w:lineRule="auto"/>
        <w:jc w:val="center"/>
        <w:rPr>
          <w:rFonts w:ascii="宋体" w:hAnsi="宋体" w:eastAsia="宋体"/>
          <w:b/>
          <w:sz w:val="44"/>
          <w:szCs w:val="44"/>
        </w:rPr>
      </w:pPr>
      <w:r>
        <w:rPr>
          <w:rFonts w:hint="eastAsia" w:ascii="宋体" w:hAnsi="宋体" w:eastAsia="宋体"/>
          <w:b/>
          <w:sz w:val="44"/>
          <w:szCs w:val="44"/>
        </w:rPr>
        <w:t>保定市徐水区水利局</w:t>
      </w:r>
    </w:p>
    <w:p w14:paraId="076FC7A4">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rPr>
        <w:t>单位</w:t>
      </w:r>
      <w:r>
        <w:rPr>
          <w:rFonts w:ascii="宋体" w:hAnsi="宋体" w:eastAsia="宋体"/>
          <w:b/>
          <w:sz w:val="44"/>
          <w:szCs w:val="44"/>
        </w:rPr>
        <w:t>预算公开说明</w:t>
      </w:r>
    </w:p>
    <w:p w14:paraId="728897AE">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5971A1B">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按照《中华人民共和国预算法》、《地方预决算公开操作规程》等文件规定，现将我单位预算信息公开如下：</w:t>
      </w:r>
    </w:p>
    <w:p w14:paraId="385A30B5">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37F09DF0">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5B92DBC8">
      <w:pPr>
        <w:spacing w:line="360" w:lineRule="auto"/>
        <w:ind w:firstLine="480" w:firstLineChars="150"/>
        <w:rPr>
          <w:rFonts w:ascii="仿宋" w:hAnsi="仿宋" w:eastAsia="仿宋" w:cs="Times New Roman"/>
          <w:sz w:val="32"/>
        </w:rPr>
      </w:pPr>
      <w:r>
        <w:rPr>
          <w:rFonts w:ascii="仿宋" w:hAnsi="仿宋" w:eastAsia="仿宋" w:cs="Times New Roman"/>
          <w:sz w:val="32"/>
        </w:rPr>
        <w:t>（1）负责拟订水利战略规划和政策，起草有关地方性法规、政府规章草案，组织编制全区水资源战略规划、重要江河湖泊流域综合规划、防洪规划等重大水利规划。</w:t>
      </w:r>
    </w:p>
    <w:p w14:paraId="0ADD57E6">
      <w:pPr>
        <w:spacing w:line="360" w:lineRule="auto"/>
        <w:ind w:firstLine="480" w:firstLineChars="150"/>
        <w:rPr>
          <w:rFonts w:ascii="仿宋" w:hAnsi="仿宋" w:eastAsia="仿宋" w:cs="Times New Roman"/>
          <w:sz w:val="32"/>
        </w:rPr>
      </w:pPr>
      <w:r>
        <w:rPr>
          <w:rFonts w:ascii="仿宋" w:hAnsi="仿宋" w:eastAsia="仿宋" w:cs="Times New Roman"/>
          <w:sz w:val="32"/>
        </w:rP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14:paraId="46419FAB">
      <w:pPr>
        <w:spacing w:line="360" w:lineRule="auto"/>
        <w:ind w:firstLine="480" w:firstLineChars="150"/>
        <w:rPr>
          <w:rFonts w:ascii="仿宋" w:hAnsi="仿宋" w:eastAsia="仿宋" w:cs="Times New Roman"/>
          <w:sz w:val="32"/>
        </w:rPr>
      </w:pPr>
      <w:r>
        <w:rPr>
          <w:rFonts w:ascii="仿宋" w:hAnsi="仿宋" w:eastAsia="仿宋" w:cs="Times New Roman"/>
          <w:sz w:val="32"/>
        </w:rP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14:paraId="494C8F44">
      <w:pPr>
        <w:spacing w:line="360" w:lineRule="auto"/>
        <w:ind w:firstLine="640" w:firstLineChars="200"/>
        <w:rPr>
          <w:rFonts w:ascii="仿宋" w:hAnsi="仿宋" w:eastAsia="仿宋" w:cs="Times New Roman"/>
          <w:sz w:val="32"/>
        </w:rPr>
      </w:pPr>
      <w:r>
        <w:rPr>
          <w:rFonts w:ascii="仿宋" w:hAnsi="仿宋" w:eastAsia="仿宋" w:cs="Times New Roman"/>
          <w:sz w:val="32"/>
        </w:rPr>
        <w:t>(4) 指导水资源保护工作;指导饮用水水源保护有关工作，指导地下水开发利用和地下水资源管理保护:组织指导地下水超采区综合治理。</w:t>
      </w:r>
    </w:p>
    <w:p w14:paraId="0C57F072">
      <w:pPr>
        <w:spacing w:line="360" w:lineRule="auto"/>
        <w:ind w:firstLine="640" w:firstLineChars="200"/>
        <w:rPr>
          <w:rFonts w:ascii="仿宋" w:hAnsi="仿宋" w:eastAsia="仿宋" w:cs="Times New Roman"/>
          <w:sz w:val="32"/>
        </w:rPr>
      </w:pPr>
      <w:r>
        <w:rPr>
          <w:rFonts w:ascii="仿宋" w:hAnsi="仿宋" w:eastAsia="仿宋" w:cs="Times New Roman"/>
          <w:sz w:val="32"/>
        </w:rPr>
        <w:t>(5)负责节约用水工作、拟订节约用水政策， 组织编制节约用水规划并监督实施，组织制定有关标准:组织实施用水总量控制等管理制度，指导和推动节水型社会建设工作。</w:t>
      </w:r>
    </w:p>
    <w:p w14:paraId="0D1532E7">
      <w:pPr>
        <w:spacing w:line="360" w:lineRule="auto"/>
        <w:ind w:firstLine="480" w:firstLineChars="150"/>
        <w:rPr>
          <w:rFonts w:ascii="仿宋" w:hAnsi="仿宋" w:eastAsia="仿宋" w:cs="Times New Roman"/>
          <w:sz w:val="32"/>
        </w:rPr>
      </w:pPr>
      <w:r>
        <w:rPr>
          <w:rFonts w:ascii="仿宋" w:hAnsi="仿宋" w:eastAsia="仿宋" w:cs="Times New Roman"/>
          <w:sz w:val="32"/>
        </w:rPr>
        <w:t>（6）负责水利设施，水域及其岸线的管理，保护与综合利用。组织指导水利基础设施网络建设:指导重要江河湖泊及河口的治理、开发和保护;指导河湖水生态保护与修复、河湖生态流量水量管理以及河湖水系连通工作。</w:t>
      </w:r>
    </w:p>
    <w:p w14:paraId="541F1263">
      <w:pPr>
        <w:spacing w:line="360" w:lineRule="auto"/>
        <w:ind w:firstLine="480" w:firstLineChars="150"/>
        <w:rPr>
          <w:rFonts w:ascii="仿宋" w:hAnsi="仿宋" w:eastAsia="仿宋" w:cs="Times New Roman"/>
          <w:sz w:val="32"/>
        </w:rPr>
      </w:pPr>
      <w:r>
        <w:rPr>
          <w:rFonts w:ascii="仿宋" w:hAnsi="仿宋" w:eastAsia="仿宋" w:cs="Times New Roman"/>
          <w:sz w:val="32"/>
        </w:rPr>
        <w:t>（7）组织实施监督水利工程建设与运行管理、组织实施具有控制性的和跨区域跨流域的重要水利工程建设与运行管理。</w:t>
      </w:r>
    </w:p>
    <w:p w14:paraId="2B20B26F">
      <w:pPr>
        <w:spacing w:line="360" w:lineRule="auto"/>
        <w:ind w:firstLine="640" w:firstLineChars="200"/>
        <w:rPr>
          <w:rFonts w:ascii="仿宋" w:hAnsi="仿宋" w:eastAsia="仿宋" w:cs="Times New Roman"/>
          <w:sz w:val="32"/>
        </w:rPr>
      </w:pPr>
      <w:r>
        <w:rPr>
          <w:rFonts w:ascii="仿宋" w:hAnsi="仿宋" w:eastAsia="仿宋" w:cs="Times New Roman"/>
          <w:sz w:val="32"/>
        </w:rPr>
        <w:t>(8)负责水土保持工作。拟订水土保持规划并监督实施，组织实施水土流失的综合防治、监测预报并定期公告:负责建设项目水土保持监督管理工作，指导重点水土保持建设项目的实施;负责职业卫生的监督管理工作。</w:t>
      </w:r>
    </w:p>
    <w:p w14:paraId="78D0605D">
      <w:pPr>
        <w:spacing w:line="360" w:lineRule="auto"/>
        <w:ind w:firstLine="640" w:firstLineChars="200"/>
        <w:rPr>
          <w:rFonts w:ascii="仿宋" w:hAnsi="仿宋" w:eastAsia="仿宋" w:cs="Times New Roman"/>
          <w:sz w:val="32"/>
        </w:rPr>
      </w:pPr>
      <w:r>
        <w:rPr>
          <w:rFonts w:ascii="仿宋" w:hAnsi="仿宋" w:eastAsia="仿宋" w:cs="Times New Roman"/>
          <w:sz w:val="32"/>
        </w:rPr>
        <w:t>(9)指导农村水利工作。组织开展大中型灌排工程建设与改造;指导农村饮水安全工程建设管理工作:指导农村水能资源开发工作。</w:t>
      </w:r>
      <w:r>
        <w:rPr>
          <w:rFonts w:hint="eastAsia" w:ascii="仿宋" w:hAnsi="仿宋" w:eastAsia="仿宋" w:cs="Times New Roman"/>
          <w:sz w:val="32"/>
        </w:rPr>
        <w:t xml:space="preserve">   </w:t>
      </w:r>
    </w:p>
    <w:p w14:paraId="12F278FE">
      <w:pPr>
        <w:spacing w:line="360" w:lineRule="auto"/>
        <w:ind w:firstLine="480" w:firstLineChars="150"/>
        <w:rPr>
          <w:rFonts w:ascii="仿宋" w:hAnsi="仿宋" w:eastAsia="仿宋" w:cs="Times New Roman"/>
          <w:sz w:val="32"/>
        </w:rPr>
      </w:pPr>
      <w:r>
        <w:rPr>
          <w:rFonts w:ascii="仿宋" w:hAnsi="仿宋" w:eastAsia="仿宋" w:cs="Times New Roman"/>
          <w:sz w:val="32"/>
        </w:rPr>
        <w:t>（10）负责水库工程移民管理工作。拟订水库工程移民有关政策并监督实施，组织实施移民安置验收、监督评估等制度;指导监督水库穆民后规扶持政策的实施。</w:t>
      </w:r>
    </w:p>
    <w:p w14:paraId="48A3FA58">
      <w:pPr>
        <w:spacing w:line="360" w:lineRule="auto"/>
        <w:ind w:firstLine="480" w:firstLineChars="150"/>
        <w:rPr>
          <w:rFonts w:ascii="仿宋" w:hAnsi="仿宋" w:eastAsia="仿宋" w:cs="Times New Roman"/>
          <w:sz w:val="32"/>
        </w:rPr>
      </w:pPr>
      <w:r>
        <w:rPr>
          <w:rFonts w:ascii="仿宋" w:hAnsi="仿宋" w:eastAsia="仿宋" w:cs="Times New Roman"/>
          <w:sz w:val="32"/>
        </w:rPr>
        <w:t>（11）负责涉水违法事件的查处，指导水政监察和水行政执法:依法负责水利行业安全生产工作，组织指导水库的安全生产工作，组织指导水利建设市场的监督管理，组织实施水利工程建设的监督。</w:t>
      </w:r>
      <w:r>
        <w:rPr>
          <w:rFonts w:hint="eastAsia" w:ascii="仿宋" w:hAnsi="仿宋" w:eastAsia="仿宋" w:cs="Times New Roman"/>
          <w:sz w:val="32"/>
        </w:rPr>
        <w:t xml:space="preserve">  </w:t>
      </w:r>
    </w:p>
    <w:p w14:paraId="3D76132F">
      <w:pPr>
        <w:spacing w:line="360" w:lineRule="auto"/>
        <w:ind w:firstLine="320" w:firstLineChars="100"/>
        <w:rPr>
          <w:rFonts w:ascii="仿宋" w:hAnsi="仿宋" w:eastAsia="仿宋" w:cs="Times New Roman"/>
          <w:sz w:val="32"/>
        </w:rPr>
      </w:pPr>
      <w:r>
        <w:rPr>
          <w:rFonts w:ascii="仿宋" w:hAnsi="仿宋" w:eastAsia="仿宋" w:cs="Times New Roman"/>
          <w:sz w:val="32"/>
        </w:rPr>
        <w:t xml:space="preserve"> </w:t>
      </w:r>
      <w:r>
        <w:rPr>
          <w:rFonts w:hint="eastAsia" w:ascii="仿宋" w:hAnsi="仿宋" w:eastAsia="仿宋" w:cs="Times New Roman"/>
          <w:sz w:val="32"/>
        </w:rPr>
        <w:t xml:space="preserve"> </w:t>
      </w:r>
      <w:r>
        <w:rPr>
          <w:rFonts w:ascii="仿宋" w:hAnsi="仿宋" w:eastAsia="仿宋" w:cs="Times New Roman"/>
          <w:sz w:val="32"/>
        </w:rPr>
        <w:t>(12) 组织开展水利行业质量监督工作，拟订水利行业的地方技术标准，规程规范并监督实施。</w:t>
      </w:r>
    </w:p>
    <w:p w14:paraId="3C608183">
      <w:pPr>
        <w:spacing w:line="360" w:lineRule="auto"/>
        <w:ind w:firstLine="640" w:firstLineChars="200"/>
        <w:rPr>
          <w:rFonts w:ascii="仿宋" w:hAnsi="仿宋" w:eastAsia="仿宋" w:cs="Times New Roman"/>
          <w:sz w:val="32"/>
        </w:rPr>
      </w:pPr>
      <w:r>
        <w:rPr>
          <w:rFonts w:ascii="仿宋" w:hAnsi="仿宋" w:eastAsia="仿宋" w:cs="Times New Roman"/>
          <w:sz w:val="32"/>
        </w:rPr>
        <w:t>(13) 负责落实综合防灾减灾规划相关要求，组织编制洪水干旱灾害防治规划和防护标准并指导实施;承担水情旱情监测预警工作;组织编制重要河流和重要水工程的防御洪水、抗御早灾调度及应急水量调度方案，按程序报批并组织实施;承担防御洪水应急抢险的技术支撑工作。</w:t>
      </w:r>
    </w:p>
    <w:p w14:paraId="5152A836">
      <w:pPr>
        <w:spacing w:line="360" w:lineRule="auto"/>
        <w:ind w:firstLine="480" w:firstLineChars="150"/>
        <w:rPr>
          <w:rFonts w:ascii="仿宋" w:hAnsi="仿宋" w:eastAsia="仿宋" w:cs="Times New Roman"/>
          <w:sz w:val="32"/>
        </w:rPr>
      </w:pPr>
      <w:r>
        <w:rPr>
          <w:rFonts w:ascii="仿宋" w:hAnsi="仿宋" w:eastAsia="仿宋" w:cs="Times New Roman"/>
          <w:sz w:val="32"/>
        </w:rPr>
        <w:t>（14）负责贯彻落实党中央、国务院和省、市关于河长制、湖长制的决策部署，办理区级总河长、区级河长交办的事项，协助区级总河长、区级河长对各乡(镇)、各</w:t>
      </w:r>
      <w:r>
        <w:rPr>
          <w:rFonts w:hint="eastAsia" w:ascii="仿宋" w:hAnsi="仿宋" w:eastAsia="仿宋" w:cs="Times New Roman"/>
          <w:sz w:val="32"/>
        </w:rPr>
        <w:t>单位</w:t>
      </w:r>
      <w:r>
        <w:rPr>
          <w:rFonts w:ascii="仿宋" w:hAnsi="仿宋" w:eastAsia="仿宋" w:cs="Times New Roman"/>
          <w:sz w:val="32"/>
        </w:rPr>
        <w:t>履行河长制、湖长制相关职责进行指导、协调、监督和考核。</w:t>
      </w:r>
    </w:p>
    <w:p w14:paraId="0BE00D58">
      <w:pPr>
        <w:spacing w:line="360" w:lineRule="auto"/>
        <w:ind w:firstLine="640" w:firstLineChars="200"/>
        <w:rPr>
          <w:rFonts w:ascii="仿宋" w:hAnsi="仿宋" w:eastAsia="仿宋"/>
          <w:sz w:val="32"/>
          <w:szCs w:val="32"/>
        </w:rPr>
      </w:pPr>
      <w:r>
        <w:rPr>
          <w:rFonts w:ascii="仿宋" w:hAnsi="仿宋" w:eastAsia="仿宋" w:cs="Times New Roman"/>
          <w:sz w:val="32"/>
        </w:rPr>
        <w:t>(15)完成区委、区政府交办的其他任务。</w:t>
      </w:r>
    </w:p>
    <w:p w14:paraId="022A79AA">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p w14:paraId="5DC86B51">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单位机构设置情况</w:t>
      </w:r>
    </w:p>
    <w:tbl>
      <w:tblPr>
        <w:tblStyle w:val="5"/>
        <w:tblW w:w="8737" w:type="dxa"/>
        <w:tblInd w:w="93" w:type="dxa"/>
        <w:tblLayout w:type="autofit"/>
        <w:tblCellMar>
          <w:top w:w="0" w:type="dxa"/>
          <w:left w:w="108" w:type="dxa"/>
          <w:bottom w:w="0" w:type="dxa"/>
          <w:right w:w="108" w:type="dxa"/>
        </w:tblCellMar>
      </w:tblPr>
      <w:tblGrid>
        <w:gridCol w:w="824"/>
        <w:gridCol w:w="2498"/>
        <w:gridCol w:w="1327"/>
        <w:gridCol w:w="1210"/>
        <w:gridCol w:w="2878"/>
      </w:tblGrid>
      <w:tr w14:paraId="19959131">
        <w:tblPrEx>
          <w:tblCellMar>
            <w:top w:w="0" w:type="dxa"/>
            <w:left w:w="108" w:type="dxa"/>
            <w:bottom w:w="0" w:type="dxa"/>
            <w:right w:w="108" w:type="dxa"/>
          </w:tblCellMar>
        </w:tblPrEx>
        <w:trPr>
          <w:trHeight w:val="322"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4D45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2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4FB2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F1C3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单位性质</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40A8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单位规格</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C5B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经费保障形式</w:t>
            </w:r>
          </w:p>
        </w:tc>
      </w:tr>
      <w:tr w14:paraId="0E1FAAA0">
        <w:tblPrEx>
          <w:tblCellMar>
            <w:top w:w="0" w:type="dxa"/>
            <w:left w:w="108" w:type="dxa"/>
            <w:bottom w:w="0" w:type="dxa"/>
            <w:right w:w="108" w:type="dxa"/>
          </w:tblCellMar>
        </w:tblPrEx>
        <w:trPr>
          <w:trHeight w:val="367"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6C5B">
            <w:pPr>
              <w:jc w:val="center"/>
              <w:rPr>
                <w:rFonts w:ascii="仿宋" w:hAnsi="仿宋" w:eastAsia="仿宋" w:cs="仿宋"/>
                <w:color w:val="000000"/>
                <w:sz w:val="24"/>
                <w:szCs w:val="24"/>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4885">
            <w:pPr>
              <w:jc w:val="center"/>
              <w:rPr>
                <w:rFonts w:ascii="仿宋" w:hAnsi="仿宋" w:eastAsia="仿宋" w:cs="仿宋"/>
                <w:color w:val="000000"/>
                <w:sz w:val="24"/>
                <w:szCs w:val="24"/>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447A">
            <w:pPr>
              <w:jc w:val="center"/>
              <w:rPr>
                <w:rFonts w:ascii="仿宋" w:hAnsi="仿宋" w:eastAsia="仿宋" w:cs="仿宋"/>
                <w:color w:val="000000"/>
                <w:sz w:val="24"/>
                <w:szCs w:val="24"/>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8A22">
            <w:pPr>
              <w:jc w:val="center"/>
              <w:rPr>
                <w:rFonts w:ascii="仿宋" w:hAnsi="仿宋" w:eastAsia="仿宋" w:cs="仿宋"/>
                <w:color w:val="000000"/>
                <w:sz w:val="24"/>
                <w:szCs w:val="24"/>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3E67">
            <w:pPr>
              <w:jc w:val="center"/>
              <w:rPr>
                <w:rFonts w:ascii="仿宋" w:hAnsi="仿宋" w:eastAsia="仿宋" w:cs="仿宋"/>
                <w:color w:val="000000"/>
                <w:sz w:val="24"/>
                <w:szCs w:val="24"/>
              </w:rPr>
            </w:pPr>
          </w:p>
        </w:tc>
      </w:tr>
      <w:tr w14:paraId="3EB4F74E">
        <w:tblPrEx>
          <w:tblCellMar>
            <w:top w:w="0" w:type="dxa"/>
            <w:left w:w="108" w:type="dxa"/>
            <w:bottom w:w="0" w:type="dxa"/>
            <w:right w:w="108" w:type="dxa"/>
          </w:tblCellMar>
        </w:tblPrEx>
        <w:trPr>
          <w:trHeight w:val="806"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75C3">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305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河道工程修建维护管理费征费站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E41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3C7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5E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491563E2">
        <w:tblPrEx>
          <w:tblCellMar>
            <w:top w:w="0" w:type="dxa"/>
            <w:left w:w="108" w:type="dxa"/>
            <w:bottom w:w="0" w:type="dxa"/>
            <w:right w:w="108" w:type="dxa"/>
          </w:tblCellMar>
        </w:tblPrEx>
        <w:trPr>
          <w:trHeight w:val="649"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9421">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53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水土保持监督检查站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265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10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C0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2F9E86F5">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865">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5A9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于庄渠道管理所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F1D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599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18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62C44554">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488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F80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迪城扬水机站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38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E4B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29A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6ECAFFF0">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AA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A9E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陈梁庄扬水机站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B3E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66F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8A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00944183">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4A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7CD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中心水利站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3AF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D4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664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16077B3B">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15A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42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县城河道管理所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EB0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B5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BABA">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2A9BBCAC">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71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9A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利民渠道管理所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875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E4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43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7C386033">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28A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1A3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南留橡胶坝管理所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AD2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91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DBE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27106DD0">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67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85A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瀑河水库管理处</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CCE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0B3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37C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5E3EA9D9">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0CF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95C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大因扬水机站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75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4EF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F3E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431AD29C">
        <w:tblPrEx>
          <w:tblCellMar>
            <w:top w:w="0" w:type="dxa"/>
            <w:left w:w="108" w:type="dxa"/>
            <w:bottom w:w="0" w:type="dxa"/>
            <w:right w:w="108" w:type="dxa"/>
          </w:tblCellMar>
        </w:tblPrEx>
        <w:trPr>
          <w:trHeight w:val="685"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219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030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水政水资源综合管理办公室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44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2F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2B8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47FCF4A5">
        <w:tblPrEx>
          <w:tblCellMar>
            <w:top w:w="0" w:type="dxa"/>
            <w:left w:w="108" w:type="dxa"/>
            <w:bottom w:w="0" w:type="dxa"/>
            <w:right w:w="108" w:type="dxa"/>
          </w:tblCellMar>
        </w:tblPrEx>
        <w:trPr>
          <w:trHeight w:val="38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6E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F53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盘山渠道管理所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120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BC3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C11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r w14:paraId="4B520A26">
        <w:tblPrEx>
          <w:tblCellMar>
            <w:top w:w="0" w:type="dxa"/>
            <w:left w:w="108" w:type="dxa"/>
            <w:bottom w:w="0" w:type="dxa"/>
            <w:right w:w="108" w:type="dxa"/>
          </w:tblCellMar>
        </w:tblPrEx>
        <w:trPr>
          <w:trHeight w:val="403"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FC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C7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曲水水库管理所</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8C8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事业</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10A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股级</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A30E">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财政性资金基本保障</w:t>
            </w:r>
          </w:p>
        </w:tc>
      </w:tr>
    </w:tbl>
    <w:p w14:paraId="03038A52">
      <w:pPr>
        <w:jc w:val="center"/>
        <w:outlineLvl w:val="0"/>
        <w:rPr>
          <w:rFonts w:ascii="方正小标宋_GBK" w:eastAsia="方正小标宋_GBK"/>
          <w:sz w:val="44"/>
        </w:rPr>
      </w:pPr>
    </w:p>
    <w:p w14:paraId="635C9B6E">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14:paraId="590E5DE8">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8BD84D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F66ABC7">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3238.17</w:t>
      </w:r>
      <w:r>
        <w:rPr>
          <w:rFonts w:ascii="仿宋" w:hAnsi="仿宋" w:eastAsia="仿宋"/>
          <w:sz w:val="32"/>
          <w:szCs w:val="32"/>
        </w:rPr>
        <w:t>元,其中：一般公共预算收入</w:t>
      </w:r>
      <w:r>
        <w:rPr>
          <w:rFonts w:hint="eastAsia" w:ascii="仿宋" w:hAnsi="仿宋" w:eastAsia="仿宋"/>
          <w:sz w:val="32"/>
          <w:szCs w:val="32"/>
        </w:rPr>
        <w:t>3238.17</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12A0228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9BF7CFD">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单位</w:t>
      </w:r>
      <w:r>
        <w:rPr>
          <w:rFonts w:ascii="仿宋" w:hAnsi="仿宋" w:eastAsia="仿宋"/>
          <w:sz w:val="32"/>
          <w:szCs w:val="32"/>
        </w:rPr>
        <w:t>支出预算：</w:t>
      </w:r>
      <w:r>
        <w:rPr>
          <w:rFonts w:hint="eastAsia" w:ascii="仿宋" w:hAnsi="仿宋" w:eastAsia="仿宋"/>
          <w:sz w:val="32"/>
          <w:szCs w:val="32"/>
        </w:rPr>
        <w:t>3238.17</w:t>
      </w:r>
      <w:r>
        <w:rPr>
          <w:rFonts w:ascii="仿宋" w:hAnsi="仿宋" w:eastAsia="仿宋"/>
          <w:sz w:val="32"/>
          <w:szCs w:val="32"/>
        </w:rPr>
        <w:t>万元</w:t>
      </w:r>
    </w:p>
    <w:p w14:paraId="01745FC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基本支出3238.17万元</w:t>
      </w:r>
    </w:p>
    <w:p w14:paraId="133932D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3105.26</w:t>
      </w:r>
      <w:r>
        <w:rPr>
          <w:rFonts w:ascii="仿宋" w:hAnsi="仿宋" w:eastAsia="仿宋"/>
          <w:sz w:val="32"/>
          <w:szCs w:val="32"/>
        </w:rPr>
        <w:t>万元</w:t>
      </w:r>
    </w:p>
    <w:p w14:paraId="3C95473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132.91</w:t>
      </w:r>
      <w:r>
        <w:rPr>
          <w:rFonts w:ascii="仿宋" w:hAnsi="仿宋" w:eastAsia="仿宋"/>
          <w:sz w:val="32"/>
          <w:szCs w:val="32"/>
        </w:rPr>
        <w:t>万元</w:t>
      </w:r>
    </w:p>
    <w:p w14:paraId="76B19859">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14:paraId="22A58BE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0</w:t>
      </w:r>
      <w:r>
        <w:rPr>
          <w:rFonts w:ascii="仿宋" w:hAnsi="仿宋" w:eastAsia="仿宋"/>
          <w:sz w:val="32"/>
          <w:szCs w:val="32"/>
        </w:rPr>
        <w:t>万元</w:t>
      </w:r>
    </w:p>
    <w:p w14:paraId="186D44B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EC51456">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本年度预算收支安排3238.17万元，较上年增加9.38</w:t>
      </w:r>
      <w:r>
        <w:rPr>
          <w:rFonts w:ascii="仿宋" w:hAnsi="仿宋" w:eastAsia="仿宋"/>
          <w:sz w:val="32"/>
          <w:szCs w:val="32"/>
        </w:rPr>
        <w:t>万元。其中:基本支出增加</w:t>
      </w:r>
      <w:r>
        <w:rPr>
          <w:rFonts w:hint="eastAsia" w:ascii="仿宋" w:hAnsi="仿宋" w:eastAsia="仿宋"/>
          <w:sz w:val="32"/>
          <w:szCs w:val="32"/>
        </w:rPr>
        <w:t>9.38</w:t>
      </w:r>
      <w:r>
        <w:rPr>
          <w:rFonts w:ascii="仿宋" w:hAnsi="仿宋" w:eastAsia="仿宋"/>
          <w:sz w:val="32"/>
          <w:szCs w:val="32"/>
        </w:rPr>
        <w:t>万元，主要原因是</w:t>
      </w:r>
      <w:r>
        <w:rPr>
          <w:rFonts w:hint="eastAsia" w:ascii="仿宋" w:hAnsi="仿宋" w:eastAsia="仿宋"/>
          <w:sz w:val="32"/>
          <w:szCs w:val="32"/>
        </w:rPr>
        <w:t>人员经费支出较上年增加16.36万元，日常公用经费较上年减少6.98万元影响所致</w:t>
      </w:r>
      <w:r>
        <w:rPr>
          <w:rFonts w:ascii="仿宋" w:hAnsi="仿宋" w:eastAsia="仿宋"/>
          <w:sz w:val="32"/>
          <w:szCs w:val="32"/>
        </w:rPr>
        <w:t>；项目支出增加</w:t>
      </w:r>
      <w:r>
        <w:rPr>
          <w:rFonts w:hint="eastAsia" w:ascii="仿宋" w:hAnsi="仿宋" w:eastAsia="仿宋"/>
          <w:sz w:val="32"/>
          <w:szCs w:val="32"/>
        </w:rPr>
        <w:t>0</w:t>
      </w:r>
      <w:r>
        <w:rPr>
          <w:rFonts w:ascii="仿宋" w:hAnsi="仿宋" w:eastAsia="仿宋"/>
          <w:sz w:val="32"/>
          <w:szCs w:val="32"/>
        </w:rPr>
        <w:t>万元，较上年持平。</w:t>
      </w:r>
    </w:p>
    <w:p w14:paraId="1F8652C5">
      <w:pPr>
        <w:spacing w:line="360" w:lineRule="auto"/>
        <w:ind w:firstLine="640" w:firstLineChars="200"/>
        <w:rPr>
          <w:rFonts w:ascii="仿宋" w:hAnsi="仿宋" w:eastAsia="仿宋"/>
          <w:sz w:val="32"/>
          <w:szCs w:val="32"/>
        </w:rPr>
      </w:pPr>
    </w:p>
    <w:p w14:paraId="0F9491C1">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485599B3">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w:t>
      </w:r>
      <w:r>
        <w:rPr>
          <w:rFonts w:hint="eastAsia" w:ascii="仿宋" w:hAnsi="仿宋" w:eastAsia="仿宋"/>
          <w:sz w:val="32"/>
          <w:szCs w:val="32"/>
        </w:rPr>
        <w:t>132.91</w:t>
      </w:r>
      <w:r>
        <w:rPr>
          <w:rFonts w:ascii="仿宋" w:hAnsi="仿宋" w:eastAsia="仿宋"/>
          <w:sz w:val="32"/>
          <w:szCs w:val="32"/>
        </w:rPr>
        <w:t>万元，其中办公费</w:t>
      </w:r>
      <w:r>
        <w:rPr>
          <w:rFonts w:hint="eastAsia" w:ascii="仿宋" w:hAnsi="仿宋" w:eastAsia="仿宋"/>
          <w:sz w:val="32"/>
          <w:szCs w:val="32"/>
        </w:rPr>
        <w:t>75.60</w:t>
      </w:r>
      <w:r>
        <w:rPr>
          <w:rFonts w:ascii="仿宋" w:hAnsi="仿宋" w:eastAsia="仿宋"/>
          <w:sz w:val="32"/>
          <w:szCs w:val="32"/>
        </w:rPr>
        <w:t>万元，邮电费</w:t>
      </w:r>
      <w:r>
        <w:rPr>
          <w:rFonts w:hint="eastAsia" w:ascii="仿宋" w:hAnsi="仿宋" w:eastAsia="仿宋"/>
          <w:sz w:val="32"/>
          <w:szCs w:val="32"/>
        </w:rPr>
        <w:t>2.24</w:t>
      </w:r>
      <w:r>
        <w:rPr>
          <w:rFonts w:ascii="仿宋" w:hAnsi="仿宋" w:eastAsia="仿宋"/>
          <w:sz w:val="32"/>
          <w:szCs w:val="32"/>
        </w:rPr>
        <w:t>万元，工会经费、福利</w:t>
      </w:r>
      <w:r>
        <w:rPr>
          <w:rFonts w:hint="eastAsia" w:ascii="仿宋" w:hAnsi="仿宋" w:eastAsia="仿宋"/>
          <w:sz w:val="32"/>
          <w:szCs w:val="32"/>
        </w:rPr>
        <w:t>48.66</w:t>
      </w:r>
      <w:r>
        <w:rPr>
          <w:rFonts w:ascii="仿宋" w:hAnsi="仿宋" w:eastAsia="仿宋"/>
          <w:sz w:val="32"/>
          <w:szCs w:val="32"/>
        </w:rPr>
        <w:t>万元，公务用车运行维护费</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6.41</w:t>
      </w:r>
      <w:r>
        <w:rPr>
          <w:rFonts w:ascii="仿宋" w:hAnsi="仿宋" w:eastAsia="仿宋"/>
          <w:sz w:val="32"/>
          <w:szCs w:val="32"/>
        </w:rPr>
        <w:t>万元。</w:t>
      </w:r>
    </w:p>
    <w:p w14:paraId="691BB582">
      <w:pPr>
        <w:jc w:val="center"/>
        <w:outlineLvl w:val="0"/>
        <w:rPr>
          <w:rFonts w:ascii="方正小标宋_GBK" w:eastAsia="方正小标宋_GBK"/>
          <w:sz w:val="44"/>
        </w:rPr>
      </w:pPr>
    </w:p>
    <w:p w14:paraId="2C85FD8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8522"/>
      </w:tblGrid>
      <w:tr w14:paraId="43F17EC8">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3C53FA25">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1C3EB730">
                  <w:pPr>
                    <w:spacing w:line="360" w:lineRule="auto"/>
                    <w:rPr>
                      <w:rFonts w:ascii="黑体" w:hAnsi="黑体" w:eastAsia="黑体" w:cs="宋体"/>
                      <w:kern w:val="0"/>
                      <w:sz w:val="32"/>
                      <w:szCs w:val="32"/>
                    </w:rPr>
                  </w:pPr>
                </w:p>
              </w:tc>
            </w:tr>
            <w:tr w14:paraId="0EDAAC0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CA12E8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02F7FF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3BD420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AB8BF9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5D284F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409B048">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C2BAC1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6B54E3B">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7029F3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3B1C9BC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42073AC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 xml:space="preserve">变化原因 </w:t>
                  </w:r>
                  <w:r>
                    <w:rPr>
                      <w:rFonts w:ascii="仿宋_GB2312" w:hAnsi="宋体" w:eastAsia="仿宋_GB2312" w:cs="宋体"/>
                      <w:b/>
                      <w:kern w:val="0"/>
                      <w:sz w:val="24"/>
                      <w:szCs w:val="24"/>
                    </w:rPr>
                    <w:t xml:space="preserve"> </w:t>
                  </w:r>
                </w:p>
              </w:tc>
            </w:tr>
            <w:tr w14:paraId="2DFB2F7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EC1AFC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D1398B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CF250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211C5B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4F1B35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AC00533">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66F92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198ED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19F1937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5855B3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B3B248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F68C6B5">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44B5FC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727D7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0EFE65B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24DC74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5E5EBB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D2E134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7835C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095D2E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31AC85E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44EC6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993C04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42616F4">
              <w:tblPrEx>
                <w:tblCellMar>
                  <w:top w:w="0" w:type="dxa"/>
                  <w:left w:w="108" w:type="dxa"/>
                  <w:bottom w:w="0" w:type="dxa"/>
                  <w:right w:w="108" w:type="dxa"/>
                </w:tblCellMar>
              </w:tblPrEx>
              <w:trPr>
                <w:trHeight w:val="547" w:hRule="atLeast"/>
                <w:jc w:val="center"/>
              </w:trPr>
              <w:tc>
                <w:tcPr>
                  <w:tcW w:w="2163" w:type="dxa"/>
                  <w:tcBorders>
                    <w:top w:val="nil"/>
                    <w:left w:val="single" w:color="auto" w:sz="4" w:space="0"/>
                    <w:bottom w:val="single" w:color="auto" w:sz="4" w:space="0"/>
                    <w:right w:val="single" w:color="auto" w:sz="4" w:space="0"/>
                  </w:tcBorders>
                  <w:vAlign w:val="center"/>
                </w:tcPr>
                <w:p w14:paraId="31E0D1F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5ABAA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54EF08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2BAA44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5C338C8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D2CB7D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9F6D02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1FDD4B5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0C6216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CAF574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77A9268">
                  <w:pPr>
                    <w:widowControl/>
                    <w:jc w:val="left"/>
                    <w:rPr>
                      <w:rFonts w:ascii="宋体" w:hAnsi="宋体" w:cs="宋体"/>
                      <w:kern w:val="0"/>
                      <w:sz w:val="24"/>
                      <w:szCs w:val="24"/>
                    </w:rPr>
                  </w:pPr>
                </w:p>
              </w:tc>
            </w:tr>
          </w:tbl>
          <w:p w14:paraId="0076A12F">
            <w:pPr>
              <w:widowControl/>
              <w:spacing w:line="520" w:lineRule="exact"/>
              <w:ind w:right="480"/>
              <w:rPr>
                <w:rFonts w:ascii="仿宋" w:hAnsi="仿宋" w:eastAsia="仿宋" w:cs="宋体"/>
                <w:kern w:val="0"/>
                <w:sz w:val="24"/>
                <w:szCs w:val="24"/>
              </w:rPr>
            </w:pPr>
          </w:p>
        </w:tc>
      </w:tr>
    </w:tbl>
    <w:p w14:paraId="44D09B06">
      <w:pPr>
        <w:spacing w:line="360" w:lineRule="auto"/>
        <w:rPr>
          <w:rFonts w:ascii="黑体" w:hAnsi="黑体" w:eastAsia="黑体" w:cs="Times New Roman"/>
          <w:sz w:val="32"/>
          <w:szCs w:val="32"/>
        </w:rPr>
      </w:pPr>
    </w:p>
    <w:p w14:paraId="297A2B1A">
      <w:pPr>
        <w:spacing w:line="360" w:lineRule="auto"/>
        <w:rPr>
          <w:rFonts w:ascii="黑体" w:hAnsi="黑体" w:eastAsia="黑体" w:cs="Times New Roman"/>
          <w:sz w:val="32"/>
          <w:szCs w:val="32"/>
        </w:rPr>
      </w:pPr>
    </w:p>
    <w:p w14:paraId="5E45B52F">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B638035">
      <w:pPr>
        <w:spacing w:line="360" w:lineRule="auto"/>
        <w:jc w:val="center"/>
        <w:rPr>
          <w:rFonts w:ascii="黑体" w:hAnsi="黑体" w:eastAsia="黑体" w:cs="Times New Roman"/>
          <w:sz w:val="32"/>
          <w:szCs w:val="32"/>
        </w:rPr>
      </w:pPr>
    </w:p>
    <w:p w14:paraId="5A1A029B">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14:paraId="300786C6">
      <w:pPr>
        <w:spacing w:before="156" w:beforeLines="50" w:after="156" w:afterLines="50"/>
        <w:ind w:firstLine="560" w:firstLineChars="200"/>
        <w:jc w:val="left"/>
        <w:outlineLvl w:val="1"/>
        <w:rPr>
          <w:rFonts w:ascii="Times New Roman" w:hAnsi="宋体" w:eastAsia="宋体"/>
          <w:sz w:val="28"/>
        </w:rPr>
      </w:pPr>
      <w:bookmarkStart w:id="0" w:name="_Toc66956204"/>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77A908F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以习近平总书记</w:t>
      </w:r>
      <w:r>
        <w:rPr>
          <w:rFonts w:ascii="Times New Roman" w:eastAsia="方正仿宋_GBK"/>
          <w:sz w:val="28"/>
        </w:rPr>
        <w:t>“</w:t>
      </w:r>
      <w:r>
        <w:rPr>
          <w:rFonts w:hint="eastAsia" w:ascii="Times New Roman" w:hAnsi="微软雅黑" w:eastAsia="方正仿宋_GBK" w:cs="微软雅黑"/>
          <w:sz w:val="28"/>
        </w:rPr>
        <w:t>节水优先、空间均衡、系统治理、两手发力</w:t>
      </w:r>
      <w:r>
        <w:rPr>
          <w:rFonts w:ascii="Times New Roman" w:eastAsia="方正仿宋_GBK"/>
          <w:sz w:val="28"/>
        </w:rPr>
        <w:t>”</w:t>
      </w:r>
      <w:r>
        <w:rPr>
          <w:rFonts w:hint="eastAsia" w:ascii="Times New Roman" w:hAnsi="微软雅黑" w:eastAsia="方正仿宋_GBK" w:cs="微软雅黑"/>
          <w:sz w:val="28"/>
        </w:rPr>
        <w:t>的治水思路，紧紧围绕全面深化改革的总体要求，牢牢把握京雄保一体化发展、服务雄安新区规划建设和白洋淀上游生态文明建设的战略部署，以</w:t>
      </w:r>
      <w:r>
        <w:rPr>
          <w:rFonts w:ascii="Times New Roman" w:eastAsia="方正仿宋_GBK"/>
          <w:sz w:val="28"/>
        </w:rPr>
        <w:t>“</w:t>
      </w:r>
      <w:r>
        <w:rPr>
          <w:rFonts w:hint="eastAsia" w:ascii="Times New Roman" w:hAnsi="微软雅黑" w:eastAsia="方正仿宋_GBK" w:cs="微软雅黑"/>
          <w:sz w:val="28"/>
        </w:rPr>
        <w:t>水利工程补短板、水利行业强监管</w:t>
      </w:r>
      <w:r>
        <w:rPr>
          <w:rFonts w:ascii="Times New Roman" w:eastAsia="方正仿宋_GBK"/>
          <w:sz w:val="28"/>
        </w:rPr>
        <w:t>”</w:t>
      </w:r>
      <w:r>
        <w:rPr>
          <w:rFonts w:hint="eastAsia" w:ascii="Times New Roman" w:hAnsi="微软雅黑" w:eastAsia="方正仿宋_GBK" w:cs="微软雅黑"/>
          <w:sz w:val="28"/>
        </w:rPr>
        <w:t>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hint="eastAsia" w:ascii="Times New Roman" w:hAnsi="微软雅黑" w:eastAsia="方正仿宋_GBK" w:cs="微软雅黑"/>
          <w:sz w:val="28"/>
        </w:rPr>
        <w:t>坚持统筹兼顾，保障合理用水需求和水资源的可持续利用，为经济社会发展提供水安全保障。</w:t>
      </w:r>
    </w:p>
    <w:p w14:paraId="7C04D855">
      <w:pPr>
        <w:spacing w:before="156" w:beforeLines="50" w:after="156" w:afterLines="50" w:line="500" w:lineRule="exact"/>
        <w:ind w:firstLine="560" w:firstLineChars="200"/>
        <w:jc w:val="left"/>
        <w:outlineLvl w:val="1"/>
        <w:rPr>
          <w:rFonts w:ascii="Times New Roman" w:hAnsi="宋体" w:eastAsia="宋体"/>
          <w:sz w:val="28"/>
        </w:rPr>
      </w:pPr>
      <w:bookmarkStart w:id="1" w:name="_Toc66956205"/>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0FF9A44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（一）进一步保障水资源的合理开发利用</w:t>
      </w:r>
    </w:p>
    <w:p w14:paraId="7A8EE5A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绩效目标：保障水资源合理开发利用，编制全区水资源规划及实施方案。</w:t>
      </w:r>
    </w:p>
    <w:p w14:paraId="7939998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绩效指标：编制完成《徐水区</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水安全保障规划》、水资源开放利用及保护实施方案等。</w:t>
      </w:r>
    </w:p>
    <w:p w14:paraId="5A0487D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（二）进一步增强生活、生产经营和生态环境用水的统筹和保障</w:t>
      </w:r>
    </w:p>
    <w:p w14:paraId="1A0F786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14:paraId="2CFA267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绩效指标：根据最严格水资源管理制度，组织专家取水许可的进行技术审查、评估、验收等工作。</w:t>
      </w:r>
    </w:p>
    <w:p w14:paraId="2BC0117A">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（三）水资源开发利用监控能力进一步增强</w:t>
      </w:r>
    </w:p>
    <w:p w14:paraId="014A265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绩效目标：实施水资源保护规划，指导饮用水水源保护有关工作，指导地下水开发利用和地下水资源管理保护，组织实施地下水超采区综合治理。</w:t>
      </w:r>
    </w:p>
    <w:p w14:paraId="20A87E4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14:paraId="38B8EB7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（四）节约用水工作进一步优化</w:t>
      </w:r>
    </w:p>
    <w:p w14:paraId="6F56E41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14:paraId="19EDE0D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绩效指标：完成徐水区农田灌溉水有效利用系数测算，了解相关政策、剖析当前相关技术进展，确定</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相关关键技术措施，积极撰写科技论文，提高科研人员技术水平和规划编制水平，为规划的全域实施奠定基础，保障节约用水信息系统运行正常。</w:t>
      </w:r>
    </w:p>
    <w:p w14:paraId="0572CB3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（五）水利设施、水域及其岸线的管理、保护与综合利用意识进一步增强</w:t>
      </w:r>
    </w:p>
    <w:p w14:paraId="20CFCC3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w:t>
      </w:r>
      <w:r>
        <w:rPr>
          <w:rFonts w:ascii="Times New Roman" w:eastAsia="方正仿宋_GBK"/>
          <w:sz w:val="28"/>
        </w:rPr>
        <w:t xml:space="preserve"> </w:t>
      </w:r>
      <w:r>
        <w:rPr>
          <w:rFonts w:hint="eastAsia" w:ascii="Times New Roman" w:hAnsi="微软雅黑" w:eastAsia="方正仿宋_GBK" w:cs="微软雅黑"/>
          <w:sz w:val="28"/>
        </w:rPr>
        <w:t>通过中小河流治理，提供防洪能力，达到保护沿岸人民生命和财产安全的目的，实现</w:t>
      </w:r>
      <w:r>
        <w:rPr>
          <w:rFonts w:ascii="Times New Roman" w:eastAsia="方正仿宋_GBK"/>
          <w:sz w:val="28"/>
        </w:rPr>
        <w:t>“</w:t>
      </w:r>
      <w:r>
        <w:rPr>
          <w:rFonts w:hint="eastAsia" w:ascii="Times New Roman" w:hAnsi="微软雅黑" w:eastAsia="方正仿宋_GBK" w:cs="微软雅黑"/>
          <w:sz w:val="28"/>
        </w:rPr>
        <w:t>保护村镇、守点固岸、防冲消能</w:t>
      </w:r>
      <w:r>
        <w:rPr>
          <w:rFonts w:ascii="Times New Roman" w:eastAsia="方正仿宋_GBK"/>
          <w:sz w:val="28"/>
        </w:rPr>
        <w:t>”</w:t>
      </w:r>
      <w:r>
        <w:rPr>
          <w:rFonts w:hint="eastAsia" w:ascii="Times New Roman" w:hAnsi="微软雅黑" w:eastAsia="方正仿宋_GBK" w:cs="微软雅黑"/>
          <w:sz w:val="28"/>
        </w:rPr>
        <w:t>目标，开展洪涝灾害调查、视频会商、群测群防体系及视频监控站等建设，提高基层防汛预警能力，不断提高洪涝灾害防治区群众主动防灾避险意识和自救互救能力。</w:t>
      </w:r>
    </w:p>
    <w:p w14:paraId="3A77597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绩效指标：完成瀑河石桥段中小河流治理，配合漕河综合治理工作，完工项目初步验收率达到</w:t>
      </w:r>
      <w:r>
        <w:rPr>
          <w:rFonts w:ascii="Times New Roman" w:eastAsia="方正仿宋_GBK"/>
          <w:sz w:val="28"/>
        </w:rPr>
        <w:t>100%</w:t>
      </w:r>
      <w:r>
        <w:rPr>
          <w:rFonts w:hint="eastAsia" w:ascii="Times New Roman" w:hAnsi="微软雅黑" w:eastAsia="方正仿宋_GBK" w:cs="微软雅黑"/>
          <w:sz w:val="28"/>
        </w:rPr>
        <w:t>。</w:t>
      </w:r>
    </w:p>
    <w:p w14:paraId="1ABD14E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（六）水利工程建设与运行管理水平进一步提高</w:t>
      </w:r>
    </w:p>
    <w:p w14:paraId="4CCF613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14:paraId="7499DE5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绩效指标：所辖水利工程按原设计正常运行</w:t>
      </w:r>
      <w:r>
        <w:rPr>
          <w:rFonts w:ascii="Times New Roman" w:eastAsia="方正仿宋_GBK"/>
          <w:sz w:val="28"/>
        </w:rPr>
        <w:t>,</w:t>
      </w:r>
      <w:r>
        <w:rPr>
          <w:rFonts w:hint="eastAsia" w:ascii="Times New Roman" w:hAnsi="微软雅黑" w:eastAsia="方正仿宋_GBK" w:cs="微软雅黑"/>
          <w:sz w:val="28"/>
        </w:rPr>
        <w:t>确保行洪排沥河道的在河系行洪排沥调度等方面发挥着重要作用，保障保护区耕地、铁路、公路、群众安全。</w:t>
      </w:r>
    </w:p>
    <w:p w14:paraId="21909E6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（七）水土保持工作效果进一步显现</w:t>
      </w:r>
    </w:p>
    <w:p w14:paraId="33EDC82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绩效目标：拟定水土保持规划并监督实施，负责建设项目水土保持监督管理工作。</w:t>
      </w:r>
    </w:p>
    <w:p w14:paraId="267DE33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绩效指标：加强对区域内所有建设项目水土保持监督管理工作。</w:t>
      </w:r>
    </w:p>
    <w:p w14:paraId="0D84095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（八）农村饮水安全保障工作进一步提升</w:t>
      </w:r>
    </w:p>
    <w:p w14:paraId="16FEFE8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农村饮水工程维修养护，包括农村集中供水工程及其配套设施修缮，供水设备及配件、水表等更换，供水管材管件购置与更换，为农村饮水工程长效运行提供支撑。推进农村生活水源江水置换工作。</w:t>
      </w:r>
    </w:p>
    <w:p w14:paraId="097ECE2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2021</w:t>
      </w:r>
      <w:r>
        <w:rPr>
          <w:rFonts w:hint="eastAsia" w:ascii="Times New Roman" w:hAnsi="微软雅黑" w:eastAsia="方正仿宋_GBK" w:cs="微软雅黑"/>
          <w:sz w:val="28"/>
        </w:rPr>
        <w:t>年按照河北省水利厅任务清单和资金计划完成农村饮水工程维修养护。</w:t>
      </w:r>
      <w:r>
        <w:rPr>
          <w:rFonts w:ascii="Times New Roman" w:eastAsia="方正仿宋_GBK"/>
          <w:sz w:val="28"/>
        </w:rPr>
        <w:t>6</w:t>
      </w:r>
      <w:r>
        <w:rPr>
          <w:rFonts w:hint="eastAsia" w:ascii="Times New Roman" w:hAnsi="微软雅黑" w:eastAsia="方正仿宋_GBK" w:cs="微软雅黑"/>
          <w:sz w:val="28"/>
        </w:rPr>
        <w:t>月底完成工程筹备、</w:t>
      </w:r>
      <w:r>
        <w:rPr>
          <w:rFonts w:ascii="Times New Roman" w:eastAsia="方正仿宋_GBK"/>
          <w:sz w:val="28"/>
        </w:rPr>
        <w:t>12</w:t>
      </w:r>
      <w:r>
        <w:rPr>
          <w:rFonts w:hint="eastAsia" w:ascii="Times New Roman" w:hAnsi="微软雅黑" w:eastAsia="方正仿宋_GBK" w:cs="微软雅黑"/>
          <w:sz w:val="28"/>
        </w:rPr>
        <w:t>月底前组织实施工程、建立工程良性运行机制，使农民群众喝上放心水。完成</w:t>
      </w:r>
      <w:r>
        <w:rPr>
          <w:rFonts w:ascii="Times New Roman" w:eastAsia="方正仿宋_GBK"/>
          <w:sz w:val="28"/>
        </w:rPr>
        <w:t>2021</w:t>
      </w:r>
      <w:r>
        <w:rPr>
          <w:rFonts w:hint="eastAsia" w:ascii="Times New Roman" w:hAnsi="微软雅黑" w:eastAsia="方正仿宋_GBK" w:cs="微软雅黑"/>
          <w:sz w:val="28"/>
        </w:rPr>
        <w:t>年度农村生活水源置换项目任务。</w:t>
      </w:r>
    </w:p>
    <w:p w14:paraId="271CE72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（九）水库移民扶持工作取得实效</w:t>
      </w:r>
    </w:p>
    <w:p w14:paraId="648B359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绩效目标：按时发放大中型水库移民人口直补资金，按时完成项目资金拨付。</w:t>
      </w:r>
    </w:p>
    <w:p w14:paraId="3F2034D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绩效指标：开展移民直接补助受益人口核查，增加库区移民每年人均可支配收入约</w:t>
      </w:r>
      <w:r>
        <w:rPr>
          <w:rFonts w:ascii="Times New Roman" w:eastAsia="方正仿宋_GBK"/>
          <w:sz w:val="28"/>
        </w:rPr>
        <w:t>600</w:t>
      </w:r>
      <w:r>
        <w:rPr>
          <w:rFonts w:hint="eastAsia" w:ascii="Times New Roman" w:hAnsi="微软雅黑" w:eastAsia="方正仿宋_GBK" w:cs="微软雅黑"/>
          <w:sz w:val="28"/>
        </w:rPr>
        <w:t>元，提高收益群众满意度。</w:t>
      </w:r>
    </w:p>
    <w:p w14:paraId="0E1FBCA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（十）综合防灾减灾能力进一步提高</w:t>
      </w:r>
    </w:p>
    <w:p w14:paraId="7065E26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绩效目标：发挥防洪减灾体系作用，最大限度地减少洪涝灾害造成的人员伤亡和财产损失；各类洪水调度方案和预案修订完善、监测预警通信设施维护、会商系统维护、水旱灾</w:t>
      </w:r>
      <w:r>
        <w:rPr>
          <w:rFonts w:hint="eastAsia" w:ascii="Times New Roman" w:hAnsi="微软雅黑" w:eastAsia="方正仿宋_GBK" w:cs="微软雅黑"/>
          <w:sz w:val="28"/>
          <w:lang w:val="en-US" w:eastAsia="zh-CN"/>
        </w:rPr>
        <w:t>害</w:t>
      </w:r>
      <w:bookmarkStart w:id="3" w:name="_GoBack"/>
      <w:bookmarkEnd w:id="3"/>
      <w:r>
        <w:rPr>
          <w:rFonts w:hint="eastAsia" w:ascii="Times New Roman" w:hAnsi="微软雅黑" w:eastAsia="方正仿宋_GBK" w:cs="微软雅黑"/>
          <w:sz w:val="28"/>
        </w:rPr>
        <w:t>防御宣传。</w:t>
      </w:r>
    </w:p>
    <w:p w14:paraId="6D2CDB3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绩效指标：根据工情修订完善水库、河道等方案预案，对全区监测预警通信设施维护保养，汛前完成。</w:t>
      </w:r>
    </w:p>
    <w:p w14:paraId="4AF9CE56">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（十一）按时完成区委、区政府交办其他工作任务</w:t>
      </w:r>
    </w:p>
    <w:p w14:paraId="06CC373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贯彻落实党中央、国务院和省委、省政府、市委、市政府、区委、区政府关于河长制湖长制的决策部署，办理区级总河湖长、区级河长湖长交办的事项，协助区级总河湖长、区级河长湖长对各乡镇、各单位履行河长制湖长制相关职责进行指导、协调、监督和考核。</w:t>
      </w:r>
    </w:p>
    <w:p w14:paraId="1F6FC74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绩效指标：对全区河道、水库通过实地巡查、无人机飞检拍摄影像照片，并对检查成果进行分析研判，形成相关报告，发现河湖问题及时交办。</w:t>
      </w:r>
    </w:p>
    <w:p w14:paraId="296F4C54">
      <w:pPr>
        <w:spacing w:before="156" w:beforeLines="50" w:after="156" w:afterLines="50" w:line="500" w:lineRule="exact"/>
        <w:ind w:firstLine="560" w:firstLineChars="200"/>
        <w:jc w:val="left"/>
        <w:outlineLvl w:val="1"/>
        <w:rPr>
          <w:rFonts w:ascii="Times New Roman" w:hAnsi="宋体" w:eastAsia="宋体"/>
          <w:sz w:val="28"/>
        </w:rPr>
      </w:pPr>
      <w:bookmarkStart w:id="2" w:name="_Toc66956206"/>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1EF7A022">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单位职工业务素质；加强调研，提出优化财政资金配置、提高资金使用效益的意见；加大宣传力度，强化预算绩效管理意识，促进预算绩效管理水平进一步提升，为全年预算绩效目标的实现奠定制度基础。</w:t>
      </w:r>
    </w:p>
    <w:p w14:paraId="45CE2D87">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单位预算绩效自评和重点评价工作，对发现的问题及时整改。</w:t>
      </w:r>
    </w:p>
    <w:p w14:paraId="11B8D6C1">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（三）规范国有资产管理。在完善财务制度的基础上，严格审批程序。搞好资产清查，加强固定资产登记、使用和报废处置管理，做到支出合理，物尽其用。</w:t>
      </w:r>
    </w:p>
    <w:p w14:paraId="4B00B482">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（四）加强内控管理和审计监督检查。加强内控制度建设，加强内审工作，严格审核，监督重大支出决策程序，审核固定资产投资，资产处置及其他重要经济业务事项的决策和执行是否符合有关规定。</w:t>
      </w:r>
    </w:p>
    <w:p w14:paraId="730B3B79">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（五）加强培训调研。全局范围内进行预算绩效宣传，对骨干人员进行培训，强化预算绩效意识，促进预算绩效管理水平进一步提升。加强财务调研，提出优化财政资金配置、提高资金使用效益的意见建议。</w:t>
      </w:r>
    </w:p>
    <w:p w14:paraId="1F440B48">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9191A97">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2021年，</w:t>
      </w:r>
      <w:r>
        <w:rPr>
          <w:rFonts w:hint="eastAsia" w:ascii="仿宋" w:hAnsi="仿宋" w:eastAsia="仿宋"/>
          <w:sz w:val="32"/>
          <w:szCs w:val="32"/>
        </w:rPr>
        <w:t>我单位无政府采购预算，空表列示。</w:t>
      </w:r>
    </w:p>
    <w:tbl>
      <w:tblPr>
        <w:tblStyle w:val="5"/>
        <w:tblW w:w="151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659"/>
        <w:gridCol w:w="1006"/>
        <w:gridCol w:w="1088"/>
        <w:gridCol w:w="708"/>
        <w:gridCol w:w="567"/>
        <w:gridCol w:w="1497"/>
        <w:gridCol w:w="1674"/>
        <w:gridCol w:w="1605"/>
        <w:gridCol w:w="611"/>
        <w:gridCol w:w="1134"/>
        <w:gridCol w:w="840"/>
        <w:gridCol w:w="727"/>
      </w:tblGrid>
      <w:tr w14:paraId="1BAB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509" w:type="dxa"/>
            <w:gridSpan w:val="7"/>
            <w:tcBorders>
              <w:top w:val="single" w:color="FFFFFF" w:sz="6" w:space="0"/>
              <w:left w:val="single" w:color="FFFFFF" w:sz="6" w:space="0"/>
              <w:right w:val="single" w:color="FFFFFF" w:sz="6" w:space="0"/>
            </w:tcBorders>
            <w:shd w:val="clear" w:color="auto" w:fill="auto"/>
            <w:vAlign w:val="center"/>
          </w:tcPr>
          <w:p w14:paraId="403F468C">
            <w:pPr>
              <w:spacing w:line="300" w:lineRule="exact"/>
              <w:jc w:val="left"/>
              <w:rPr>
                <w:rFonts w:ascii="方正小标宋_GBK" w:eastAsia="方正小标宋_GBK"/>
                <w:sz w:val="24"/>
              </w:rPr>
            </w:pPr>
          </w:p>
          <w:p w14:paraId="604D0347">
            <w:pPr>
              <w:spacing w:line="300" w:lineRule="exact"/>
              <w:jc w:val="left"/>
              <w:rPr>
                <w:rFonts w:ascii="方正小标宋_GBK" w:eastAsia="方正小标宋_GBK"/>
                <w:sz w:val="24"/>
              </w:rPr>
            </w:pPr>
            <w:r>
              <w:rPr>
                <w:rFonts w:ascii="方正小标宋_GBK" w:eastAsia="方正小标宋_GBK"/>
                <w:sz w:val="24"/>
              </w:rPr>
              <w:t>33200</w:t>
            </w:r>
            <w:r>
              <w:rPr>
                <w:rFonts w:hint="eastAsia" w:ascii="方正小标宋_GBK" w:eastAsia="方正小标宋_GBK"/>
                <w:sz w:val="24"/>
              </w:rPr>
              <w:t>3</w:t>
            </w:r>
            <w:r>
              <w:rPr>
                <w:rFonts w:ascii="方正小标宋_GBK" w:eastAsia="方正小标宋_GBK"/>
                <w:sz w:val="24"/>
              </w:rPr>
              <w:t>保定市徐水区水利局</w:t>
            </w:r>
          </w:p>
        </w:tc>
        <w:tc>
          <w:tcPr>
            <w:tcW w:w="6591" w:type="dxa"/>
            <w:gridSpan w:val="6"/>
            <w:tcBorders>
              <w:top w:val="single" w:color="FFFFFF" w:sz="6" w:space="0"/>
              <w:left w:val="single" w:color="FFFFFF" w:sz="6" w:space="0"/>
              <w:right w:val="single" w:color="FFFFFF" w:sz="6" w:space="0"/>
            </w:tcBorders>
            <w:shd w:val="clear" w:color="auto" w:fill="auto"/>
            <w:vAlign w:val="center"/>
          </w:tcPr>
          <w:p w14:paraId="015D3C9E">
            <w:pPr>
              <w:spacing w:line="300" w:lineRule="exact"/>
              <w:jc w:val="right"/>
              <w:rPr>
                <w:rFonts w:ascii="方正书宋_GBK" w:eastAsia="方正书宋_GBK"/>
                <w:sz w:val="24"/>
              </w:rPr>
            </w:pPr>
            <w:r>
              <w:rPr>
                <w:rFonts w:ascii="方正书宋_GBK" w:eastAsia="方正书宋_GBK"/>
                <w:sz w:val="24"/>
              </w:rPr>
              <w:t>单位：元</w:t>
            </w:r>
          </w:p>
        </w:tc>
      </w:tr>
      <w:tr w14:paraId="1D88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643" w:type="dxa"/>
            <w:gridSpan w:val="2"/>
            <w:shd w:val="clear" w:color="auto" w:fill="auto"/>
            <w:vAlign w:val="center"/>
          </w:tcPr>
          <w:p w14:paraId="59E827D5">
            <w:pPr>
              <w:spacing w:line="300" w:lineRule="exact"/>
              <w:jc w:val="center"/>
              <w:rPr>
                <w:rFonts w:ascii="方正书宋_GBK" w:eastAsia="方正书宋_GBK"/>
                <w:b/>
              </w:rPr>
            </w:pPr>
            <w:r>
              <w:rPr>
                <w:rFonts w:ascii="方正书宋_GBK" w:eastAsia="方正书宋_GBK"/>
                <w:b/>
              </w:rPr>
              <w:t>政府采购项目来源</w:t>
            </w:r>
          </w:p>
        </w:tc>
        <w:tc>
          <w:tcPr>
            <w:tcW w:w="1006" w:type="dxa"/>
            <w:vMerge w:val="restart"/>
            <w:shd w:val="clear" w:color="auto" w:fill="auto"/>
            <w:vAlign w:val="center"/>
          </w:tcPr>
          <w:p w14:paraId="2884086C">
            <w:pPr>
              <w:spacing w:line="300" w:lineRule="exact"/>
              <w:jc w:val="center"/>
              <w:rPr>
                <w:rFonts w:ascii="方正书宋_GBK" w:eastAsia="方正书宋_GBK"/>
                <w:b/>
              </w:rPr>
            </w:pPr>
            <w:r>
              <w:rPr>
                <w:rFonts w:ascii="方正书宋_GBK" w:eastAsia="方正书宋_GBK"/>
                <w:b/>
              </w:rPr>
              <w:t>采购物品名称</w:t>
            </w:r>
          </w:p>
        </w:tc>
        <w:tc>
          <w:tcPr>
            <w:tcW w:w="1088" w:type="dxa"/>
            <w:vMerge w:val="restart"/>
            <w:shd w:val="clear" w:color="auto" w:fill="auto"/>
            <w:vAlign w:val="center"/>
          </w:tcPr>
          <w:p w14:paraId="2DA06CD2">
            <w:pPr>
              <w:spacing w:line="300" w:lineRule="exact"/>
              <w:jc w:val="center"/>
              <w:rPr>
                <w:rFonts w:ascii="方正书宋_GBK" w:eastAsia="方正书宋_GBK"/>
                <w:b/>
              </w:rPr>
            </w:pPr>
            <w:r>
              <w:rPr>
                <w:rFonts w:ascii="方正书宋_GBK" w:eastAsia="方正书宋_GBK"/>
                <w:b/>
              </w:rPr>
              <w:t>政府采购目录序号</w:t>
            </w:r>
          </w:p>
        </w:tc>
        <w:tc>
          <w:tcPr>
            <w:tcW w:w="708" w:type="dxa"/>
            <w:vMerge w:val="restart"/>
            <w:shd w:val="clear" w:color="auto" w:fill="auto"/>
            <w:vAlign w:val="center"/>
          </w:tcPr>
          <w:p w14:paraId="70552647">
            <w:pPr>
              <w:spacing w:line="300" w:lineRule="exact"/>
              <w:jc w:val="center"/>
              <w:rPr>
                <w:rFonts w:ascii="方正书宋_GBK" w:eastAsia="方正书宋_GBK"/>
                <w:b/>
              </w:rPr>
            </w:pPr>
            <w:r>
              <w:rPr>
                <w:rFonts w:ascii="方正书宋_GBK" w:eastAsia="方正书宋_GBK"/>
                <w:b/>
              </w:rPr>
              <w:t>计量  单位</w:t>
            </w:r>
          </w:p>
        </w:tc>
        <w:tc>
          <w:tcPr>
            <w:tcW w:w="567" w:type="dxa"/>
            <w:vMerge w:val="restart"/>
            <w:shd w:val="clear" w:color="auto" w:fill="auto"/>
            <w:vAlign w:val="center"/>
          </w:tcPr>
          <w:p w14:paraId="2A87E053">
            <w:pPr>
              <w:spacing w:line="300" w:lineRule="exact"/>
              <w:jc w:val="center"/>
              <w:rPr>
                <w:rFonts w:ascii="方正书宋_GBK" w:eastAsia="方正书宋_GBK"/>
                <w:b/>
              </w:rPr>
            </w:pPr>
            <w:r>
              <w:rPr>
                <w:rFonts w:ascii="方正书宋_GBK" w:eastAsia="方正书宋_GBK"/>
                <w:b/>
              </w:rPr>
              <w:t>数量</w:t>
            </w:r>
          </w:p>
        </w:tc>
        <w:tc>
          <w:tcPr>
            <w:tcW w:w="1497" w:type="dxa"/>
            <w:vMerge w:val="restart"/>
            <w:shd w:val="clear" w:color="auto" w:fill="auto"/>
            <w:vAlign w:val="center"/>
          </w:tcPr>
          <w:p w14:paraId="609B442C">
            <w:pPr>
              <w:spacing w:line="300" w:lineRule="exact"/>
              <w:jc w:val="center"/>
              <w:rPr>
                <w:rFonts w:ascii="方正书宋_GBK" w:eastAsia="方正书宋_GBK"/>
                <w:b/>
              </w:rPr>
            </w:pPr>
            <w:r>
              <w:rPr>
                <w:rFonts w:ascii="方正书宋_GBK" w:eastAsia="方正书宋_GBK"/>
                <w:b/>
              </w:rPr>
              <w:t>单价</w:t>
            </w:r>
          </w:p>
        </w:tc>
        <w:tc>
          <w:tcPr>
            <w:tcW w:w="6591" w:type="dxa"/>
            <w:gridSpan w:val="6"/>
            <w:shd w:val="clear" w:color="auto" w:fill="auto"/>
            <w:vAlign w:val="center"/>
          </w:tcPr>
          <w:p w14:paraId="2DAB2DDA">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rPr>
              <w:t>单位</w:t>
            </w:r>
            <w:r>
              <w:rPr>
                <w:rFonts w:ascii="方正书宋_GBK" w:eastAsia="方正书宋_GBK"/>
                <w:b/>
              </w:rPr>
              <w:t>预算安排资金）</w:t>
            </w:r>
          </w:p>
        </w:tc>
      </w:tr>
      <w:tr w14:paraId="3B3AB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14B73AB4">
            <w:pPr>
              <w:spacing w:line="300" w:lineRule="exact"/>
              <w:jc w:val="center"/>
              <w:rPr>
                <w:rFonts w:ascii="方正书宋_GBK" w:eastAsia="方正书宋_GBK"/>
                <w:b/>
              </w:rPr>
            </w:pPr>
            <w:r>
              <w:rPr>
                <w:rFonts w:ascii="方正书宋_GBK" w:eastAsia="方正书宋_GBK"/>
                <w:b/>
              </w:rPr>
              <w:t>项目名称</w:t>
            </w:r>
          </w:p>
        </w:tc>
        <w:tc>
          <w:tcPr>
            <w:tcW w:w="1659" w:type="dxa"/>
            <w:shd w:val="clear" w:color="auto" w:fill="auto"/>
            <w:vAlign w:val="center"/>
          </w:tcPr>
          <w:p w14:paraId="6428B282">
            <w:pPr>
              <w:spacing w:line="300" w:lineRule="exact"/>
              <w:jc w:val="center"/>
              <w:rPr>
                <w:rFonts w:ascii="方正书宋_GBK" w:eastAsia="方正书宋_GBK"/>
                <w:b/>
              </w:rPr>
            </w:pPr>
            <w:r>
              <w:rPr>
                <w:rFonts w:ascii="方正书宋_GBK" w:eastAsia="方正书宋_GBK"/>
                <w:b/>
              </w:rPr>
              <w:t>预算资金</w:t>
            </w:r>
          </w:p>
        </w:tc>
        <w:tc>
          <w:tcPr>
            <w:tcW w:w="1006" w:type="dxa"/>
            <w:vMerge w:val="continue"/>
            <w:shd w:val="clear" w:color="auto" w:fill="auto"/>
            <w:vAlign w:val="center"/>
          </w:tcPr>
          <w:p w14:paraId="38462D72">
            <w:pPr>
              <w:spacing w:line="300" w:lineRule="exact"/>
              <w:jc w:val="left"/>
              <w:outlineLvl w:val="1"/>
              <w:rPr>
                <w:rFonts w:ascii="Times New Roman" w:eastAsia="方正仿宋_GBK"/>
                <w:sz w:val="28"/>
              </w:rPr>
            </w:pPr>
          </w:p>
        </w:tc>
        <w:tc>
          <w:tcPr>
            <w:tcW w:w="1088" w:type="dxa"/>
            <w:vMerge w:val="continue"/>
            <w:shd w:val="clear" w:color="auto" w:fill="auto"/>
            <w:vAlign w:val="center"/>
          </w:tcPr>
          <w:p w14:paraId="2F5B66E5">
            <w:pPr>
              <w:spacing w:line="300" w:lineRule="exact"/>
              <w:jc w:val="left"/>
              <w:outlineLvl w:val="1"/>
              <w:rPr>
                <w:rFonts w:ascii="Times New Roman" w:eastAsia="方正仿宋_GBK"/>
                <w:sz w:val="28"/>
              </w:rPr>
            </w:pPr>
          </w:p>
        </w:tc>
        <w:tc>
          <w:tcPr>
            <w:tcW w:w="708" w:type="dxa"/>
            <w:vMerge w:val="continue"/>
            <w:shd w:val="clear" w:color="auto" w:fill="auto"/>
            <w:vAlign w:val="center"/>
          </w:tcPr>
          <w:p w14:paraId="4C090F75">
            <w:pPr>
              <w:spacing w:line="300" w:lineRule="exact"/>
              <w:jc w:val="left"/>
              <w:outlineLvl w:val="1"/>
              <w:rPr>
                <w:rFonts w:ascii="Times New Roman" w:eastAsia="方正仿宋_GBK"/>
                <w:sz w:val="28"/>
              </w:rPr>
            </w:pPr>
          </w:p>
        </w:tc>
        <w:tc>
          <w:tcPr>
            <w:tcW w:w="567" w:type="dxa"/>
            <w:vMerge w:val="continue"/>
            <w:shd w:val="clear" w:color="auto" w:fill="auto"/>
            <w:vAlign w:val="center"/>
          </w:tcPr>
          <w:p w14:paraId="59935960">
            <w:pPr>
              <w:spacing w:line="300" w:lineRule="exact"/>
              <w:jc w:val="left"/>
              <w:outlineLvl w:val="1"/>
              <w:rPr>
                <w:rFonts w:ascii="Times New Roman" w:eastAsia="方正仿宋_GBK"/>
                <w:sz w:val="28"/>
              </w:rPr>
            </w:pPr>
          </w:p>
        </w:tc>
        <w:tc>
          <w:tcPr>
            <w:tcW w:w="1497" w:type="dxa"/>
            <w:vMerge w:val="continue"/>
            <w:shd w:val="clear" w:color="auto" w:fill="auto"/>
            <w:vAlign w:val="center"/>
          </w:tcPr>
          <w:p w14:paraId="4390070C">
            <w:pPr>
              <w:spacing w:line="300" w:lineRule="exact"/>
              <w:jc w:val="left"/>
              <w:outlineLvl w:val="1"/>
              <w:rPr>
                <w:rFonts w:ascii="Times New Roman" w:eastAsia="方正仿宋_GBK"/>
                <w:sz w:val="28"/>
              </w:rPr>
            </w:pPr>
          </w:p>
        </w:tc>
        <w:tc>
          <w:tcPr>
            <w:tcW w:w="1674" w:type="dxa"/>
            <w:shd w:val="clear" w:color="auto" w:fill="auto"/>
            <w:vAlign w:val="center"/>
          </w:tcPr>
          <w:p w14:paraId="0EBA4218">
            <w:pPr>
              <w:spacing w:line="300" w:lineRule="exact"/>
              <w:jc w:val="center"/>
              <w:rPr>
                <w:rFonts w:ascii="方正书宋_GBK" w:eastAsia="方正书宋_GBK"/>
                <w:b/>
              </w:rPr>
            </w:pPr>
            <w:r>
              <w:rPr>
                <w:rFonts w:ascii="方正书宋_GBK" w:eastAsia="方正书宋_GBK"/>
                <w:b/>
              </w:rPr>
              <w:t>合计</w:t>
            </w:r>
          </w:p>
        </w:tc>
        <w:tc>
          <w:tcPr>
            <w:tcW w:w="1605" w:type="dxa"/>
            <w:shd w:val="clear" w:color="auto" w:fill="auto"/>
            <w:vAlign w:val="center"/>
          </w:tcPr>
          <w:p w14:paraId="2DDD2708">
            <w:pPr>
              <w:spacing w:line="300" w:lineRule="exact"/>
              <w:jc w:val="center"/>
              <w:rPr>
                <w:rFonts w:ascii="方正书宋_GBK" w:eastAsia="方正书宋_GBK"/>
                <w:b/>
              </w:rPr>
            </w:pPr>
            <w:r>
              <w:rPr>
                <w:rFonts w:ascii="方正书宋_GBK" w:eastAsia="方正书宋_GBK"/>
                <w:b/>
              </w:rPr>
              <w:t>一般公共预算拨款</w:t>
            </w:r>
          </w:p>
        </w:tc>
        <w:tc>
          <w:tcPr>
            <w:tcW w:w="611" w:type="dxa"/>
            <w:shd w:val="clear" w:color="auto" w:fill="auto"/>
            <w:vAlign w:val="center"/>
          </w:tcPr>
          <w:p w14:paraId="3E12CD5D">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6330A5FA">
            <w:pPr>
              <w:spacing w:line="300" w:lineRule="exact"/>
              <w:jc w:val="center"/>
              <w:rPr>
                <w:rFonts w:ascii="方正书宋_GBK" w:eastAsia="方正书宋_GBK"/>
                <w:b/>
              </w:rPr>
            </w:pPr>
            <w:r>
              <w:rPr>
                <w:rFonts w:ascii="方正书宋_GBK" w:eastAsia="方正书宋_GBK"/>
                <w:b/>
              </w:rPr>
              <w:t>国有资本经营预算拨款</w:t>
            </w:r>
          </w:p>
        </w:tc>
        <w:tc>
          <w:tcPr>
            <w:tcW w:w="840" w:type="dxa"/>
            <w:shd w:val="clear" w:color="auto" w:fill="auto"/>
            <w:vAlign w:val="center"/>
          </w:tcPr>
          <w:p w14:paraId="78A5DED3">
            <w:pPr>
              <w:spacing w:line="300" w:lineRule="exact"/>
              <w:jc w:val="center"/>
              <w:rPr>
                <w:rFonts w:ascii="方正书宋_GBK" w:eastAsia="方正书宋_GBK"/>
                <w:b/>
              </w:rPr>
            </w:pPr>
            <w:r>
              <w:rPr>
                <w:rFonts w:ascii="方正书宋_GBK" w:eastAsia="方正书宋_GBK"/>
                <w:b/>
              </w:rPr>
              <w:t>财政专户核拨</w:t>
            </w:r>
          </w:p>
        </w:tc>
        <w:tc>
          <w:tcPr>
            <w:tcW w:w="727" w:type="dxa"/>
            <w:shd w:val="clear" w:color="auto" w:fill="auto"/>
            <w:vAlign w:val="center"/>
          </w:tcPr>
          <w:p w14:paraId="5557AB89">
            <w:pPr>
              <w:spacing w:line="300" w:lineRule="exact"/>
              <w:jc w:val="center"/>
              <w:rPr>
                <w:rFonts w:ascii="方正书宋_GBK" w:eastAsia="方正书宋_GBK"/>
                <w:b/>
              </w:rPr>
            </w:pPr>
            <w:r>
              <w:rPr>
                <w:rFonts w:ascii="方正书宋_GBK" w:eastAsia="方正书宋_GBK"/>
                <w:b/>
              </w:rPr>
              <w:t>单位资金</w:t>
            </w:r>
          </w:p>
        </w:tc>
      </w:tr>
      <w:tr w14:paraId="127A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jc w:val="center"/>
        </w:trPr>
        <w:tc>
          <w:tcPr>
            <w:tcW w:w="1984" w:type="dxa"/>
            <w:shd w:val="clear" w:color="auto" w:fill="auto"/>
            <w:vAlign w:val="center"/>
          </w:tcPr>
          <w:p w14:paraId="604B394F">
            <w:pPr>
              <w:spacing w:line="300" w:lineRule="exact"/>
              <w:jc w:val="center"/>
              <w:rPr>
                <w:rFonts w:ascii="方正书宋_GBK" w:eastAsia="方正书宋_GBK"/>
                <w:b/>
              </w:rPr>
            </w:pPr>
            <w:r>
              <w:rPr>
                <w:rFonts w:ascii="方正书宋_GBK" w:eastAsia="方正书宋_GBK"/>
                <w:b/>
              </w:rPr>
              <w:t>合  计</w:t>
            </w:r>
          </w:p>
        </w:tc>
        <w:tc>
          <w:tcPr>
            <w:tcW w:w="1659" w:type="dxa"/>
            <w:shd w:val="clear" w:color="auto" w:fill="auto"/>
            <w:vAlign w:val="center"/>
          </w:tcPr>
          <w:p w14:paraId="6E1A6920">
            <w:pPr>
              <w:spacing w:line="300" w:lineRule="exact"/>
              <w:jc w:val="right"/>
              <w:rPr>
                <w:rFonts w:ascii="方正书宋_GBK" w:eastAsia="方正书宋_GBK"/>
                <w:b/>
              </w:rPr>
            </w:pPr>
          </w:p>
        </w:tc>
        <w:tc>
          <w:tcPr>
            <w:tcW w:w="1006" w:type="dxa"/>
            <w:shd w:val="clear" w:color="auto" w:fill="auto"/>
            <w:vAlign w:val="center"/>
          </w:tcPr>
          <w:p w14:paraId="1A1D39A1">
            <w:pPr>
              <w:spacing w:line="300" w:lineRule="exact"/>
              <w:jc w:val="left"/>
              <w:rPr>
                <w:rFonts w:ascii="方正书宋_GBK" w:eastAsia="方正书宋_GBK"/>
                <w:b/>
              </w:rPr>
            </w:pPr>
          </w:p>
        </w:tc>
        <w:tc>
          <w:tcPr>
            <w:tcW w:w="1088" w:type="dxa"/>
            <w:shd w:val="clear" w:color="auto" w:fill="auto"/>
            <w:vAlign w:val="center"/>
          </w:tcPr>
          <w:p w14:paraId="330C606E">
            <w:pPr>
              <w:spacing w:line="300" w:lineRule="exact"/>
              <w:jc w:val="left"/>
              <w:rPr>
                <w:rFonts w:ascii="方正书宋_GBK" w:eastAsia="方正书宋_GBK"/>
                <w:b/>
              </w:rPr>
            </w:pPr>
          </w:p>
        </w:tc>
        <w:tc>
          <w:tcPr>
            <w:tcW w:w="708" w:type="dxa"/>
            <w:shd w:val="clear" w:color="auto" w:fill="auto"/>
            <w:vAlign w:val="center"/>
          </w:tcPr>
          <w:p w14:paraId="4ED1CD30">
            <w:pPr>
              <w:spacing w:line="300" w:lineRule="exact"/>
              <w:jc w:val="center"/>
              <w:rPr>
                <w:rFonts w:ascii="方正书宋_GBK" w:eastAsia="方正书宋_GBK"/>
                <w:b/>
              </w:rPr>
            </w:pPr>
          </w:p>
        </w:tc>
        <w:tc>
          <w:tcPr>
            <w:tcW w:w="567" w:type="dxa"/>
            <w:shd w:val="clear" w:color="auto" w:fill="auto"/>
            <w:vAlign w:val="center"/>
          </w:tcPr>
          <w:p w14:paraId="0B1F67EA">
            <w:pPr>
              <w:spacing w:line="300" w:lineRule="exact"/>
              <w:jc w:val="right"/>
              <w:rPr>
                <w:rFonts w:ascii="方正书宋_GBK" w:eastAsia="方正书宋_GBK"/>
                <w:b/>
              </w:rPr>
            </w:pPr>
          </w:p>
        </w:tc>
        <w:tc>
          <w:tcPr>
            <w:tcW w:w="1497" w:type="dxa"/>
            <w:shd w:val="clear" w:color="auto" w:fill="auto"/>
            <w:vAlign w:val="center"/>
          </w:tcPr>
          <w:p w14:paraId="681BDA9D">
            <w:pPr>
              <w:spacing w:line="300" w:lineRule="exact"/>
              <w:jc w:val="right"/>
              <w:rPr>
                <w:rFonts w:ascii="方正书宋_GBK" w:eastAsia="方正书宋_GBK"/>
                <w:b/>
              </w:rPr>
            </w:pPr>
          </w:p>
        </w:tc>
        <w:tc>
          <w:tcPr>
            <w:tcW w:w="1674" w:type="dxa"/>
            <w:shd w:val="clear" w:color="auto" w:fill="auto"/>
            <w:vAlign w:val="center"/>
          </w:tcPr>
          <w:p w14:paraId="55C34119">
            <w:pPr>
              <w:spacing w:line="300" w:lineRule="exact"/>
              <w:jc w:val="right"/>
              <w:rPr>
                <w:rFonts w:ascii="方正书宋_GBK" w:eastAsia="方正书宋_GBK"/>
                <w:b/>
              </w:rPr>
            </w:pPr>
          </w:p>
        </w:tc>
        <w:tc>
          <w:tcPr>
            <w:tcW w:w="1605" w:type="dxa"/>
            <w:shd w:val="clear" w:color="auto" w:fill="auto"/>
            <w:vAlign w:val="center"/>
          </w:tcPr>
          <w:p w14:paraId="0C0786EC">
            <w:pPr>
              <w:spacing w:line="300" w:lineRule="exact"/>
              <w:jc w:val="right"/>
              <w:rPr>
                <w:rFonts w:ascii="方正书宋_GBK" w:eastAsia="方正书宋_GBK"/>
                <w:b/>
              </w:rPr>
            </w:pPr>
          </w:p>
        </w:tc>
        <w:tc>
          <w:tcPr>
            <w:tcW w:w="611" w:type="dxa"/>
            <w:shd w:val="clear" w:color="auto" w:fill="auto"/>
            <w:vAlign w:val="center"/>
          </w:tcPr>
          <w:p w14:paraId="3301E4E9">
            <w:pPr>
              <w:spacing w:line="300" w:lineRule="exact"/>
              <w:jc w:val="right"/>
              <w:rPr>
                <w:rFonts w:ascii="方正书宋_GBK" w:eastAsia="方正书宋_GBK"/>
                <w:b/>
              </w:rPr>
            </w:pPr>
          </w:p>
        </w:tc>
        <w:tc>
          <w:tcPr>
            <w:tcW w:w="1134" w:type="dxa"/>
            <w:shd w:val="clear" w:color="auto" w:fill="auto"/>
            <w:vAlign w:val="center"/>
          </w:tcPr>
          <w:p w14:paraId="17E92BC4">
            <w:pPr>
              <w:spacing w:line="300" w:lineRule="exact"/>
              <w:jc w:val="right"/>
              <w:rPr>
                <w:rFonts w:ascii="方正书宋_GBK" w:eastAsia="方正书宋_GBK"/>
                <w:b/>
              </w:rPr>
            </w:pPr>
          </w:p>
        </w:tc>
        <w:tc>
          <w:tcPr>
            <w:tcW w:w="840" w:type="dxa"/>
            <w:shd w:val="clear" w:color="auto" w:fill="auto"/>
            <w:vAlign w:val="center"/>
          </w:tcPr>
          <w:p w14:paraId="16C4DF6C">
            <w:pPr>
              <w:spacing w:line="300" w:lineRule="exact"/>
              <w:jc w:val="right"/>
              <w:rPr>
                <w:rFonts w:ascii="方正书宋_GBK" w:eastAsia="方正书宋_GBK"/>
                <w:b/>
              </w:rPr>
            </w:pPr>
          </w:p>
        </w:tc>
        <w:tc>
          <w:tcPr>
            <w:tcW w:w="727" w:type="dxa"/>
            <w:shd w:val="clear" w:color="auto" w:fill="auto"/>
            <w:vAlign w:val="center"/>
          </w:tcPr>
          <w:p w14:paraId="4C58E415">
            <w:pPr>
              <w:spacing w:line="300" w:lineRule="exact"/>
              <w:jc w:val="right"/>
              <w:rPr>
                <w:rFonts w:ascii="方正书宋_GBK" w:eastAsia="方正书宋_GBK"/>
                <w:b/>
              </w:rPr>
            </w:pPr>
          </w:p>
        </w:tc>
      </w:tr>
    </w:tbl>
    <w:p w14:paraId="3B0813EF">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D8E6891">
      <w:pPr>
        <w:spacing w:line="360" w:lineRule="auto"/>
        <w:rPr>
          <w:rFonts w:ascii="仿宋" w:hAnsi="仿宋" w:eastAsia="仿宋"/>
          <w:sz w:val="32"/>
          <w:szCs w:val="32"/>
        </w:rPr>
      </w:pPr>
    </w:p>
    <w:p w14:paraId="3D44A16C">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300A4C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上年末我单位固定资产总金额为0万元（详见下表）。</w:t>
      </w:r>
      <w:r>
        <w:rPr>
          <w:rFonts w:ascii="仿宋" w:hAnsi="仿宋" w:eastAsia="仿宋"/>
          <w:sz w:val="32"/>
          <w:szCs w:val="32"/>
        </w:rPr>
        <w:t xml:space="preserve"> </w:t>
      </w:r>
    </w:p>
    <w:p w14:paraId="3F92592B">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5B68B1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5C9A6DC1">
            <w:pPr>
              <w:widowControl/>
              <w:jc w:val="center"/>
              <w:rPr>
                <w:rFonts w:ascii="宋体" w:hAnsi="宋体" w:cs="宋体"/>
                <w:kern w:val="0"/>
                <w:sz w:val="28"/>
                <w:szCs w:val="28"/>
              </w:rPr>
            </w:pPr>
            <w:r>
              <w:rPr>
                <w:rFonts w:hint="eastAsia" w:ascii="宋体" w:hAnsi="宋体"/>
                <w:sz w:val="32"/>
                <w:szCs w:val="32"/>
              </w:rPr>
              <w:t>固定资产占用情况表</w:t>
            </w:r>
          </w:p>
        </w:tc>
      </w:tr>
      <w:tr w14:paraId="2E040FD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5053C3A">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14:paraId="376F48C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2BEF6C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3E776E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5580E93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03E899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B3A68F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51A5113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95FCCE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14:paraId="6752A1E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0A8721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44B273F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51E6B06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3DF49BC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259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224569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A34669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189BD3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230518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E1F72D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76BEE4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C40B04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4FDE65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92C8F1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9DE46B7">
            <w:pPr>
              <w:widowControl/>
              <w:jc w:val="center"/>
              <w:rPr>
                <w:rFonts w:ascii="仿宋_GB2312" w:hAnsi="仿宋" w:eastAsia="仿宋_GB2312" w:cs="宋体"/>
                <w:kern w:val="0"/>
                <w:sz w:val="24"/>
                <w:szCs w:val="24"/>
              </w:rPr>
            </w:pPr>
          </w:p>
        </w:tc>
      </w:tr>
      <w:tr w14:paraId="4F5B39F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AFEB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81B57">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F6130">
            <w:pPr>
              <w:widowControl/>
              <w:jc w:val="center"/>
              <w:rPr>
                <w:rFonts w:ascii="仿宋_GB2312" w:hAnsi="仿宋" w:eastAsia="仿宋_GB2312" w:cs="宋体"/>
                <w:kern w:val="0"/>
                <w:sz w:val="24"/>
                <w:szCs w:val="24"/>
              </w:rPr>
            </w:pPr>
          </w:p>
        </w:tc>
      </w:tr>
      <w:tr w14:paraId="60668E0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461F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ED39D22">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56D4A03">
            <w:pPr>
              <w:widowControl/>
              <w:jc w:val="center"/>
              <w:rPr>
                <w:rFonts w:ascii="仿宋_GB2312" w:hAnsi="仿宋" w:eastAsia="仿宋_GB2312" w:cs="宋体"/>
                <w:kern w:val="0"/>
                <w:sz w:val="24"/>
                <w:szCs w:val="24"/>
              </w:rPr>
            </w:pPr>
          </w:p>
        </w:tc>
      </w:tr>
      <w:tr w14:paraId="010596F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00EE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B9F36B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867329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14:paraId="5C832A51">
      <w:pPr>
        <w:jc w:val="center"/>
        <w:outlineLvl w:val="0"/>
        <w:rPr>
          <w:rFonts w:ascii="方正小标宋_GBK" w:eastAsia="方正小标宋_GBK"/>
          <w:sz w:val="44"/>
        </w:rPr>
      </w:pPr>
    </w:p>
    <w:p w14:paraId="502C29A3">
      <w:pPr>
        <w:jc w:val="center"/>
        <w:outlineLvl w:val="0"/>
        <w:rPr>
          <w:rFonts w:ascii="方正小标宋_GBK" w:eastAsia="方正小标宋_GBK"/>
          <w:sz w:val="44"/>
        </w:rPr>
      </w:pPr>
      <w:r>
        <w:rPr>
          <w:rFonts w:hint="eastAsia" w:ascii="方正小标宋_GBK" w:eastAsia="方正小标宋_GBK"/>
          <w:sz w:val="44"/>
        </w:rPr>
        <w:t>第八部分：名词解释</w:t>
      </w:r>
    </w:p>
    <w:p w14:paraId="6E8BAFFF">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032DA76">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A8E07E2">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025EA8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73460C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D3D38E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6FE06D">
      <w:pPr>
        <w:spacing w:line="360" w:lineRule="auto"/>
        <w:jc w:val="center"/>
        <w:rPr>
          <w:rFonts w:ascii="黑体" w:hAnsi="黑体" w:eastAsia="黑体" w:cs="Times New Roman"/>
          <w:sz w:val="32"/>
          <w:szCs w:val="32"/>
        </w:rPr>
      </w:pPr>
    </w:p>
    <w:p w14:paraId="727417FE">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794DAFF">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5BF627DA">
        <w:pPr>
          <w:pStyle w:val="3"/>
          <w:jc w:val="center"/>
        </w:pPr>
        <w:r>
          <w:fldChar w:fldCharType="begin"/>
        </w:r>
        <w:r>
          <w:instrText xml:space="preserve">PAGE   \* MERGEFORMAT</w:instrText>
        </w:r>
        <w:r>
          <w:fldChar w:fldCharType="separate"/>
        </w:r>
        <w:r>
          <w:rPr>
            <w:lang w:val="zh-CN"/>
          </w:rPr>
          <w:t>5</w:t>
        </w:r>
        <w:r>
          <w:fldChar w:fldCharType="end"/>
        </w:r>
      </w:p>
    </w:sdtContent>
  </w:sdt>
  <w:p w14:paraId="214B3C5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04DEC"/>
    <w:rsid w:val="00013B8A"/>
    <w:rsid w:val="00041DF0"/>
    <w:rsid w:val="00043577"/>
    <w:rsid w:val="00044FBC"/>
    <w:rsid w:val="0004651F"/>
    <w:rsid w:val="00055F1F"/>
    <w:rsid w:val="000577EF"/>
    <w:rsid w:val="00057F18"/>
    <w:rsid w:val="00073350"/>
    <w:rsid w:val="000A0A74"/>
    <w:rsid w:val="000A445D"/>
    <w:rsid w:val="000C178B"/>
    <w:rsid w:val="000C23AF"/>
    <w:rsid w:val="000D147E"/>
    <w:rsid w:val="00104E88"/>
    <w:rsid w:val="00110EB1"/>
    <w:rsid w:val="00131DEC"/>
    <w:rsid w:val="00136AB3"/>
    <w:rsid w:val="0014266B"/>
    <w:rsid w:val="001462BD"/>
    <w:rsid w:val="00152380"/>
    <w:rsid w:val="001638BE"/>
    <w:rsid w:val="00164810"/>
    <w:rsid w:val="00170BA8"/>
    <w:rsid w:val="00172C7A"/>
    <w:rsid w:val="00181777"/>
    <w:rsid w:val="00181A36"/>
    <w:rsid w:val="001B4688"/>
    <w:rsid w:val="001B4C58"/>
    <w:rsid w:val="001B6235"/>
    <w:rsid w:val="001D16FA"/>
    <w:rsid w:val="001D77C4"/>
    <w:rsid w:val="001F4875"/>
    <w:rsid w:val="00206228"/>
    <w:rsid w:val="00207CDD"/>
    <w:rsid w:val="00212335"/>
    <w:rsid w:val="00216697"/>
    <w:rsid w:val="00267765"/>
    <w:rsid w:val="002918C6"/>
    <w:rsid w:val="00291EF3"/>
    <w:rsid w:val="002954A9"/>
    <w:rsid w:val="00296524"/>
    <w:rsid w:val="002C33DC"/>
    <w:rsid w:val="002D3974"/>
    <w:rsid w:val="002E01F6"/>
    <w:rsid w:val="002E1349"/>
    <w:rsid w:val="002F1ACB"/>
    <w:rsid w:val="002F530F"/>
    <w:rsid w:val="00305E97"/>
    <w:rsid w:val="00306CDC"/>
    <w:rsid w:val="00310532"/>
    <w:rsid w:val="00317919"/>
    <w:rsid w:val="0032782B"/>
    <w:rsid w:val="00340B3D"/>
    <w:rsid w:val="0034253A"/>
    <w:rsid w:val="00350C68"/>
    <w:rsid w:val="003669CF"/>
    <w:rsid w:val="00367A30"/>
    <w:rsid w:val="003820C8"/>
    <w:rsid w:val="003A06D2"/>
    <w:rsid w:val="003A4557"/>
    <w:rsid w:val="003A6366"/>
    <w:rsid w:val="003B1EC5"/>
    <w:rsid w:val="003C2317"/>
    <w:rsid w:val="003C442E"/>
    <w:rsid w:val="003D1092"/>
    <w:rsid w:val="003D37CD"/>
    <w:rsid w:val="003E1FA4"/>
    <w:rsid w:val="003E5531"/>
    <w:rsid w:val="003E555C"/>
    <w:rsid w:val="003E6ADC"/>
    <w:rsid w:val="003E6AF3"/>
    <w:rsid w:val="0040243C"/>
    <w:rsid w:val="00403BEA"/>
    <w:rsid w:val="00406BD1"/>
    <w:rsid w:val="00406C66"/>
    <w:rsid w:val="00424BA2"/>
    <w:rsid w:val="00426C19"/>
    <w:rsid w:val="00437F1D"/>
    <w:rsid w:val="00450FD9"/>
    <w:rsid w:val="00453CE0"/>
    <w:rsid w:val="00461D10"/>
    <w:rsid w:val="00470736"/>
    <w:rsid w:val="00470BBB"/>
    <w:rsid w:val="0048611E"/>
    <w:rsid w:val="004B6929"/>
    <w:rsid w:val="004C1578"/>
    <w:rsid w:val="004C50A1"/>
    <w:rsid w:val="004C6255"/>
    <w:rsid w:val="004E2F43"/>
    <w:rsid w:val="004E3572"/>
    <w:rsid w:val="004F1521"/>
    <w:rsid w:val="004F2A26"/>
    <w:rsid w:val="004F3C52"/>
    <w:rsid w:val="00510A1E"/>
    <w:rsid w:val="005158E2"/>
    <w:rsid w:val="00524134"/>
    <w:rsid w:val="00524204"/>
    <w:rsid w:val="0053613C"/>
    <w:rsid w:val="00550049"/>
    <w:rsid w:val="00553F7E"/>
    <w:rsid w:val="00570142"/>
    <w:rsid w:val="00586C35"/>
    <w:rsid w:val="00591267"/>
    <w:rsid w:val="005B1B6F"/>
    <w:rsid w:val="005B6CCB"/>
    <w:rsid w:val="005C0E21"/>
    <w:rsid w:val="005C54AA"/>
    <w:rsid w:val="005C7B89"/>
    <w:rsid w:val="005D2FAC"/>
    <w:rsid w:val="005F2193"/>
    <w:rsid w:val="005F5C1B"/>
    <w:rsid w:val="00606292"/>
    <w:rsid w:val="00614ACF"/>
    <w:rsid w:val="0062788A"/>
    <w:rsid w:val="00641F8A"/>
    <w:rsid w:val="006513F6"/>
    <w:rsid w:val="0065292D"/>
    <w:rsid w:val="0066383B"/>
    <w:rsid w:val="00672114"/>
    <w:rsid w:val="00672126"/>
    <w:rsid w:val="0068268B"/>
    <w:rsid w:val="00697ED9"/>
    <w:rsid w:val="006A6FA2"/>
    <w:rsid w:val="006B5117"/>
    <w:rsid w:val="006C2DBC"/>
    <w:rsid w:val="006C62DF"/>
    <w:rsid w:val="006D26BB"/>
    <w:rsid w:val="006F5104"/>
    <w:rsid w:val="006F6549"/>
    <w:rsid w:val="00735B02"/>
    <w:rsid w:val="00744E21"/>
    <w:rsid w:val="007657C8"/>
    <w:rsid w:val="00767A77"/>
    <w:rsid w:val="00771E49"/>
    <w:rsid w:val="00782208"/>
    <w:rsid w:val="00791938"/>
    <w:rsid w:val="007A5999"/>
    <w:rsid w:val="007A7F00"/>
    <w:rsid w:val="007C1E16"/>
    <w:rsid w:val="007C52DE"/>
    <w:rsid w:val="007C7FD7"/>
    <w:rsid w:val="007E7BE2"/>
    <w:rsid w:val="007F3746"/>
    <w:rsid w:val="00823319"/>
    <w:rsid w:val="00833132"/>
    <w:rsid w:val="00845C67"/>
    <w:rsid w:val="0086454E"/>
    <w:rsid w:val="008672EA"/>
    <w:rsid w:val="00876D47"/>
    <w:rsid w:val="00891680"/>
    <w:rsid w:val="008A0099"/>
    <w:rsid w:val="008A0B5F"/>
    <w:rsid w:val="008B5402"/>
    <w:rsid w:val="008D11BC"/>
    <w:rsid w:val="008D7154"/>
    <w:rsid w:val="008F5A22"/>
    <w:rsid w:val="0090527E"/>
    <w:rsid w:val="00905BB7"/>
    <w:rsid w:val="0090620C"/>
    <w:rsid w:val="00912DA4"/>
    <w:rsid w:val="009172A6"/>
    <w:rsid w:val="009302B8"/>
    <w:rsid w:val="009305C6"/>
    <w:rsid w:val="009714FF"/>
    <w:rsid w:val="009752AE"/>
    <w:rsid w:val="00981831"/>
    <w:rsid w:val="00982F3D"/>
    <w:rsid w:val="00983232"/>
    <w:rsid w:val="009A278A"/>
    <w:rsid w:val="009A3994"/>
    <w:rsid w:val="009A66C4"/>
    <w:rsid w:val="009B6368"/>
    <w:rsid w:val="009E4078"/>
    <w:rsid w:val="009E7FC6"/>
    <w:rsid w:val="009F63C4"/>
    <w:rsid w:val="00A077AE"/>
    <w:rsid w:val="00A16957"/>
    <w:rsid w:val="00A6155C"/>
    <w:rsid w:val="00A644BE"/>
    <w:rsid w:val="00A8079E"/>
    <w:rsid w:val="00A90328"/>
    <w:rsid w:val="00A92D66"/>
    <w:rsid w:val="00AA2D1C"/>
    <w:rsid w:val="00AA4262"/>
    <w:rsid w:val="00AB5944"/>
    <w:rsid w:val="00AB5A90"/>
    <w:rsid w:val="00AB7449"/>
    <w:rsid w:val="00AE4AA5"/>
    <w:rsid w:val="00AE7FA9"/>
    <w:rsid w:val="00AF703A"/>
    <w:rsid w:val="00B0517D"/>
    <w:rsid w:val="00B066C1"/>
    <w:rsid w:val="00B07694"/>
    <w:rsid w:val="00B147EB"/>
    <w:rsid w:val="00B21420"/>
    <w:rsid w:val="00B22155"/>
    <w:rsid w:val="00B338B9"/>
    <w:rsid w:val="00B40838"/>
    <w:rsid w:val="00B76AA9"/>
    <w:rsid w:val="00B80FAB"/>
    <w:rsid w:val="00B81C88"/>
    <w:rsid w:val="00BA5C83"/>
    <w:rsid w:val="00BC34CA"/>
    <w:rsid w:val="00BC6A7D"/>
    <w:rsid w:val="00BD4829"/>
    <w:rsid w:val="00BD6002"/>
    <w:rsid w:val="00BD719F"/>
    <w:rsid w:val="00BD7C78"/>
    <w:rsid w:val="00BE032A"/>
    <w:rsid w:val="00BF4704"/>
    <w:rsid w:val="00BF5442"/>
    <w:rsid w:val="00C11026"/>
    <w:rsid w:val="00C16693"/>
    <w:rsid w:val="00C177A5"/>
    <w:rsid w:val="00C34855"/>
    <w:rsid w:val="00C35FEE"/>
    <w:rsid w:val="00C50535"/>
    <w:rsid w:val="00C61080"/>
    <w:rsid w:val="00C6153C"/>
    <w:rsid w:val="00C830EF"/>
    <w:rsid w:val="00C906EF"/>
    <w:rsid w:val="00CC5ABF"/>
    <w:rsid w:val="00CC7D74"/>
    <w:rsid w:val="00D02F97"/>
    <w:rsid w:val="00D27491"/>
    <w:rsid w:val="00D32CD2"/>
    <w:rsid w:val="00D45530"/>
    <w:rsid w:val="00D45A0E"/>
    <w:rsid w:val="00D45D23"/>
    <w:rsid w:val="00D723D1"/>
    <w:rsid w:val="00D80C60"/>
    <w:rsid w:val="00D8525F"/>
    <w:rsid w:val="00DA0C4D"/>
    <w:rsid w:val="00DA5DA7"/>
    <w:rsid w:val="00DE3935"/>
    <w:rsid w:val="00DE6B32"/>
    <w:rsid w:val="00DF26B8"/>
    <w:rsid w:val="00DF5287"/>
    <w:rsid w:val="00E10BE2"/>
    <w:rsid w:val="00E12C68"/>
    <w:rsid w:val="00E2325B"/>
    <w:rsid w:val="00E24075"/>
    <w:rsid w:val="00E270C9"/>
    <w:rsid w:val="00E35F38"/>
    <w:rsid w:val="00E40643"/>
    <w:rsid w:val="00E46F27"/>
    <w:rsid w:val="00E509CC"/>
    <w:rsid w:val="00E56DC0"/>
    <w:rsid w:val="00E71A04"/>
    <w:rsid w:val="00E90DA6"/>
    <w:rsid w:val="00E96342"/>
    <w:rsid w:val="00EA2FEA"/>
    <w:rsid w:val="00EA56CB"/>
    <w:rsid w:val="00EA7853"/>
    <w:rsid w:val="00ED4291"/>
    <w:rsid w:val="00EF426C"/>
    <w:rsid w:val="00F000B1"/>
    <w:rsid w:val="00F012D3"/>
    <w:rsid w:val="00F044C3"/>
    <w:rsid w:val="00F10D04"/>
    <w:rsid w:val="00F169E3"/>
    <w:rsid w:val="00F35D4B"/>
    <w:rsid w:val="00F3746B"/>
    <w:rsid w:val="00F572CB"/>
    <w:rsid w:val="00F61720"/>
    <w:rsid w:val="00F621AF"/>
    <w:rsid w:val="00F75E8D"/>
    <w:rsid w:val="00F8024E"/>
    <w:rsid w:val="00F82447"/>
    <w:rsid w:val="00F868E5"/>
    <w:rsid w:val="00F93A69"/>
    <w:rsid w:val="00F94905"/>
    <w:rsid w:val="00FA19A8"/>
    <w:rsid w:val="00FB2F32"/>
    <w:rsid w:val="00FC1ED7"/>
    <w:rsid w:val="00FC3191"/>
    <w:rsid w:val="00FD7F9B"/>
    <w:rsid w:val="00FE0341"/>
    <w:rsid w:val="00FE0F1F"/>
    <w:rsid w:val="00FF61F3"/>
    <w:rsid w:val="0DF132A6"/>
    <w:rsid w:val="0EBF0E2D"/>
    <w:rsid w:val="0EDD2143"/>
    <w:rsid w:val="1A050BDB"/>
    <w:rsid w:val="1A9E2148"/>
    <w:rsid w:val="1C9F50CB"/>
    <w:rsid w:val="1EB744E0"/>
    <w:rsid w:val="21027285"/>
    <w:rsid w:val="290835A0"/>
    <w:rsid w:val="29580676"/>
    <w:rsid w:val="32324EBA"/>
    <w:rsid w:val="42254B9D"/>
    <w:rsid w:val="44CD647C"/>
    <w:rsid w:val="55B032CF"/>
    <w:rsid w:val="56506AC0"/>
    <w:rsid w:val="57921247"/>
    <w:rsid w:val="5959782D"/>
    <w:rsid w:val="5CC14087"/>
    <w:rsid w:val="62BC22C3"/>
    <w:rsid w:val="656A4472"/>
    <w:rsid w:val="70050AA2"/>
    <w:rsid w:val="72E77757"/>
    <w:rsid w:val="748066D1"/>
    <w:rsid w:val="74CC7C77"/>
    <w:rsid w:val="7FB11B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7B8A-BCA0-4D6F-AADC-3225C92854E4}">
  <ds:schemaRefs/>
</ds:datastoreItem>
</file>

<file path=docProps/app.xml><?xml version="1.0" encoding="utf-8"?>
<Properties xmlns="http://schemas.openxmlformats.org/officeDocument/2006/extended-properties" xmlns:vt="http://schemas.openxmlformats.org/officeDocument/2006/docPropsVTypes">
  <Template>Normal</Template>
  <Pages>14</Pages>
  <Words>5888</Words>
  <Characters>6034</Characters>
  <Lines>46</Lines>
  <Paragraphs>12</Paragraphs>
  <TotalTime>806</TotalTime>
  <ScaleCrop>false</ScaleCrop>
  <LinksUpToDate>false</LinksUpToDate>
  <CharactersWithSpaces>6090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Am</cp:lastModifiedBy>
  <cp:lastPrinted>2021-04-14T02:06:00Z</cp:lastPrinted>
  <dcterms:modified xsi:type="dcterms:W3CDTF">2025-11-07T08:32:33Z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2214EAAACB3D4EAB81969DCDC2F6B90E</vt:lpwstr>
  </property>
  <property fmtid="{D5CDD505-2E9C-101B-9397-08002B2CF9AE}" pid="4" name="KSOTemplateDocerSaveRecord">
    <vt:lpwstr>eyJoZGlkIjoiYjZkOTdiNmRlNjVjYTc0MzZmZTVjZTVmMjZhMTMyMmMiLCJ1c2VySWQiOiIxMjI0Mjk2Nzk5In0=</vt:lpwstr>
  </property>
</Properties>
</file>